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1"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Washington, D.C. 20549</w:t>
      </w:r>
    </w:p>
    <w:p>
      <w:pPr>
        <w:spacing w:after="0" w:line="32" w:lineRule="exact"/>
        <w:rPr>
          <w:sz w:val="24"/>
          <w:szCs w:val="24"/>
          <w:color w:val="auto"/>
        </w:rPr>
      </w:pPr>
    </w:p>
    <w:p>
      <w:pPr>
        <w:ind w:left="3420"/>
        <w:spacing w:after="0"/>
        <w:rPr>
          <w:sz w:val="20"/>
          <w:szCs w:val="20"/>
          <w:color w:val="auto"/>
        </w:rPr>
      </w:pPr>
      <w:r>
        <w:rPr>
          <w:rFonts w:ascii="Arial" w:cs="Arial" w:eastAsia="Arial" w:hAnsi="Arial"/>
          <w:sz w:val="30"/>
          <w:szCs w:val="30"/>
          <w:b w:val="1"/>
          <w:bCs w:val="1"/>
          <w:color w:val="auto"/>
        </w:rPr>
        <w:t>SCHEDULE 14A INFORMATION</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1"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19"/>
          <w:szCs w:val="19"/>
          <w:b w:val="1"/>
          <w:bCs w:val="1"/>
          <w:color w:val="auto"/>
        </w:rPr>
        <w:t>Securities Exchange Act of 1934 (Amendment No.</w:t>
        <w:tab/>
        <w:t>)</w:t>
      </w:r>
    </w:p>
    <w:p>
      <w:pPr>
        <w:spacing w:after="0" w:line="284" w:lineRule="exact"/>
        <w:rPr>
          <w:sz w:val="24"/>
          <w:szCs w:val="24"/>
          <w:color w:val="auto"/>
        </w:rPr>
      </w:pPr>
    </w:p>
    <w:p>
      <w:pPr>
        <w:spacing w:after="0" w:line="207" w:lineRule="exact"/>
        <w:tabs>
          <w:tab w:leader="none" w:pos="1940" w:val="left"/>
          <w:tab w:leader="none" w:pos="2760" w:val="left"/>
          <w:tab w:leader="none" w:pos="61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292100</wp:posOffset>
            </wp:positionV>
            <wp:extent cx="150050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0"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440" w:hanging="414"/>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440" w:hanging="414"/>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1450975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3257550" cy="103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5755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80" w:right="280" w:hanging="2483"/>
        <w:spacing w:after="0" w:line="190" w:lineRule="auto"/>
        <w:rPr>
          <w:sz w:val="20"/>
          <w:szCs w:val="20"/>
          <w:color w:val="auto"/>
        </w:rPr>
      </w:pPr>
      <w:r>
        <w:rPr>
          <w:rFonts w:ascii="Arial" w:cs="Arial" w:eastAsia="Arial" w:hAnsi="Arial"/>
          <w:sz w:val="87"/>
          <w:szCs w:val="87"/>
          <w:b w:val="1"/>
          <w:bCs w:val="1"/>
          <w:color w:val="003A5D"/>
        </w:rPr>
        <w:t xml:space="preserve">2023 </w:t>
      </w:r>
      <w:r>
        <w:rPr>
          <w:rFonts w:ascii="Arial" w:cs="Arial" w:eastAsia="Arial" w:hAnsi="Arial"/>
          <w:sz w:val="45"/>
          <w:szCs w:val="45"/>
          <w:b w:val="1"/>
          <w:bCs w:val="1"/>
          <w:color w:val="003A5D"/>
        </w:rPr>
        <w:t>Annual Meeting of Stockholders</w:t>
      </w:r>
      <w:r>
        <w:rPr>
          <w:rFonts w:ascii="Arial" w:cs="Arial" w:eastAsia="Arial" w:hAnsi="Arial"/>
          <w:sz w:val="87"/>
          <w:szCs w:val="87"/>
          <w:b w:val="1"/>
          <w:bCs w:val="1"/>
          <w:color w:val="003A5D"/>
        </w:rPr>
        <w:t xml:space="preserve"> </w:t>
      </w:r>
      <w:r>
        <w:rPr>
          <w:rFonts w:ascii="Arial" w:cs="Arial" w:eastAsia="Arial" w:hAnsi="Arial"/>
          <w:sz w:val="45"/>
          <w:szCs w:val="45"/>
          <w:b w:val="1"/>
          <w:bCs w:val="1"/>
          <w:color w:val="003A5D"/>
        </w:rPr>
        <w:t>and Proxy Statement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003A5D"/>
        </w:rPr>
        <w:t>Friday, May 12, 2023 at 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4260215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3449955</wp:posOffset>
            </wp:positionV>
            <wp:extent cx="534924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283210"/>
                    </a:xfrm>
                    <a:prstGeom prst="rect">
                      <a:avLst/>
                    </a:prstGeom>
                    <a:noFill/>
                  </pic:spPr>
                </pic:pic>
              </a:graphicData>
            </a:graphic>
          </wp:anchor>
        </w:drawing>
      </w:r>
    </w:p>
    <w:p>
      <w:pPr>
        <w:sectPr>
          <w:pgSz w:w="11900" w:h="16838" w:orient="portrait"/>
          <w:cols w:equalWidth="0" w:num="1">
            <w:col w:w="10460"/>
          </w:cols>
          <w:pgMar w:left="420" w:top="1440" w:right="1019" w:bottom="1440" w:gutter="0" w:footer="0" w:header="0"/>
        </w:sectPr>
      </w:pPr>
    </w:p>
    <w:bookmarkStart w:id="2" w:name="page3"/>
    <w:bookmarkEnd w:id="2"/>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500380</wp:posOffset>
            </wp:positionV>
            <wp:extent cx="15005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Marriott Vacations Worldwide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9002 San Marco Court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Orlando, Florida 32819</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March 30, 2023</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Dear Marriott Vacations Worldwide Stockholders: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It is my pleasure to inform you that the 2023 Annual Meeting of Stockholders of Marriott Vacations Worldwide Corporation (the “Annual Meeting”) will be conducted online on Friday, May 12, 2023 beginning at 9:00 a.m., Eastern Time. Stockholders of record may attend and vote during the Annual Meeting via the Internet at www.virtualshareholdermeeting.com/VAC2023. You may also attend the meeting by proxy. You may submit questions in advance of the meeting at www.proxyvote.com. Beneficial owners should review their voting instruction form or Notice of Internet Availability for how to vote in advance of and participate in the Annual Meeting online. For further information about the virtual Annual Meeting, please see the Questions and Answers About the Meeting beginning on page </w:t>
      </w:r>
      <w:r>
        <w:rPr>
          <w:rFonts w:ascii="Arial" w:cs="Arial" w:eastAsia="Arial" w:hAnsi="Arial"/>
          <w:sz w:val="20"/>
          <w:szCs w:val="20"/>
          <w:u w:val="single" w:color="auto"/>
          <w:color w:val="0000FF"/>
        </w:rPr>
        <w:t>4</w:t>
      </w:r>
      <w:r>
        <w:rPr>
          <w:rFonts w:ascii="Arial" w:cs="Arial" w:eastAsia="Arial" w:hAnsi="Arial"/>
          <w:sz w:val="20"/>
          <w:szCs w:val="20"/>
          <w:color w:val="auto"/>
        </w:rPr>
        <w: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following Notice of Annual Meeting of Stockholders and Proxy Statement includes information about the matters to be acted upon by stockholders at the Annual Meeting. We hope that you will exercise your right to vote as promptly as possible. You may vote through the Internet, by telephone or by mailing your completed proxy card (or voting instruction form, if you hold your shares through a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14946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31686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E7D"/>
        </w:rPr>
        <w:t>IMPORTANT NOTICE REGARDING THE AVAILABILITY OF PROXY MATERIALS</w:t>
      </w:r>
    </w:p>
    <w:p>
      <w:pPr>
        <w:jc w:val="center"/>
        <w:spacing w:after="0"/>
        <w:rPr>
          <w:sz w:val="20"/>
          <w:szCs w:val="20"/>
          <w:color w:val="auto"/>
        </w:rPr>
      </w:pPr>
      <w:r>
        <w:rPr>
          <w:rFonts w:ascii="Arial" w:cs="Arial" w:eastAsia="Arial" w:hAnsi="Arial"/>
          <w:sz w:val="20"/>
          <w:szCs w:val="20"/>
          <w:b w:val="1"/>
          <w:bCs w:val="1"/>
          <w:color w:val="004E7D"/>
        </w:rPr>
        <w:t>FOR THE 2023 ANNUAL MEETING OF STOCKHOLDERS:</w:t>
      </w:r>
    </w:p>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are mailing many of our stockholders a Notice Regarding the Availability of Proxy Materials (the “Notice”)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of record who do not receive the Notice will receive a full set of our proxy materials.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We appreciate your continued support and interest in Marriott Vacations Worldwide.</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64770</wp:posOffset>
            </wp:positionV>
            <wp:extent cx="1628775" cy="882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8826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416560</wp:posOffset>
            </wp:positionV>
            <wp:extent cx="185991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99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60" w:type="dxa"/>
            <w:vAlign w:val="bottom"/>
          </w:tcPr>
          <w:p>
            <w:pPr>
              <w:ind w:left="20"/>
              <w:spacing w:after="0"/>
              <w:rPr>
                <w:sz w:val="20"/>
                <w:szCs w:val="20"/>
                <w:color w:val="auto"/>
              </w:rPr>
            </w:pPr>
            <w:r>
              <w:rPr>
                <w:rFonts w:ascii="Arial" w:cs="Arial" w:eastAsia="Arial" w:hAnsi="Arial"/>
                <w:sz w:val="20"/>
                <w:szCs w:val="20"/>
                <w:color w:val="auto"/>
              </w:rPr>
              <w:t>William J. Shaw</w:t>
            </w:r>
          </w:p>
        </w:tc>
        <w:tc>
          <w:tcPr>
            <w:tcW w:w="7280" w:type="dxa"/>
            <w:vAlign w:val="bottom"/>
          </w:tcPr>
          <w:p>
            <w:pPr>
              <w:ind w:left="1920"/>
              <w:spacing w:after="0"/>
              <w:rPr>
                <w:sz w:val="20"/>
                <w:szCs w:val="20"/>
                <w:color w:val="auto"/>
              </w:rPr>
            </w:pPr>
            <w:r>
              <w:rPr>
                <w:rFonts w:ascii="Arial" w:cs="Arial" w:eastAsia="Arial" w:hAnsi="Arial"/>
                <w:sz w:val="20"/>
                <w:szCs w:val="20"/>
                <w:color w:val="auto"/>
              </w:rPr>
              <w:t>John E. Geller, Jr.</w:t>
            </w:r>
          </w:p>
        </w:tc>
      </w:tr>
      <w:tr>
        <w:trPr>
          <w:trHeight w:val="261"/>
        </w:trPr>
        <w:tc>
          <w:tcPr>
            <w:tcW w:w="3960" w:type="dxa"/>
            <w:vAlign w:val="bottom"/>
          </w:tcPr>
          <w:p>
            <w:pPr>
              <w:ind w:left="20"/>
              <w:spacing w:after="0"/>
              <w:rPr>
                <w:sz w:val="20"/>
                <w:szCs w:val="20"/>
                <w:color w:val="auto"/>
              </w:rPr>
            </w:pPr>
            <w:r>
              <w:rPr>
                <w:rFonts w:ascii="Arial" w:cs="Arial" w:eastAsia="Arial" w:hAnsi="Arial"/>
                <w:sz w:val="20"/>
                <w:szCs w:val="20"/>
                <w:color w:val="auto"/>
              </w:rPr>
              <w:t>Chairman of the Board</w:t>
            </w:r>
          </w:p>
        </w:tc>
        <w:tc>
          <w:tcPr>
            <w:tcW w:w="7280" w:type="dxa"/>
            <w:vAlign w:val="bottom"/>
          </w:tcPr>
          <w:p>
            <w:pPr>
              <w:ind w:left="1920"/>
              <w:spacing w:after="0"/>
              <w:rPr>
                <w:sz w:val="20"/>
                <w:szCs w:val="20"/>
                <w:color w:val="auto"/>
              </w:rPr>
            </w:pPr>
            <w:r>
              <w:rPr>
                <w:rFonts w:ascii="Arial" w:cs="Arial" w:eastAsia="Arial" w:hAnsi="Arial"/>
                <w:sz w:val="20"/>
                <w:szCs w:val="20"/>
                <w:color w:val="auto"/>
              </w:rPr>
              <w:t>President and Chief Executive Officer</w:t>
            </w:r>
          </w:p>
        </w:tc>
      </w:tr>
      <w:tr>
        <w:trPr>
          <w:trHeight w:val="861"/>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397510</wp:posOffset>
            </wp:positionV>
            <wp:extent cx="150050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9002 San Marco Court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Orlando, Florida 32819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126365</wp:posOffset>
            </wp:positionV>
            <wp:extent cx="588073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31686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E7D"/>
        </w:rPr>
        <w:t>NOTICE OF ANNUAL MEETING OF STOCKHOLDERS</w:t>
      </w:r>
    </w:p>
    <w:p>
      <w:pPr>
        <w:jc w:val="center"/>
        <w:spacing w:after="0"/>
        <w:rPr>
          <w:sz w:val="20"/>
          <w:szCs w:val="20"/>
          <w:color w:val="auto"/>
        </w:rPr>
      </w:pPr>
      <w:r>
        <w:rPr>
          <w:rFonts w:ascii="Arial" w:cs="Arial" w:eastAsia="Arial" w:hAnsi="Arial"/>
          <w:sz w:val="18"/>
          <w:szCs w:val="18"/>
          <w:b w:val="1"/>
          <w:bCs w:val="1"/>
          <w:color w:val="004E7D"/>
        </w:rPr>
        <w:t>TO BE HELD FRIDAY, MAY 12, 2023</w:t>
      </w:r>
    </w:p>
    <w:p>
      <w:pPr>
        <w:spacing w:after="0" w:line="288"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March 30, 2023</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2023 Annual Meeting of Stockholders (the “Annual Meeting”) of Marriott Vacations Worldwide Corporation (the “Company”) will be held at 9:00 a.m., Eastern Time, on Friday, May 12, 2023, virtually, via the Internet at www.virtualshareholdermeeting.com/VAC2023. At the meeting, stockholders will act on the following matters:</w:t>
      </w:r>
    </w:p>
    <w:p>
      <w:pPr>
        <w:spacing w:after="0" w:line="6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the three director nominees named in the Proxy Statement;</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its 2023 fiscal year;</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w:t>
      </w:r>
    </w:p>
    <w:p>
      <w:pPr>
        <w:spacing w:after="0" w:line="27" w:lineRule="exact"/>
        <w:rPr>
          <w:rFonts w:ascii="Arial" w:cs="Arial" w:eastAsia="Arial" w:hAnsi="Arial"/>
          <w:sz w:val="18"/>
          <w:szCs w:val="18"/>
          <w:color w:val="auto"/>
        </w:rPr>
      </w:pPr>
    </w:p>
    <w:p>
      <w:pPr>
        <w:ind w:left="660" w:hanging="328"/>
        <w:spacing w:after="0" w:line="263"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management proposal to amend the Company’s Restated Certificate of Incorporation to provide for the phased-in declassification of the Board of Directors (the “Declassification Proposal”); and</w:t>
      </w: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matters that may properly be presented at the meeting.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Only stockholders of the Company at the close of business on March 14, 2023, the record date, are entitled to notice of, and to vote at, the Annual Meeting. For instructions on voting, please refer to the notice you received in the mail or, if you requested a hard copy of the Proxy Statement, your enclosed proxy card.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technical malfunction in connection with the virtual Annual Meeting, the chair of the meeting will convene the meeting at 9:30 a.m. Eastern Time on the date specified above and at the Company’s address specified above solely for the purpose of adjourning the meeting to reconvene at a date, time and physical or virtual location announced by the chair of the meeting. Under these circumstances, we will post information regarding the announcement on the Investor Relations page of the Company’s website at www.marriottvacationsworldwide.com.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taking advantage of the U.S.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March 30, 2023, a Notice Regarding the Availability of Proxy Materials (the “Notice”) or the Proxy Statement and form of proxy will be mailed to stockholders as of the record date. If you received a Notice by mail, you will not receive printed copies of the proxy materials, unless you specifically request them. Instead, the Notice instructs you on how to access and review all of the important information contained in the Proxy Statement and in our 2022 Annual Report on Form 10-K,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Order of the Board of</w:t>
      </w:r>
    </w:p>
    <w:p>
      <w:pPr>
        <w:ind w:left="530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145732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3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James H Hunter, IV</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w:t>
      </w:r>
    </w:p>
    <w:p>
      <w:pPr>
        <w:ind w:left="5300"/>
        <w:spacing w:after="0"/>
        <w:rPr>
          <w:sz w:val="20"/>
          <w:szCs w:val="20"/>
          <w:color w:val="auto"/>
        </w:rPr>
      </w:pPr>
      <w:r>
        <w:rPr>
          <w:rFonts w:ascii="Arial" w:cs="Arial" w:eastAsia="Arial" w:hAnsi="Arial"/>
          <w:sz w:val="18"/>
          <w:szCs w:val="18"/>
          <w:color w:val="auto"/>
        </w:rPr>
        <w:t>General Counsel and</w:t>
      </w:r>
    </w:p>
    <w:p>
      <w:pPr>
        <w:jc w:val="center"/>
        <w:ind w:right="-119"/>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sz w:val="1"/>
          <w:szCs w:val="1"/>
          <w:color w:val="auto"/>
        </w:rPr>
        <w:drawing>
          <wp:inline distT="0" distB="0" distL="0" distR="0">
            <wp:extent cx="68580" cy="4368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3"/>
          <w:szCs w:val="53"/>
          <w:color w:val="auto"/>
        </w:rPr>
        <w:t xml:space="preserve"> TABLE OF CONTENTS</w:t>
      </w:r>
    </w:p>
    <w:p>
      <w:pPr>
        <w:sectPr>
          <w:pgSz w:w="11900" w:h="16838" w:orient="portrait"/>
          <w:cols w:equalWidth="0" w:num="1">
            <w:col w:w="11220"/>
          </w:cols>
          <w:pgMar w:left="280" w:top="70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80" w:hanging="268"/>
        <w:spacing w:after="0"/>
        <w:tabs>
          <w:tab w:leader="none" w:pos="480" w:val="left"/>
        </w:tabs>
        <w:numPr>
          <w:ilvl w:val="0"/>
          <w:numId w:val="6"/>
        </w:numPr>
        <w:rPr>
          <w:rFonts w:ascii="Arial" w:cs="Arial" w:eastAsia="Arial" w:hAnsi="Arial"/>
          <w:sz w:val="16"/>
          <w:szCs w:val="16"/>
          <w:b w:val="1"/>
          <w:bCs w:val="1"/>
          <w:color w:val="003A5D"/>
        </w:rPr>
      </w:pPr>
      <w:r>
        <w:rPr>
          <w:rFonts w:ascii="Arial" w:cs="Arial" w:eastAsia="Arial" w:hAnsi="Arial"/>
          <w:sz w:val="16"/>
          <w:szCs w:val="16"/>
          <w:b w:val="1"/>
          <w:bCs w:val="1"/>
          <w:color w:val="003A5D"/>
        </w:rPr>
        <w:t>Proxy Summary</w:t>
      </w:r>
    </w:p>
    <w:p>
      <w:pPr>
        <w:spacing w:after="0" w:line="86" w:lineRule="exact"/>
        <w:rPr>
          <w:sz w:val="20"/>
          <w:szCs w:val="20"/>
          <w:color w:val="auto"/>
        </w:rPr>
      </w:pPr>
    </w:p>
    <w:p>
      <w:pPr>
        <w:ind w:left="480" w:hanging="268"/>
        <w:spacing w:after="0"/>
        <w:tabs>
          <w:tab w:leader="none" w:pos="480" w:val="left"/>
        </w:tabs>
        <w:numPr>
          <w:ilvl w:val="0"/>
          <w:numId w:val="7"/>
        </w:numPr>
        <w:rPr>
          <w:rFonts w:ascii="Arial" w:cs="Arial" w:eastAsia="Arial" w:hAnsi="Arial"/>
          <w:sz w:val="16"/>
          <w:szCs w:val="16"/>
          <w:b w:val="1"/>
          <w:bCs w:val="1"/>
          <w:color w:val="003A5D"/>
        </w:rPr>
      </w:pPr>
      <w:r>
        <w:rPr>
          <w:rFonts w:ascii="Arial" w:cs="Arial" w:eastAsia="Arial" w:hAnsi="Arial"/>
          <w:sz w:val="16"/>
          <w:szCs w:val="16"/>
          <w:b w:val="1"/>
          <w:bCs w:val="1"/>
          <w:color w:val="003A5D"/>
        </w:rPr>
        <w:t>Questions and Answers About the Meeting</w:t>
      </w:r>
    </w:p>
    <w:p>
      <w:pPr>
        <w:spacing w:after="0" w:line="86" w:lineRule="exact"/>
        <w:rPr>
          <w:sz w:val="20"/>
          <w:szCs w:val="20"/>
          <w:color w:val="auto"/>
        </w:rPr>
      </w:pPr>
    </w:p>
    <w:p>
      <w:pPr>
        <w:ind w:left="480" w:hanging="268"/>
        <w:spacing w:after="0"/>
        <w:tabs>
          <w:tab w:leader="none" w:pos="480" w:val="left"/>
        </w:tabs>
        <w:numPr>
          <w:ilvl w:val="0"/>
          <w:numId w:val="8"/>
        </w:numPr>
        <w:rPr>
          <w:rFonts w:ascii="Arial" w:cs="Arial" w:eastAsia="Arial" w:hAnsi="Arial"/>
          <w:sz w:val="16"/>
          <w:szCs w:val="16"/>
          <w:b w:val="1"/>
          <w:bCs w:val="1"/>
          <w:color w:val="003A5D"/>
        </w:rPr>
      </w:pPr>
      <w:r>
        <w:rPr>
          <w:rFonts w:ascii="Arial" w:cs="Arial" w:eastAsia="Arial" w:hAnsi="Arial"/>
          <w:sz w:val="16"/>
          <w:szCs w:val="16"/>
          <w:b w:val="1"/>
          <w:bCs w:val="1"/>
          <w:color w:val="003A5D"/>
        </w:rPr>
        <w:t>Proposals for Vote</w:t>
      </w:r>
    </w:p>
    <w:p>
      <w:pPr>
        <w:spacing w:after="0" w:line="39" w:lineRule="exact"/>
        <w:rPr>
          <w:sz w:val="20"/>
          <w:szCs w:val="20"/>
          <w:color w:val="auto"/>
        </w:rPr>
      </w:pPr>
    </w:p>
    <w:p>
      <w:pPr>
        <w:ind w:left="920" w:hanging="283"/>
        <w:spacing w:after="0"/>
        <w:tabs>
          <w:tab w:leader="none" w:pos="920" w:val="left"/>
        </w:tabs>
        <w:numPr>
          <w:ilvl w:val="0"/>
          <w:numId w:val="9"/>
        </w:numPr>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Item 1 </w:t>
      </w:r>
      <w:r>
        <w:rPr>
          <w:rFonts w:ascii="Arial" w:cs="Arial" w:eastAsia="Arial" w:hAnsi="Arial"/>
          <w:sz w:val="16"/>
          <w:szCs w:val="16"/>
          <w:color w:val="000000"/>
        </w:rPr>
        <w:t>- Election of Directors</w:t>
      </w:r>
    </w:p>
    <w:p>
      <w:pPr>
        <w:spacing w:after="0" w:line="32" w:lineRule="exact"/>
        <w:rPr>
          <w:rFonts w:ascii="Arial" w:cs="Arial" w:eastAsia="Arial" w:hAnsi="Arial"/>
          <w:sz w:val="16"/>
          <w:szCs w:val="16"/>
          <w:b w:val="1"/>
          <w:bCs w:val="1"/>
          <w:color w:val="003A5D"/>
        </w:rPr>
      </w:pPr>
    </w:p>
    <w:p>
      <w:pPr>
        <w:ind w:left="920" w:right="220" w:hanging="283"/>
        <w:spacing w:after="0" w:line="188" w:lineRule="auto"/>
        <w:tabs>
          <w:tab w:leader="none" w:pos="920" w:val="left"/>
        </w:tabs>
        <w:numPr>
          <w:ilvl w:val="0"/>
          <w:numId w:val="9"/>
        </w:numPr>
        <w:rPr>
          <w:rFonts w:ascii="Arial" w:cs="Arial" w:eastAsia="Arial" w:hAnsi="Arial"/>
          <w:sz w:val="27"/>
          <w:szCs w:val="27"/>
          <w:b w:val="1"/>
          <w:bCs w:val="1"/>
          <w:color w:val="003A5D"/>
          <w:vertAlign w:val="subscript"/>
        </w:rPr>
      </w:pPr>
      <w:r>
        <w:rPr>
          <w:rFonts w:ascii="Arial" w:cs="Arial" w:eastAsia="Arial" w:hAnsi="Arial"/>
          <w:sz w:val="14"/>
          <w:szCs w:val="14"/>
          <w:b w:val="1"/>
          <w:bCs w:val="1"/>
          <w:color w:val="003A5D"/>
        </w:rPr>
        <w:t xml:space="preserve">Item 2 </w:t>
      </w:r>
      <w:r>
        <w:rPr>
          <w:rFonts w:ascii="Arial" w:cs="Arial" w:eastAsia="Arial" w:hAnsi="Arial"/>
          <w:sz w:val="14"/>
          <w:szCs w:val="14"/>
          <w:color w:val="000000"/>
        </w:rPr>
        <w:t>- Ratification of Appointment of Independent Registered</w:t>
      </w:r>
      <w:r>
        <w:rPr>
          <w:rFonts w:ascii="Arial" w:cs="Arial" w:eastAsia="Arial" w:hAnsi="Arial"/>
          <w:sz w:val="14"/>
          <w:szCs w:val="14"/>
          <w:b w:val="1"/>
          <w:bCs w:val="1"/>
          <w:color w:val="003A5D"/>
        </w:rPr>
        <w:t xml:space="preserve"> </w:t>
      </w:r>
      <w:r>
        <w:rPr>
          <w:rFonts w:ascii="Arial" w:cs="Arial" w:eastAsia="Arial" w:hAnsi="Arial"/>
          <w:sz w:val="14"/>
          <w:szCs w:val="14"/>
          <w:color w:val="000000"/>
        </w:rPr>
        <w:t>Public Accounting Firm</w:t>
      </w:r>
    </w:p>
    <w:p>
      <w:pPr>
        <w:spacing w:after="0" w:line="2" w:lineRule="exact"/>
        <w:rPr>
          <w:sz w:val="20"/>
          <w:szCs w:val="20"/>
          <w:color w:val="auto"/>
        </w:rPr>
      </w:pPr>
    </w:p>
    <w:p>
      <w:pPr>
        <w:ind w:left="920" w:right="460" w:hanging="283"/>
        <w:spacing w:after="0" w:line="182" w:lineRule="auto"/>
        <w:tabs>
          <w:tab w:leader="none" w:pos="920" w:val="left"/>
        </w:tabs>
        <w:numPr>
          <w:ilvl w:val="0"/>
          <w:numId w:val="10"/>
        </w:numPr>
        <w:rPr>
          <w:rFonts w:ascii="Arial" w:cs="Arial" w:eastAsia="Arial" w:hAnsi="Arial"/>
          <w:sz w:val="28"/>
          <w:szCs w:val="28"/>
          <w:b w:val="1"/>
          <w:bCs w:val="1"/>
          <w:color w:val="003A5D"/>
          <w:vertAlign w:val="subscript"/>
        </w:rPr>
      </w:pPr>
      <w:r>
        <w:rPr>
          <w:rFonts w:ascii="Arial" w:cs="Arial" w:eastAsia="Arial" w:hAnsi="Arial"/>
          <w:sz w:val="15"/>
          <w:szCs w:val="15"/>
          <w:b w:val="1"/>
          <w:bCs w:val="1"/>
          <w:color w:val="003A5D"/>
        </w:rPr>
        <w:t xml:space="preserve">Item 3 </w:t>
      </w:r>
      <w:r>
        <w:rPr>
          <w:rFonts w:ascii="Arial" w:cs="Arial" w:eastAsia="Arial" w:hAnsi="Arial"/>
          <w:sz w:val="15"/>
          <w:szCs w:val="15"/>
          <w:color w:val="000000"/>
        </w:rPr>
        <w:t>- Advisory Vote to Approve Named Executive Officer</w:t>
      </w:r>
      <w:r>
        <w:rPr>
          <w:rFonts w:ascii="Arial" w:cs="Arial" w:eastAsia="Arial" w:hAnsi="Arial"/>
          <w:sz w:val="15"/>
          <w:szCs w:val="15"/>
          <w:b w:val="1"/>
          <w:bCs w:val="1"/>
          <w:color w:val="003A5D"/>
        </w:rPr>
        <w:t xml:space="preserve"> </w:t>
      </w:r>
      <w:r>
        <w:rPr>
          <w:rFonts w:ascii="Arial" w:cs="Arial" w:eastAsia="Arial" w:hAnsi="Arial"/>
          <w:sz w:val="15"/>
          <w:szCs w:val="15"/>
          <w:color w:val="000000"/>
        </w:rPr>
        <w:t>Compensation</w:t>
      </w:r>
    </w:p>
    <w:p>
      <w:pPr>
        <w:ind w:left="920"/>
        <w:spacing w:after="0" w:line="236" w:lineRule="auto"/>
        <w:rPr>
          <w:sz w:val="20"/>
          <w:szCs w:val="20"/>
          <w:color w:val="auto"/>
        </w:rPr>
      </w:pPr>
      <w:r>
        <w:rPr>
          <w:rFonts w:ascii="Arial" w:cs="Arial" w:eastAsia="Arial" w:hAnsi="Arial"/>
          <w:sz w:val="16"/>
          <w:szCs w:val="16"/>
          <w:b w:val="1"/>
          <w:bCs w:val="1"/>
          <w:color w:val="003A5D"/>
        </w:rPr>
        <w:t xml:space="preserve">Item 4 </w:t>
      </w:r>
      <w:r>
        <w:rPr>
          <w:rFonts w:ascii="Arial" w:cs="Arial" w:eastAsia="Arial" w:hAnsi="Arial"/>
          <w:sz w:val="16"/>
          <w:szCs w:val="16"/>
          <w:color w:val="000000"/>
        </w:rPr>
        <w:t>- Approval of Management Proposal to Amend the</w:t>
      </w:r>
    </w:p>
    <w:p>
      <w:pPr>
        <w:ind w:left="920" w:hanging="328"/>
        <w:spacing w:after="0" w:line="235" w:lineRule="auto"/>
        <w:tabs>
          <w:tab w:leader="none" w:pos="920" w:val="left"/>
        </w:tabs>
        <w:numPr>
          <w:ilvl w:val="0"/>
          <w:numId w:val="11"/>
        </w:numPr>
        <w:rPr>
          <w:rFonts w:ascii="Arial" w:cs="Arial" w:eastAsia="Arial" w:hAnsi="Arial"/>
          <w:sz w:val="16"/>
          <w:szCs w:val="16"/>
          <w:b w:val="1"/>
          <w:bCs w:val="1"/>
          <w:color w:val="003A5D"/>
        </w:rPr>
      </w:pPr>
      <w:r>
        <w:rPr>
          <w:rFonts w:ascii="Arial" w:cs="Arial" w:eastAsia="Arial" w:hAnsi="Arial"/>
          <w:sz w:val="16"/>
          <w:szCs w:val="16"/>
          <w:color w:val="auto"/>
        </w:rPr>
        <w:t>Company’s Restated Certificate of Incorporation to Provide for the Phased-In Declassification of the Board of Directors</w:t>
      </w:r>
    </w:p>
    <w:p>
      <w:pPr>
        <w:spacing w:after="0" w:line="56" w:lineRule="exact"/>
        <w:rPr>
          <w:sz w:val="20"/>
          <w:szCs w:val="20"/>
          <w:color w:val="auto"/>
        </w:rPr>
      </w:pPr>
    </w:p>
    <w:p>
      <w:pPr>
        <w:ind w:left="600" w:right="1100" w:hanging="433"/>
        <w:spacing w:after="0" w:line="286" w:lineRule="auto"/>
        <w:tabs>
          <w:tab w:leader="none" w:pos="492" w:val="left"/>
        </w:tabs>
        <w:numPr>
          <w:ilvl w:val="0"/>
          <w:numId w:val="12"/>
        </w:numPr>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Report on the Board of Directors and its Committees 12 </w:t>
      </w:r>
      <w:r>
        <w:rPr>
          <w:rFonts w:ascii="Arial" w:cs="Arial" w:eastAsia="Arial" w:hAnsi="Arial"/>
          <w:sz w:val="16"/>
          <w:szCs w:val="16"/>
          <w:color w:val="000000"/>
        </w:rPr>
        <w:t>Our Board of Directors</w:t>
      </w:r>
    </w:p>
    <w:p>
      <w:pPr>
        <w:ind w:left="6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12  </w:t>
      </w:r>
      <w:r>
        <w:rPr>
          <w:rFonts w:ascii="Arial" w:cs="Arial" w:eastAsia="Arial" w:hAnsi="Arial"/>
          <w:sz w:val="16"/>
          <w:szCs w:val="16"/>
          <w:color w:val="000000"/>
        </w:rPr>
        <w:t>Nominees for Director</w:t>
      </w:r>
    </w:p>
    <w:p>
      <w:pPr>
        <w:spacing w:after="0" w:line="32" w:lineRule="exact"/>
        <w:rPr>
          <w:rFonts w:ascii="Arial" w:cs="Arial" w:eastAsia="Arial" w:hAnsi="Arial"/>
          <w:sz w:val="16"/>
          <w:szCs w:val="16"/>
          <w:b w:val="1"/>
          <w:bCs w:val="1"/>
          <w:color w:val="003A5D"/>
        </w:rPr>
      </w:pPr>
    </w:p>
    <w:p>
      <w:pPr>
        <w:ind w:left="6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14  </w:t>
      </w:r>
      <w:r>
        <w:rPr>
          <w:rFonts w:ascii="Arial" w:cs="Arial" w:eastAsia="Arial" w:hAnsi="Arial"/>
          <w:sz w:val="16"/>
          <w:szCs w:val="16"/>
          <w:color w:val="000000"/>
        </w:rPr>
        <w:t>Directors Remaining in Office</w:t>
      </w:r>
    </w:p>
    <w:p>
      <w:pPr>
        <w:spacing w:after="0" w:line="32" w:lineRule="exact"/>
        <w:rPr>
          <w:rFonts w:ascii="Arial" w:cs="Arial" w:eastAsia="Arial" w:hAnsi="Arial"/>
          <w:sz w:val="16"/>
          <w:szCs w:val="16"/>
          <w:b w:val="1"/>
          <w:bCs w:val="1"/>
          <w:color w:val="003A5D"/>
        </w:rPr>
      </w:pPr>
    </w:p>
    <w:p>
      <w:pPr>
        <w:ind w:left="6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18  </w:t>
      </w:r>
      <w:r>
        <w:rPr>
          <w:rFonts w:ascii="Arial" w:cs="Arial" w:eastAsia="Arial" w:hAnsi="Arial"/>
          <w:sz w:val="16"/>
          <w:szCs w:val="16"/>
          <w:color w:val="000000"/>
        </w:rPr>
        <w:t>Summary of Director Attributes and Skills</w:t>
      </w:r>
    </w:p>
    <w:p>
      <w:pPr>
        <w:spacing w:after="0" w:line="32" w:lineRule="exact"/>
        <w:rPr>
          <w:rFonts w:ascii="Arial" w:cs="Arial" w:eastAsia="Arial" w:hAnsi="Arial"/>
          <w:sz w:val="16"/>
          <w:szCs w:val="16"/>
          <w:b w:val="1"/>
          <w:bCs w:val="1"/>
          <w:color w:val="003A5D"/>
        </w:rPr>
      </w:pPr>
    </w:p>
    <w:p>
      <w:pPr>
        <w:ind w:left="6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19  </w:t>
      </w:r>
      <w:r>
        <w:rPr>
          <w:rFonts w:ascii="Arial" w:cs="Arial" w:eastAsia="Arial" w:hAnsi="Arial"/>
          <w:sz w:val="16"/>
          <w:szCs w:val="16"/>
          <w:color w:val="000000"/>
        </w:rPr>
        <w:t>2022 Board and Committee Meetings and Attendance</w:t>
      </w:r>
    </w:p>
    <w:p>
      <w:pPr>
        <w:spacing w:after="0" w:line="32" w:lineRule="exact"/>
        <w:rPr>
          <w:rFonts w:ascii="Arial" w:cs="Arial" w:eastAsia="Arial" w:hAnsi="Arial"/>
          <w:sz w:val="16"/>
          <w:szCs w:val="16"/>
          <w:b w:val="1"/>
          <w:bCs w:val="1"/>
          <w:color w:val="003A5D"/>
        </w:rPr>
      </w:pPr>
    </w:p>
    <w:p>
      <w:pPr>
        <w:ind w:left="6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19  </w:t>
      </w:r>
      <w:r>
        <w:rPr>
          <w:rFonts w:ascii="Arial" w:cs="Arial" w:eastAsia="Arial" w:hAnsi="Arial"/>
          <w:sz w:val="16"/>
          <w:szCs w:val="16"/>
          <w:color w:val="000000"/>
        </w:rPr>
        <w:t>Committee Charters</w:t>
      </w:r>
    </w:p>
    <w:p>
      <w:pPr>
        <w:spacing w:after="0" w:line="32" w:lineRule="exact"/>
        <w:rPr>
          <w:rFonts w:ascii="Arial" w:cs="Arial" w:eastAsia="Arial" w:hAnsi="Arial"/>
          <w:sz w:val="16"/>
          <w:szCs w:val="16"/>
          <w:b w:val="1"/>
          <w:bCs w:val="1"/>
          <w:color w:val="003A5D"/>
        </w:rPr>
      </w:pPr>
    </w:p>
    <w:p>
      <w:pPr>
        <w:ind w:left="6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20  </w:t>
      </w:r>
      <w:r>
        <w:rPr>
          <w:rFonts w:ascii="Arial" w:cs="Arial" w:eastAsia="Arial" w:hAnsi="Arial"/>
          <w:sz w:val="16"/>
          <w:szCs w:val="16"/>
          <w:color w:val="000000"/>
        </w:rPr>
        <w:t>Compensation Committee Interlocks and Insider Participation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21  Corporate Governance</w:t>
      </w:r>
    </w:p>
    <w:p>
      <w:pPr>
        <w:spacing w:after="0" w:line="39" w:lineRule="exact"/>
        <w:rPr>
          <w:sz w:val="20"/>
          <w:szCs w:val="20"/>
          <w:color w:val="auto"/>
        </w:rPr>
      </w:pPr>
    </w:p>
    <w:p>
      <w:pPr>
        <w:ind w:left="920" w:hanging="328"/>
        <w:spacing w:after="0"/>
        <w:tabs>
          <w:tab w:leader="none" w:pos="920" w:val="left"/>
        </w:tabs>
        <w:numPr>
          <w:ilvl w:val="0"/>
          <w:numId w:val="13"/>
        </w:numPr>
        <w:rPr>
          <w:rFonts w:ascii="Arial" w:cs="Arial" w:eastAsia="Arial" w:hAnsi="Arial"/>
          <w:sz w:val="16"/>
          <w:szCs w:val="16"/>
          <w:b w:val="1"/>
          <w:bCs w:val="1"/>
          <w:color w:val="003A5D"/>
        </w:rPr>
      </w:pPr>
      <w:r>
        <w:rPr>
          <w:rFonts w:ascii="Arial" w:cs="Arial" w:eastAsia="Arial" w:hAnsi="Arial"/>
          <w:sz w:val="16"/>
          <w:szCs w:val="16"/>
          <w:color w:val="auto"/>
        </w:rPr>
        <w:t>Separation of Board Chairman and Chief Executive Officer</w:t>
      </w:r>
    </w:p>
    <w:p>
      <w:pPr>
        <w:spacing w:after="0" w:line="32" w:lineRule="exact"/>
        <w:rPr>
          <w:rFonts w:ascii="Arial" w:cs="Arial" w:eastAsia="Arial" w:hAnsi="Arial"/>
          <w:sz w:val="16"/>
          <w:szCs w:val="16"/>
          <w:b w:val="1"/>
          <w:bCs w:val="1"/>
          <w:color w:val="003A5D"/>
        </w:rPr>
      </w:pPr>
    </w:p>
    <w:p>
      <w:pPr>
        <w:ind w:left="920" w:hanging="328"/>
        <w:spacing w:after="0"/>
        <w:tabs>
          <w:tab w:leader="none" w:pos="920" w:val="left"/>
        </w:tabs>
        <w:numPr>
          <w:ilvl w:val="0"/>
          <w:numId w:val="14"/>
        </w:numPr>
        <w:rPr>
          <w:rFonts w:ascii="Arial" w:cs="Arial" w:eastAsia="Arial" w:hAnsi="Arial"/>
          <w:sz w:val="16"/>
          <w:szCs w:val="16"/>
          <w:b w:val="1"/>
          <w:bCs w:val="1"/>
          <w:color w:val="003A5D"/>
        </w:rPr>
      </w:pPr>
      <w:r>
        <w:rPr>
          <w:rFonts w:ascii="Arial" w:cs="Arial" w:eastAsia="Arial" w:hAnsi="Arial"/>
          <w:sz w:val="16"/>
          <w:szCs w:val="16"/>
          <w:color w:val="auto"/>
        </w:rPr>
        <w:t>Board and Committee Evaluations</w:t>
      </w:r>
    </w:p>
    <w:p>
      <w:pPr>
        <w:spacing w:after="0" w:line="32" w:lineRule="exact"/>
        <w:rPr>
          <w:rFonts w:ascii="Arial" w:cs="Arial" w:eastAsia="Arial" w:hAnsi="Arial"/>
          <w:sz w:val="16"/>
          <w:szCs w:val="16"/>
          <w:b w:val="1"/>
          <w:bCs w:val="1"/>
          <w:color w:val="003A5D"/>
        </w:rPr>
      </w:pPr>
    </w:p>
    <w:p>
      <w:pPr>
        <w:ind w:left="920" w:hanging="328"/>
        <w:spacing w:after="0"/>
        <w:tabs>
          <w:tab w:leader="none" w:pos="920" w:val="left"/>
        </w:tabs>
        <w:numPr>
          <w:ilvl w:val="0"/>
          <w:numId w:val="14"/>
        </w:numPr>
        <w:rPr>
          <w:rFonts w:ascii="Arial" w:cs="Arial" w:eastAsia="Arial" w:hAnsi="Arial"/>
          <w:sz w:val="16"/>
          <w:szCs w:val="16"/>
          <w:b w:val="1"/>
          <w:bCs w:val="1"/>
          <w:color w:val="003A5D"/>
        </w:rPr>
      </w:pPr>
      <w:r>
        <w:rPr>
          <w:rFonts w:ascii="Arial" w:cs="Arial" w:eastAsia="Arial" w:hAnsi="Arial"/>
          <w:sz w:val="16"/>
          <w:szCs w:val="16"/>
          <w:color w:val="auto"/>
        </w:rPr>
        <w:t>Inclusion and Diversity</w:t>
      </w:r>
    </w:p>
    <w:p>
      <w:pPr>
        <w:spacing w:after="0" w:line="32" w:lineRule="exact"/>
        <w:rPr>
          <w:rFonts w:ascii="Arial" w:cs="Arial" w:eastAsia="Arial" w:hAnsi="Arial"/>
          <w:sz w:val="16"/>
          <w:szCs w:val="16"/>
          <w:b w:val="1"/>
          <w:bCs w:val="1"/>
          <w:color w:val="003A5D"/>
        </w:rPr>
      </w:pPr>
    </w:p>
    <w:p>
      <w:pPr>
        <w:ind w:left="920" w:hanging="328"/>
        <w:spacing w:after="0"/>
        <w:tabs>
          <w:tab w:leader="none" w:pos="920" w:val="left"/>
        </w:tabs>
        <w:numPr>
          <w:ilvl w:val="0"/>
          <w:numId w:val="14"/>
        </w:numPr>
        <w:rPr>
          <w:rFonts w:ascii="Arial" w:cs="Arial" w:eastAsia="Arial" w:hAnsi="Arial"/>
          <w:sz w:val="16"/>
          <w:szCs w:val="16"/>
          <w:b w:val="1"/>
          <w:bCs w:val="1"/>
          <w:color w:val="003A5D"/>
        </w:rPr>
      </w:pPr>
      <w:r>
        <w:rPr>
          <w:rFonts w:ascii="Arial" w:cs="Arial" w:eastAsia="Arial" w:hAnsi="Arial"/>
          <w:sz w:val="16"/>
          <w:szCs w:val="16"/>
          <w:color w:val="auto"/>
        </w:rPr>
        <w:t>Selection of Director Nominees</w:t>
      </w:r>
    </w:p>
    <w:p>
      <w:pPr>
        <w:spacing w:after="0" w:line="32" w:lineRule="exact"/>
        <w:rPr>
          <w:sz w:val="20"/>
          <w:szCs w:val="20"/>
          <w:color w:val="auto"/>
        </w:rPr>
      </w:pPr>
    </w:p>
    <w:p>
      <w:pPr>
        <w:ind w:left="920" w:hanging="328"/>
        <w:spacing w:after="0"/>
        <w:tabs>
          <w:tab w:leader="none" w:pos="920" w:val="left"/>
        </w:tabs>
        <w:numPr>
          <w:ilvl w:val="0"/>
          <w:numId w:val="15"/>
        </w:numPr>
        <w:rPr>
          <w:rFonts w:ascii="Arial" w:cs="Arial" w:eastAsia="Arial" w:hAnsi="Arial"/>
          <w:sz w:val="16"/>
          <w:szCs w:val="16"/>
          <w:b w:val="1"/>
          <w:bCs w:val="1"/>
          <w:color w:val="003A5D"/>
        </w:rPr>
      </w:pPr>
      <w:r>
        <w:rPr>
          <w:rFonts w:ascii="Arial" w:cs="Arial" w:eastAsia="Arial" w:hAnsi="Arial"/>
          <w:sz w:val="16"/>
          <w:szCs w:val="16"/>
          <w:color w:val="auto"/>
        </w:rPr>
        <w:t>Director Independence</w:t>
      </w:r>
    </w:p>
    <w:p>
      <w:pPr>
        <w:spacing w:after="0" w:line="32" w:lineRule="exact"/>
        <w:rPr>
          <w:rFonts w:ascii="Arial" w:cs="Arial" w:eastAsia="Arial" w:hAnsi="Arial"/>
          <w:sz w:val="16"/>
          <w:szCs w:val="16"/>
          <w:b w:val="1"/>
          <w:bCs w:val="1"/>
          <w:color w:val="003A5D"/>
        </w:rPr>
      </w:pPr>
    </w:p>
    <w:p>
      <w:pPr>
        <w:ind w:left="920" w:hanging="328"/>
        <w:spacing w:after="0"/>
        <w:tabs>
          <w:tab w:leader="none" w:pos="920" w:val="left"/>
        </w:tabs>
        <w:numPr>
          <w:ilvl w:val="0"/>
          <w:numId w:val="16"/>
        </w:numPr>
        <w:rPr>
          <w:rFonts w:ascii="Arial" w:cs="Arial" w:eastAsia="Arial" w:hAnsi="Arial"/>
          <w:sz w:val="16"/>
          <w:szCs w:val="16"/>
          <w:b w:val="1"/>
          <w:bCs w:val="1"/>
          <w:color w:val="003A5D"/>
        </w:rPr>
      </w:pPr>
      <w:r>
        <w:rPr>
          <w:rFonts w:ascii="Arial" w:cs="Arial" w:eastAsia="Arial" w:hAnsi="Arial"/>
          <w:sz w:val="16"/>
          <w:szCs w:val="16"/>
          <w:color w:val="auto"/>
        </w:rPr>
        <w:t>Risk Oversight</w:t>
      </w:r>
    </w:p>
    <w:p>
      <w:pPr>
        <w:spacing w:after="0" w:line="32" w:lineRule="exact"/>
        <w:rPr>
          <w:rFonts w:ascii="Arial" w:cs="Arial" w:eastAsia="Arial" w:hAnsi="Arial"/>
          <w:sz w:val="16"/>
          <w:szCs w:val="16"/>
          <w:b w:val="1"/>
          <w:bCs w:val="1"/>
          <w:color w:val="003A5D"/>
        </w:rPr>
      </w:pPr>
    </w:p>
    <w:p>
      <w:pPr>
        <w:ind w:left="920" w:hanging="328"/>
        <w:spacing w:after="0"/>
        <w:tabs>
          <w:tab w:leader="none" w:pos="920" w:val="left"/>
        </w:tabs>
        <w:numPr>
          <w:ilvl w:val="0"/>
          <w:numId w:val="16"/>
        </w:numPr>
        <w:rPr>
          <w:rFonts w:ascii="Arial" w:cs="Arial" w:eastAsia="Arial" w:hAnsi="Arial"/>
          <w:sz w:val="16"/>
          <w:szCs w:val="16"/>
          <w:b w:val="1"/>
          <w:bCs w:val="1"/>
          <w:color w:val="003A5D"/>
        </w:rPr>
      </w:pPr>
      <w:r>
        <w:rPr>
          <w:rFonts w:ascii="Arial" w:cs="Arial" w:eastAsia="Arial" w:hAnsi="Arial"/>
          <w:sz w:val="16"/>
          <w:szCs w:val="16"/>
          <w:color w:val="auto"/>
        </w:rPr>
        <w:t>Oversight of CyberSecurity</w:t>
      </w:r>
    </w:p>
    <w:p>
      <w:pPr>
        <w:spacing w:after="0" w:line="32" w:lineRule="exact"/>
        <w:rPr>
          <w:sz w:val="20"/>
          <w:szCs w:val="20"/>
          <w:color w:val="auto"/>
        </w:rPr>
      </w:pPr>
    </w:p>
    <w:p>
      <w:pPr>
        <w:ind w:left="920" w:right="300" w:hanging="328"/>
        <w:spacing w:after="0" w:line="188" w:lineRule="auto"/>
        <w:tabs>
          <w:tab w:leader="none" w:pos="920" w:val="left"/>
        </w:tabs>
        <w:numPr>
          <w:ilvl w:val="0"/>
          <w:numId w:val="17"/>
        </w:numPr>
        <w:rPr>
          <w:rFonts w:ascii="Arial" w:cs="Arial" w:eastAsia="Arial" w:hAnsi="Arial"/>
          <w:sz w:val="27"/>
          <w:szCs w:val="27"/>
          <w:b w:val="1"/>
          <w:bCs w:val="1"/>
          <w:color w:val="003A5D"/>
          <w:vertAlign w:val="subscript"/>
        </w:rPr>
      </w:pPr>
      <w:r>
        <w:rPr>
          <w:rFonts w:ascii="Arial" w:cs="Arial" w:eastAsia="Arial" w:hAnsi="Arial"/>
          <w:sz w:val="14"/>
          <w:szCs w:val="14"/>
          <w:color w:val="auto"/>
        </w:rPr>
        <w:t>Board and Committee Oversight of Environmental, Social and Governance</w:t>
      </w:r>
    </w:p>
    <w:p>
      <w:pPr>
        <w:spacing w:after="0" w:line="2" w:lineRule="exact"/>
        <w:rPr>
          <w:rFonts w:ascii="Arial" w:cs="Arial" w:eastAsia="Arial" w:hAnsi="Arial"/>
          <w:sz w:val="27"/>
          <w:szCs w:val="27"/>
          <w:b w:val="1"/>
          <w:bCs w:val="1"/>
          <w:color w:val="003A5D"/>
          <w:vertAlign w:val="subscript"/>
        </w:rPr>
      </w:pPr>
    </w:p>
    <w:p>
      <w:pPr>
        <w:ind w:left="920" w:hanging="328"/>
        <w:spacing w:after="0"/>
        <w:tabs>
          <w:tab w:leader="none" w:pos="920" w:val="left"/>
        </w:tabs>
        <w:numPr>
          <w:ilvl w:val="0"/>
          <w:numId w:val="17"/>
        </w:numPr>
        <w:rPr>
          <w:rFonts w:ascii="Arial" w:cs="Arial" w:eastAsia="Arial" w:hAnsi="Arial"/>
          <w:sz w:val="16"/>
          <w:szCs w:val="16"/>
          <w:b w:val="1"/>
          <w:bCs w:val="1"/>
          <w:color w:val="003A5D"/>
        </w:rPr>
      </w:pPr>
      <w:r>
        <w:rPr>
          <w:rFonts w:ascii="Arial" w:cs="Arial" w:eastAsia="Arial" w:hAnsi="Arial"/>
          <w:sz w:val="16"/>
          <w:szCs w:val="16"/>
          <w:color w:val="auto"/>
        </w:rPr>
        <w:t>Communications with the Board</w:t>
      </w:r>
    </w:p>
    <w:p>
      <w:pPr>
        <w:spacing w:after="0" w:line="39" w:lineRule="exact"/>
        <w:rPr>
          <w:sz w:val="20"/>
          <w:szCs w:val="20"/>
          <w:color w:val="auto"/>
        </w:rPr>
      </w:pPr>
    </w:p>
    <w:p>
      <w:pPr>
        <w:ind w:left="920" w:hanging="328"/>
        <w:spacing w:after="0"/>
        <w:tabs>
          <w:tab w:leader="none" w:pos="920" w:val="left"/>
        </w:tabs>
        <w:numPr>
          <w:ilvl w:val="0"/>
          <w:numId w:val="18"/>
        </w:numPr>
        <w:rPr>
          <w:rFonts w:ascii="Arial" w:cs="Arial" w:eastAsia="Arial" w:hAnsi="Arial"/>
          <w:sz w:val="16"/>
          <w:szCs w:val="16"/>
          <w:b w:val="1"/>
          <w:bCs w:val="1"/>
          <w:color w:val="003A5D"/>
        </w:rPr>
      </w:pPr>
      <w:r>
        <w:rPr>
          <w:rFonts w:ascii="Arial" w:cs="Arial" w:eastAsia="Arial" w:hAnsi="Arial"/>
          <w:sz w:val="16"/>
          <w:szCs w:val="16"/>
          <w:color w:val="auto"/>
        </w:rPr>
        <w:t>Code of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right="880" w:hanging="417"/>
        <w:spacing w:after="0" w:line="286" w:lineRule="auto"/>
        <w:tabs>
          <w:tab w:leader="none" w:pos="352" w:val="left"/>
        </w:tabs>
        <w:numPr>
          <w:ilvl w:val="0"/>
          <w:numId w:val="19"/>
        </w:numPr>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Audit Committee Report and Independent Auditor Fees 26 </w:t>
      </w:r>
      <w:r>
        <w:rPr>
          <w:rFonts w:ascii="Arial" w:cs="Arial" w:eastAsia="Arial" w:hAnsi="Arial"/>
          <w:sz w:val="16"/>
          <w:szCs w:val="16"/>
          <w:color w:val="000000"/>
        </w:rPr>
        <w:t>Report of the Audit Committee</w:t>
      </w:r>
    </w:p>
    <w:p>
      <w:pPr>
        <w:ind w:left="460" w:right="140"/>
        <w:spacing w:after="0" w:line="312" w:lineRule="auto"/>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28 </w:t>
      </w:r>
      <w:r>
        <w:rPr>
          <w:rFonts w:ascii="Arial" w:cs="Arial" w:eastAsia="Arial" w:hAnsi="Arial"/>
          <w:sz w:val="16"/>
          <w:szCs w:val="16"/>
          <w:color w:val="000000"/>
        </w:rPr>
        <w:t>Pre-Approval of Independent Auditor Fees and Services Policy</w:t>
      </w:r>
      <w:r>
        <w:rPr>
          <w:rFonts w:ascii="Arial" w:cs="Arial" w:eastAsia="Arial" w:hAnsi="Arial"/>
          <w:sz w:val="16"/>
          <w:szCs w:val="16"/>
          <w:b w:val="1"/>
          <w:bCs w:val="1"/>
          <w:color w:val="003A5D"/>
        </w:rPr>
        <w:t xml:space="preserve"> 28 </w:t>
      </w:r>
      <w:r>
        <w:rPr>
          <w:rFonts w:ascii="Arial" w:cs="Arial" w:eastAsia="Arial" w:hAnsi="Arial"/>
          <w:sz w:val="16"/>
          <w:szCs w:val="16"/>
          <w:color w:val="000000"/>
        </w:rPr>
        <w:t>Independent Registered Public Accounting Firm Fee Disclosure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29  Executive and Director Compensation</w:t>
      </w:r>
    </w:p>
    <w:p>
      <w:pPr>
        <w:spacing w:after="0" w:line="39" w:lineRule="exact"/>
        <w:rPr>
          <w:sz w:val="20"/>
          <w:szCs w:val="20"/>
          <w:color w:val="auto"/>
        </w:rPr>
      </w:pPr>
    </w:p>
    <w:p>
      <w:pPr>
        <w:ind w:left="800" w:hanging="332"/>
        <w:spacing w:after="0"/>
        <w:tabs>
          <w:tab w:leader="none" w:pos="800" w:val="left"/>
        </w:tabs>
        <w:numPr>
          <w:ilvl w:val="0"/>
          <w:numId w:val="20"/>
        </w:numPr>
        <w:rPr>
          <w:rFonts w:ascii="Arial" w:cs="Arial" w:eastAsia="Arial" w:hAnsi="Arial"/>
          <w:sz w:val="16"/>
          <w:szCs w:val="16"/>
          <w:b w:val="1"/>
          <w:bCs w:val="1"/>
          <w:color w:val="003A5D"/>
        </w:rPr>
      </w:pPr>
      <w:r>
        <w:rPr>
          <w:rFonts w:ascii="Arial" w:cs="Arial" w:eastAsia="Arial" w:hAnsi="Arial"/>
          <w:sz w:val="16"/>
          <w:szCs w:val="16"/>
          <w:color w:val="auto"/>
        </w:rPr>
        <w:t>Compensation Discussion and Analysis</w:t>
      </w:r>
    </w:p>
    <w:p>
      <w:pPr>
        <w:spacing w:after="0" w:line="32" w:lineRule="exact"/>
        <w:rPr>
          <w:rFonts w:ascii="Arial" w:cs="Arial" w:eastAsia="Arial" w:hAnsi="Arial"/>
          <w:sz w:val="16"/>
          <w:szCs w:val="16"/>
          <w:b w:val="1"/>
          <w:bCs w:val="1"/>
          <w:color w:val="003A5D"/>
        </w:rPr>
      </w:pPr>
    </w:p>
    <w:p>
      <w:pPr>
        <w:ind w:left="800" w:hanging="332"/>
        <w:spacing w:after="0"/>
        <w:tabs>
          <w:tab w:leader="none" w:pos="800" w:val="left"/>
        </w:tabs>
        <w:numPr>
          <w:ilvl w:val="0"/>
          <w:numId w:val="20"/>
        </w:numPr>
        <w:rPr>
          <w:rFonts w:ascii="Arial" w:cs="Arial" w:eastAsia="Arial" w:hAnsi="Arial"/>
          <w:sz w:val="16"/>
          <w:szCs w:val="16"/>
          <w:b w:val="1"/>
          <w:bCs w:val="1"/>
          <w:color w:val="003A5D"/>
        </w:rPr>
      </w:pPr>
      <w:r>
        <w:rPr>
          <w:rFonts w:ascii="Arial" w:cs="Arial" w:eastAsia="Arial" w:hAnsi="Arial"/>
          <w:sz w:val="16"/>
          <w:szCs w:val="16"/>
          <w:color w:val="auto"/>
        </w:rPr>
        <w:t>Compensation Program Principles and Governance</w:t>
      </w:r>
    </w:p>
    <w:p>
      <w:pPr>
        <w:spacing w:after="0" w:line="32" w:lineRule="exact"/>
        <w:rPr>
          <w:rFonts w:ascii="Arial" w:cs="Arial" w:eastAsia="Arial" w:hAnsi="Arial"/>
          <w:sz w:val="16"/>
          <w:szCs w:val="16"/>
          <w:b w:val="1"/>
          <w:bCs w:val="1"/>
          <w:color w:val="003A5D"/>
        </w:rPr>
      </w:pPr>
    </w:p>
    <w:p>
      <w:pPr>
        <w:ind w:left="800" w:hanging="332"/>
        <w:spacing w:after="0"/>
        <w:tabs>
          <w:tab w:leader="none" w:pos="800" w:val="left"/>
        </w:tabs>
        <w:numPr>
          <w:ilvl w:val="0"/>
          <w:numId w:val="20"/>
        </w:numPr>
        <w:rPr>
          <w:rFonts w:ascii="Arial" w:cs="Arial" w:eastAsia="Arial" w:hAnsi="Arial"/>
          <w:sz w:val="16"/>
          <w:szCs w:val="16"/>
          <w:b w:val="1"/>
          <w:bCs w:val="1"/>
          <w:color w:val="003A5D"/>
        </w:rPr>
      </w:pPr>
      <w:r>
        <w:rPr>
          <w:rFonts w:ascii="Arial" w:cs="Arial" w:eastAsia="Arial" w:hAnsi="Arial"/>
          <w:sz w:val="16"/>
          <w:szCs w:val="16"/>
          <w:color w:val="auto"/>
        </w:rPr>
        <w:t>Compensation Process</w:t>
      </w:r>
    </w:p>
    <w:p>
      <w:pPr>
        <w:spacing w:after="0" w:line="32" w:lineRule="exact"/>
        <w:rPr>
          <w:sz w:val="20"/>
          <w:szCs w:val="20"/>
          <w:color w:val="auto"/>
        </w:rPr>
      </w:pPr>
    </w:p>
    <w:p>
      <w:pPr>
        <w:ind w:left="800" w:hanging="332"/>
        <w:spacing w:after="0"/>
        <w:tabs>
          <w:tab w:leader="none" w:pos="800" w:val="left"/>
        </w:tabs>
        <w:numPr>
          <w:ilvl w:val="0"/>
          <w:numId w:val="21"/>
        </w:numPr>
        <w:rPr>
          <w:rFonts w:ascii="Arial" w:cs="Arial" w:eastAsia="Arial" w:hAnsi="Arial"/>
          <w:sz w:val="16"/>
          <w:szCs w:val="16"/>
          <w:b w:val="1"/>
          <w:bCs w:val="1"/>
          <w:color w:val="003A5D"/>
        </w:rPr>
      </w:pPr>
      <w:r>
        <w:rPr>
          <w:rFonts w:ascii="Arial" w:cs="Arial" w:eastAsia="Arial" w:hAnsi="Arial"/>
          <w:sz w:val="16"/>
          <w:szCs w:val="16"/>
          <w:color w:val="auto"/>
        </w:rPr>
        <w:t>Analysis of Each Compensation Element</w:t>
      </w:r>
    </w:p>
    <w:p>
      <w:pPr>
        <w:spacing w:after="0" w:line="32" w:lineRule="exact"/>
        <w:rPr>
          <w:sz w:val="20"/>
          <w:szCs w:val="20"/>
          <w:color w:val="auto"/>
        </w:rPr>
      </w:pPr>
    </w:p>
    <w:p>
      <w:pPr>
        <w:ind w:left="800" w:hanging="332"/>
        <w:spacing w:after="0"/>
        <w:tabs>
          <w:tab w:leader="none" w:pos="800" w:val="left"/>
        </w:tabs>
        <w:numPr>
          <w:ilvl w:val="0"/>
          <w:numId w:val="22"/>
        </w:numPr>
        <w:rPr>
          <w:rFonts w:ascii="Arial" w:cs="Arial" w:eastAsia="Arial" w:hAnsi="Arial"/>
          <w:sz w:val="16"/>
          <w:szCs w:val="16"/>
          <w:b w:val="1"/>
          <w:bCs w:val="1"/>
          <w:color w:val="003A5D"/>
        </w:rPr>
      </w:pPr>
      <w:r>
        <w:rPr>
          <w:rFonts w:ascii="Arial" w:cs="Arial" w:eastAsia="Arial" w:hAnsi="Arial"/>
          <w:sz w:val="16"/>
          <w:szCs w:val="16"/>
          <w:color w:val="auto"/>
        </w:rPr>
        <w:t>Report of the Compensation Policy Committee</w:t>
      </w:r>
    </w:p>
    <w:p>
      <w:pPr>
        <w:spacing w:after="0" w:line="32" w:lineRule="exact"/>
        <w:rPr>
          <w:rFonts w:ascii="Arial" w:cs="Arial" w:eastAsia="Arial" w:hAnsi="Arial"/>
          <w:sz w:val="16"/>
          <w:szCs w:val="16"/>
          <w:b w:val="1"/>
          <w:bCs w:val="1"/>
          <w:color w:val="003A5D"/>
        </w:rPr>
      </w:pPr>
    </w:p>
    <w:p>
      <w:pPr>
        <w:ind w:left="900" w:right="1240" w:hanging="432"/>
        <w:spacing w:after="0" w:line="281" w:lineRule="auto"/>
        <w:tabs>
          <w:tab w:leader="none" w:pos="792" w:val="left"/>
        </w:tabs>
        <w:numPr>
          <w:ilvl w:val="0"/>
          <w:numId w:val="22"/>
        </w:numPr>
        <w:rPr>
          <w:rFonts w:ascii="Arial" w:cs="Arial" w:eastAsia="Arial" w:hAnsi="Arial"/>
          <w:sz w:val="16"/>
          <w:szCs w:val="16"/>
          <w:b w:val="1"/>
          <w:bCs w:val="1"/>
          <w:color w:val="003A5D"/>
        </w:rPr>
      </w:pPr>
      <w:r>
        <w:rPr>
          <w:rFonts w:ascii="Arial" w:cs="Arial" w:eastAsia="Arial" w:hAnsi="Arial"/>
          <w:sz w:val="16"/>
          <w:szCs w:val="16"/>
          <w:color w:val="auto"/>
        </w:rPr>
        <w:t xml:space="preserve">Executive Compensation Tables and Discussion </w:t>
      </w:r>
      <w:r>
        <w:rPr>
          <w:rFonts w:ascii="Arial" w:cs="Arial" w:eastAsia="Arial" w:hAnsi="Arial"/>
          <w:sz w:val="16"/>
          <w:szCs w:val="16"/>
          <w:b w:val="1"/>
          <w:bCs w:val="1"/>
          <w:color w:val="003A5D"/>
        </w:rPr>
        <w:t xml:space="preserve">42 </w:t>
      </w:r>
      <w:r>
        <w:rPr>
          <w:rFonts w:ascii="Arial" w:cs="Arial" w:eastAsia="Arial" w:hAnsi="Arial"/>
          <w:sz w:val="16"/>
          <w:szCs w:val="16"/>
          <w:color w:val="000000"/>
        </w:rPr>
        <w:t>Summary Compensation Table</w:t>
      </w:r>
    </w:p>
    <w:p>
      <w:pPr>
        <w:spacing w:after="0" w:line="1" w:lineRule="exact"/>
        <w:rPr>
          <w:rFonts w:ascii="Arial" w:cs="Arial" w:eastAsia="Arial" w:hAnsi="Arial"/>
          <w:sz w:val="16"/>
          <w:szCs w:val="16"/>
          <w:b w:val="1"/>
          <w:bCs w:val="1"/>
          <w:color w:val="003A5D"/>
        </w:rPr>
      </w:pPr>
    </w:p>
    <w:p>
      <w:pPr>
        <w:ind w:left="9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51  </w:t>
      </w:r>
      <w:r>
        <w:rPr>
          <w:rFonts w:ascii="Arial" w:cs="Arial" w:eastAsia="Arial" w:hAnsi="Arial"/>
          <w:sz w:val="16"/>
          <w:szCs w:val="16"/>
          <w:color w:val="000000"/>
        </w:rPr>
        <w:t>CEO Pay Ratio</w:t>
      </w:r>
    </w:p>
    <w:p>
      <w:pPr>
        <w:spacing w:after="0" w:line="32" w:lineRule="exact"/>
        <w:rPr>
          <w:rFonts w:ascii="Arial" w:cs="Arial" w:eastAsia="Arial" w:hAnsi="Arial"/>
          <w:sz w:val="16"/>
          <w:szCs w:val="16"/>
          <w:b w:val="1"/>
          <w:bCs w:val="1"/>
          <w:color w:val="003A5D"/>
        </w:rPr>
      </w:pPr>
    </w:p>
    <w:p>
      <w:pPr>
        <w:ind w:left="900"/>
        <w:spacing w:after="0"/>
        <w:rPr>
          <w:rFonts w:ascii="Arial" w:cs="Arial" w:eastAsia="Arial" w:hAnsi="Arial"/>
          <w:sz w:val="16"/>
          <w:szCs w:val="16"/>
          <w:b w:val="1"/>
          <w:bCs w:val="1"/>
          <w:color w:val="003A5D"/>
        </w:rPr>
      </w:pPr>
      <w:r>
        <w:rPr>
          <w:rFonts w:ascii="Arial" w:cs="Arial" w:eastAsia="Arial" w:hAnsi="Arial"/>
          <w:sz w:val="16"/>
          <w:szCs w:val="16"/>
          <w:b w:val="1"/>
          <w:bCs w:val="1"/>
          <w:color w:val="003A5D"/>
        </w:rPr>
        <w:t xml:space="preserve">51  </w:t>
      </w:r>
      <w:r>
        <w:rPr>
          <w:rFonts w:ascii="Arial" w:cs="Arial" w:eastAsia="Arial" w:hAnsi="Arial"/>
          <w:sz w:val="16"/>
          <w:szCs w:val="16"/>
          <w:color w:val="000000"/>
        </w:rPr>
        <w:t>Pay vs. Performance</w:t>
      </w:r>
    </w:p>
    <w:p>
      <w:pPr>
        <w:spacing w:after="0" w:line="32" w:lineRule="exact"/>
        <w:rPr>
          <w:sz w:val="20"/>
          <w:szCs w:val="20"/>
          <w:color w:val="auto"/>
        </w:rPr>
      </w:pPr>
    </w:p>
    <w:p>
      <w:pPr>
        <w:ind w:left="1220" w:hanging="320"/>
        <w:spacing w:after="0"/>
        <w:tabs>
          <w:tab w:leader="none" w:pos="1220" w:val="left"/>
        </w:tabs>
        <w:numPr>
          <w:ilvl w:val="0"/>
          <w:numId w:val="23"/>
        </w:numPr>
        <w:rPr>
          <w:rFonts w:ascii="Arial" w:cs="Arial" w:eastAsia="Arial" w:hAnsi="Arial"/>
          <w:sz w:val="16"/>
          <w:szCs w:val="16"/>
          <w:b w:val="1"/>
          <w:bCs w:val="1"/>
          <w:color w:val="003A5D"/>
        </w:rPr>
      </w:pPr>
      <w:r>
        <w:rPr>
          <w:rFonts w:ascii="Arial" w:cs="Arial" w:eastAsia="Arial" w:hAnsi="Arial"/>
          <w:sz w:val="16"/>
          <w:szCs w:val="16"/>
          <w:color w:val="auto"/>
        </w:rPr>
        <w:t>Compensation Arrangements for Non-Employee Directors</w:t>
      </w:r>
    </w:p>
    <w:p>
      <w:pPr>
        <w:spacing w:after="0" w:line="32" w:lineRule="exact"/>
        <w:rPr>
          <w:sz w:val="20"/>
          <w:szCs w:val="20"/>
          <w:color w:val="auto"/>
        </w:rPr>
      </w:pPr>
    </w:p>
    <w:p>
      <w:pPr>
        <w:ind w:left="1220" w:right="820" w:hanging="320"/>
        <w:spacing w:after="0" w:line="188" w:lineRule="auto"/>
        <w:tabs>
          <w:tab w:leader="none" w:pos="1220" w:val="left"/>
        </w:tabs>
        <w:numPr>
          <w:ilvl w:val="0"/>
          <w:numId w:val="24"/>
        </w:numPr>
        <w:rPr>
          <w:rFonts w:ascii="Arial" w:cs="Arial" w:eastAsia="Arial" w:hAnsi="Arial"/>
          <w:sz w:val="27"/>
          <w:szCs w:val="27"/>
          <w:b w:val="1"/>
          <w:bCs w:val="1"/>
          <w:color w:val="003A5D"/>
          <w:vertAlign w:val="subscript"/>
        </w:rPr>
      </w:pPr>
      <w:r>
        <w:rPr>
          <w:rFonts w:ascii="Arial" w:cs="Arial" w:eastAsia="Arial" w:hAnsi="Arial"/>
          <w:sz w:val="14"/>
          <w:szCs w:val="14"/>
          <w:color w:val="auto"/>
        </w:rPr>
        <w:t>Securities Authorized for Issuance Under Equity Compensation Plans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57  Stock Ownership</w:t>
      </w:r>
    </w:p>
    <w:p>
      <w:pPr>
        <w:spacing w:after="0" w:line="39" w:lineRule="exact"/>
        <w:rPr>
          <w:sz w:val="20"/>
          <w:szCs w:val="20"/>
          <w:color w:val="auto"/>
        </w:rPr>
      </w:pPr>
    </w:p>
    <w:p>
      <w:pPr>
        <w:ind w:left="800" w:hanging="332"/>
        <w:spacing w:after="0" w:line="188" w:lineRule="auto"/>
        <w:tabs>
          <w:tab w:leader="none" w:pos="800" w:val="left"/>
        </w:tabs>
        <w:numPr>
          <w:ilvl w:val="0"/>
          <w:numId w:val="25"/>
        </w:numPr>
        <w:rPr>
          <w:rFonts w:ascii="Arial" w:cs="Arial" w:eastAsia="Arial" w:hAnsi="Arial"/>
          <w:sz w:val="27"/>
          <w:szCs w:val="27"/>
          <w:b w:val="1"/>
          <w:bCs w:val="1"/>
          <w:color w:val="003A5D"/>
          <w:vertAlign w:val="subscript"/>
        </w:rPr>
      </w:pPr>
      <w:r>
        <w:rPr>
          <w:rFonts w:ascii="Arial" w:cs="Arial" w:eastAsia="Arial" w:hAnsi="Arial"/>
          <w:sz w:val="14"/>
          <w:szCs w:val="14"/>
          <w:color w:val="auto"/>
        </w:rPr>
        <w:t>Stock Ownership of Our Directors, Executive Officers and Certain Beneficial Owners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59  Transactions with Related Persons</w:t>
      </w:r>
    </w:p>
    <w:p>
      <w:pPr>
        <w:spacing w:after="0" w:line="39" w:lineRule="exact"/>
        <w:rPr>
          <w:sz w:val="20"/>
          <w:szCs w:val="20"/>
          <w:color w:val="auto"/>
        </w:rPr>
      </w:pPr>
    </w:p>
    <w:p>
      <w:pPr>
        <w:ind w:left="800" w:hanging="332"/>
        <w:spacing w:after="0"/>
        <w:tabs>
          <w:tab w:leader="none" w:pos="800" w:val="left"/>
        </w:tabs>
        <w:numPr>
          <w:ilvl w:val="0"/>
          <w:numId w:val="26"/>
        </w:numPr>
        <w:rPr>
          <w:rFonts w:ascii="Arial" w:cs="Arial" w:eastAsia="Arial" w:hAnsi="Arial"/>
          <w:sz w:val="16"/>
          <w:szCs w:val="16"/>
          <w:b w:val="1"/>
          <w:bCs w:val="1"/>
          <w:color w:val="003A5D"/>
        </w:rPr>
      </w:pPr>
      <w:r>
        <w:rPr>
          <w:rFonts w:ascii="Arial" w:cs="Arial" w:eastAsia="Arial" w:hAnsi="Arial"/>
          <w:sz w:val="16"/>
          <w:szCs w:val="16"/>
          <w:color w:val="auto"/>
        </w:rPr>
        <w:t>Policy on Transactions and Arrangements with Related Persons</w:t>
      </w:r>
    </w:p>
    <w:p>
      <w:pPr>
        <w:spacing w:after="0" w:line="32" w:lineRule="exact"/>
        <w:rPr>
          <w:rFonts w:ascii="Arial" w:cs="Arial" w:eastAsia="Arial" w:hAnsi="Arial"/>
          <w:sz w:val="16"/>
          <w:szCs w:val="16"/>
          <w:b w:val="1"/>
          <w:bCs w:val="1"/>
          <w:color w:val="003A5D"/>
        </w:rPr>
      </w:pPr>
    </w:p>
    <w:p>
      <w:pPr>
        <w:ind w:left="800" w:hanging="332"/>
        <w:spacing w:after="0"/>
        <w:tabs>
          <w:tab w:leader="none" w:pos="800" w:val="left"/>
        </w:tabs>
        <w:numPr>
          <w:ilvl w:val="0"/>
          <w:numId w:val="27"/>
        </w:numPr>
        <w:rPr>
          <w:rFonts w:ascii="Arial" w:cs="Arial" w:eastAsia="Arial" w:hAnsi="Arial"/>
          <w:sz w:val="16"/>
          <w:szCs w:val="16"/>
          <w:b w:val="1"/>
          <w:bCs w:val="1"/>
          <w:color w:val="003A5D"/>
        </w:rPr>
      </w:pPr>
      <w:r>
        <w:rPr>
          <w:rFonts w:ascii="Arial" w:cs="Arial" w:eastAsia="Arial" w:hAnsi="Arial"/>
          <w:sz w:val="16"/>
          <w:szCs w:val="16"/>
          <w:color w:val="auto"/>
        </w:rPr>
        <w:t>Certain Relationships and Potential Conflicts of Interest</w:t>
      </w:r>
    </w:p>
    <w:p>
      <w:pPr>
        <w:spacing w:after="0" w:line="79" w:lineRule="exact"/>
        <w:rPr>
          <w:sz w:val="20"/>
          <w:szCs w:val="20"/>
          <w:color w:val="auto"/>
        </w:rPr>
      </w:pPr>
    </w:p>
    <w:p>
      <w:pPr>
        <w:ind w:left="360" w:right="380" w:hanging="317"/>
        <w:spacing w:after="0" w:line="182" w:lineRule="auto"/>
        <w:tabs>
          <w:tab w:leader="none" w:pos="360" w:val="left"/>
        </w:tabs>
        <w:numPr>
          <w:ilvl w:val="0"/>
          <w:numId w:val="28"/>
        </w:numPr>
        <w:rPr>
          <w:rFonts w:ascii="Arial" w:cs="Arial" w:eastAsia="Arial" w:hAnsi="Arial"/>
          <w:sz w:val="29"/>
          <w:szCs w:val="29"/>
          <w:b w:val="1"/>
          <w:bCs w:val="1"/>
          <w:color w:val="003A5D"/>
          <w:vertAlign w:val="subscript"/>
        </w:rPr>
      </w:pPr>
      <w:r>
        <w:rPr>
          <w:rFonts w:ascii="Arial" w:cs="Arial" w:eastAsia="Arial" w:hAnsi="Arial"/>
          <w:sz w:val="15"/>
          <w:szCs w:val="15"/>
          <w:b w:val="1"/>
          <w:bCs w:val="1"/>
          <w:color w:val="003A5D"/>
        </w:rPr>
        <w:t>Stockholder Proposals and Nominations for Directors For the 2024 Annual Meeting</w:t>
      </w:r>
    </w:p>
    <w:p>
      <w:pPr>
        <w:spacing w:after="0" w:line="48" w:lineRule="exact"/>
        <w:rPr>
          <w:sz w:val="20"/>
          <w:szCs w:val="20"/>
          <w:color w:val="auto"/>
        </w:rPr>
      </w:pPr>
    </w:p>
    <w:p>
      <w:pPr>
        <w:ind w:right="2260" w:firstLine="41"/>
        <w:spacing w:after="0" w:line="405" w:lineRule="auto"/>
        <w:rPr>
          <w:sz w:val="20"/>
          <w:szCs w:val="20"/>
          <w:color w:val="auto"/>
        </w:rPr>
      </w:pPr>
      <w:r>
        <w:rPr>
          <w:rFonts w:ascii="Arial" w:cs="Arial" w:eastAsia="Arial" w:hAnsi="Arial"/>
          <w:sz w:val="16"/>
          <w:szCs w:val="16"/>
          <w:b w:val="1"/>
          <w:bCs w:val="1"/>
          <w:color w:val="003A5D"/>
        </w:rPr>
        <w:t>28 Other Information A-1 Appendix A - Proposed Amendments</w:t>
      </w:r>
    </w:p>
    <w:p>
      <w:pPr>
        <w:ind w:left="360" w:right="380" w:hanging="357"/>
        <w:spacing w:after="0" w:line="261" w:lineRule="auto"/>
        <w:rPr>
          <w:sz w:val="20"/>
          <w:szCs w:val="20"/>
          <w:color w:val="auto"/>
        </w:rPr>
      </w:pPr>
      <w:r>
        <w:rPr>
          <w:rFonts w:ascii="Arial" w:cs="Arial" w:eastAsia="Arial" w:hAnsi="Arial"/>
          <w:sz w:val="16"/>
          <w:szCs w:val="16"/>
          <w:b w:val="1"/>
          <w:bCs w:val="1"/>
          <w:color w:val="003A5D"/>
        </w:rPr>
        <w:t>B-1 Appendix B - Reconciliation of Non-GAAP Measures to GAAP Measures (Unaudited)</w:t>
      </w:r>
    </w:p>
    <w:p>
      <w:pPr>
        <w:spacing w:after="0" w:line="200" w:lineRule="exact"/>
        <w:rPr>
          <w:sz w:val="20"/>
          <w:szCs w:val="20"/>
          <w:color w:val="auto"/>
        </w:rPr>
      </w:pPr>
    </w:p>
    <w:p>
      <w:pPr>
        <w:sectPr>
          <w:pgSz w:w="11900" w:h="16838" w:orient="portrait"/>
          <w:cols w:equalWidth="0" w:num="2">
            <w:col w:w="5640" w:space="100"/>
            <w:col w:w="5480"/>
          </w:cols>
          <w:pgMar w:left="280" w:top="702" w:right="399" w:bottom="1440" w:gutter="0" w:footer="0" w:header="0"/>
          <w:type w:val="continuous"/>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Forward-Looking Statements and Website References</w:t>
      </w:r>
    </w:p>
    <w:p>
      <w:pPr>
        <w:spacing w:after="0" w:line="127" w:lineRule="exact"/>
        <w:rPr>
          <w:sz w:val="20"/>
          <w:szCs w:val="20"/>
          <w:color w:val="auto"/>
        </w:rPr>
      </w:pPr>
    </w:p>
    <w:p>
      <w:pPr>
        <w:ind w:left="40" w:right="20"/>
        <w:spacing w:after="0" w:line="259"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All statements other than statements of historical or current fact, including statements regarding our goals, and commitments, including those relating to environmental, social and governance strategy and matters,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Annual Report on Form 10-K for the fiscal year ended December 31, 2022. 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450850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280" w:top="702" w:right="399" w:bottom="1440" w:gutter="0" w:footer="0" w:header="0"/>
          <w:type w:val="continuous"/>
        </w:sectPr>
      </w:pPr>
    </w:p>
    <w:bookmarkStart w:id="5" w:name="page6"/>
    <w:bookmarkEnd w:id="5"/>
    <w:p>
      <w:pPr>
        <w:spacing w:after="0"/>
        <w:rPr>
          <w:sz w:val="20"/>
          <w:szCs w:val="20"/>
          <w:color w:val="auto"/>
        </w:rPr>
      </w:pPr>
      <w:r>
        <w:rPr>
          <w:sz w:val="1"/>
          <w:szCs w:val="1"/>
          <w:color w:val="auto"/>
        </w:rPr>
        <w:drawing>
          <wp:inline distT="0" distB="0" distL="0" distR="0">
            <wp:extent cx="68580" cy="4368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PROXY SUMMARY</w:t>
      </w:r>
    </w:p>
    <w:p>
      <w:pPr>
        <w:spacing w:after="0" w:line="337" w:lineRule="exact"/>
        <w:rPr>
          <w:sz w:val="20"/>
          <w:szCs w:val="20"/>
          <w:color w:val="auto"/>
        </w:rPr>
      </w:pPr>
    </w:p>
    <w:p>
      <w:pPr>
        <w:ind w:left="40" w:right="40"/>
        <w:spacing w:after="0" w:line="275"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of the information that you should consider in voting your shares. You should read the entire Proxy Statement as well as our Annual Report on Form 10-K for the fiscal year ended December 31, 2022 (the “2022 Annual Report”) carefully before voting.</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4E7D"/>
        </w:rPr>
        <w:t>VOTING MATTERS AND BOARD RECOMMENDATIONS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6620" w:type="dxa"/>
            <w:vAlign w:val="bottom"/>
            <w:tcBorders>
              <w:bottom w:val="single" w:sz="8" w:color="004987"/>
            </w:tcBorders>
            <w:gridSpan w:val="2"/>
          </w:tcPr>
          <w:p>
            <w:pPr>
              <w:ind w:left="20"/>
              <w:spacing w:after="0"/>
              <w:rPr>
                <w:sz w:val="20"/>
                <w:szCs w:val="20"/>
                <w:color w:val="auto"/>
              </w:rPr>
            </w:pPr>
            <w:r>
              <w:rPr>
                <w:rFonts w:ascii="Arial" w:cs="Arial" w:eastAsia="Arial" w:hAnsi="Arial"/>
                <w:sz w:val="16"/>
                <w:szCs w:val="16"/>
                <w:b w:val="1"/>
                <w:bCs w:val="1"/>
                <w:color w:val="004E7D"/>
              </w:rPr>
              <w:t>Proposal</w:t>
            </w:r>
          </w:p>
        </w:tc>
        <w:tc>
          <w:tcPr>
            <w:tcW w:w="2860" w:type="dxa"/>
            <w:vAlign w:val="bottom"/>
            <w:tcBorders>
              <w:bottom w:val="single" w:sz="8" w:color="004987"/>
            </w:tcBorders>
          </w:tcPr>
          <w:p>
            <w:pPr>
              <w:jc w:val="center"/>
              <w:ind w:left="119"/>
              <w:spacing w:after="0"/>
              <w:rPr>
                <w:sz w:val="20"/>
                <w:szCs w:val="20"/>
                <w:color w:val="auto"/>
              </w:rPr>
            </w:pPr>
            <w:r>
              <w:rPr>
                <w:rFonts w:ascii="Arial" w:cs="Arial" w:eastAsia="Arial" w:hAnsi="Arial"/>
                <w:sz w:val="16"/>
                <w:szCs w:val="16"/>
                <w:b w:val="1"/>
                <w:bCs w:val="1"/>
                <w:color w:val="004E7D"/>
              </w:rPr>
              <w:t>Voting Recommendation</w:t>
            </w:r>
          </w:p>
        </w:tc>
        <w:tc>
          <w:tcPr>
            <w:tcW w:w="1760" w:type="dxa"/>
            <w:vAlign w:val="bottom"/>
            <w:tcBorders>
              <w:bottom w:val="single" w:sz="8" w:color="004987"/>
            </w:tcBorders>
          </w:tcPr>
          <w:p>
            <w:pPr>
              <w:ind w:left="380"/>
              <w:spacing w:after="0"/>
              <w:rPr>
                <w:sz w:val="20"/>
                <w:szCs w:val="20"/>
                <w:color w:val="auto"/>
              </w:rPr>
            </w:pPr>
            <w:r>
              <w:rPr>
                <w:rFonts w:ascii="Arial" w:cs="Arial" w:eastAsia="Arial" w:hAnsi="Arial"/>
                <w:sz w:val="16"/>
                <w:szCs w:val="16"/>
                <w:b w:val="1"/>
                <w:bCs w:val="1"/>
                <w:color w:val="004E7D"/>
              </w:rPr>
              <w:t>Page Reference</w:t>
            </w:r>
          </w:p>
        </w:tc>
        <w:tc>
          <w:tcPr>
            <w:tcW w:w="0" w:type="dxa"/>
            <w:vAlign w:val="bottom"/>
          </w:tcPr>
          <w:p>
            <w:pPr>
              <w:spacing w:after="0"/>
              <w:rPr>
                <w:sz w:val="1"/>
                <w:szCs w:val="1"/>
                <w:color w:val="auto"/>
              </w:rPr>
            </w:pPr>
          </w:p>
        </w:tc>
      </w:tr>
      <w:tr>
        <w:trPr>
          <w:trHeight w:val="216"/>
        </w:trPr>
        <w:tc>
          <w:tcPr>
            <w:tcW w:w="14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1</w:t>
            </w:r>
          </w:p>
        </w:tc>
        <w:tc>
          <w:tcPr>
            <w:tcW w:w="64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Election of three directors</w:t>
            </w:r>
          </w:p>
        </w:tc>
        <w:tc>
          <w:tcPr>
            <w:tcW w:w="2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004E7D"/>
              </w:rPr>
              <w:t>FOR each nominee</w:t>
            </w:r>
          </w:p>
        </w:tc>
        <w:tc>
          <w:tcPr>
            <w:tcW w:w="17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89"/>
              </w:rPr>
              <w:t>8</w:t>
            </w:r>
          </w:p>
        </w:tc>
        <w:tc>
          <w:tcPr>
            <w:tcW w:w="0" w:type="dxa"/>
            <w:vAlign w:val="bottom"/>
          </w:tcPr>
          <w:p>
            <w:pPr>
              <w:spacing w:after="0"/>
              <w:rPr>
                <w:sz w:val="1"/>
                <w:szCs w:val="1"/>
                <w:color w:val="auto"/>
              </w:rPr>
            </w:pPr>
          </w:p>
        </w:tc>
      </w:tr>
      <w:tr>
        <w:trPr>
          <w:trHeight w:val="209"/>
        </w:trPr>
        <w:tc>
          <w:tcPr>
            <w:tcW w:w="14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2</w:t>
            </w:r>
          </w:p>
        </w:tc>
        <w:tc>
          <w:tcPr>
            <w:tcW w:w="64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Ratification of appointment of independent registered public accounting firm</w:t>
            </w:r>
          </w:p>
        </w:tc>
        <w:tc>
          <w:tcPr>
            <w:tcW w:w="2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004E7D"/>
              </w:rPr>
              <w:t>FOR</w:t>
            </w:r>
          </w:p>
        </w:tc>
        <w:tc>
          <w:tcPr>
            <w:tcW w:w="17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89"/>
              </w:rPr>
              <w:t>8</w:t>
            </w:r>
          </w:p>
        </w:tc>
        <w:tc>
          <w:tcPr>
            <w:tcW w:w="0" w:type="dxa"/>
            <w:vAlign w:val="bottom"/>
          </w:tcPr>
          <w:p>
            <w:pPr>
              <w:spacing w:after="0"/>
              <w:rPr>
                <w:sz w:val="1"/>
                <w:szCs w:val="1"/>
                <w:color w:val="auto"/>
              </w:rPr>
            </w:pPr>
          </w:p>
        </w:tc>
      </w:tr>
      <w:tr>
        <w:trPr>
          <w:trHeight w:val="243"/>
        </w:trPr>
        <w:tc>
          <w:tcPr>
            <w:tcW w:w="14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3</w:t>
            </w:r>
          </w:p>
        </w:tc>
        <w:tc>
          <w:tcPr>
            <w:tcW w:w="64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Advisory vote to approve named executive officer compensation</w:t>
            </w:r>
          </w:p>
        </w:tc>
        <w:tc>
          <w:tcPr>
            <w:tcW w:w="2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004E7D"/>
              </w:rPr>
              <w:t>FOR</w:t>
            </w:r>
          </w:p>
        </w:tc>
        <w:tc>
          <w:tcPr>
            <w:tcW w:w="17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89"/>
              </w:rPr>
              <w:t>9</w:t>
            </w:r>
          </w:p>
        </w:tc>
        <w:tc>
          <w:tcPr>
            <w:tcW w:w="0" w:type="dxa"/>
            <w:vAlign w:val="bottom"/>
          </w:tcPr>
          <w:p>
            <w:pPr>
              <w:spacing w:after="0"/>
              <w:rPr>
                <w:sz w:val="1"/>
                <w:szCs w:val="1"/>
                <w:color w:val="auto"/>
              </w:rPr>
            </w:pPr>
          </w:p>
        </w:tc>
      </w:tr>
      <w:tr>
        <w:trPr>
          <w:trHeight w:val="215"/>
        </w:trPr>
        <w:tc>
          <w:tcPr>
            <w:tcW w:w="140" w:type="dxa"/>
            <w:vAlign w:val="bottom"/>
          </w:tcPr>
          <w:p>
            <w:pPr>
              <w:ind w:left="20"/>
              <w:spacing w:after="0"/>
              <w:rPr>
                <w:sz w:val="20"/>
                <w:szCs w:val="20"/>
                <w:color w:val="auto"/>
              </w:rPr>
            </w:pPr>
            <w:r>
              <w:rPr>
                <w:rFonts w:ascii="Arial" w:cs="Arial" w:eastAsia="Arial" w:hAnsi="Arial"/>
                <w:sz w:val="16"/>
                <w:szCs w:val="16"/>
                <w:color w:val="auto"/>
              </w:rPr>
              <w:t>4</w:t>
            </w:r>
          </w:p>
        </w:tc>
        <w:tc>
          <w:tcPr>
            <w:tcW w:w="6480" w:type="dxa"/>
            <w:vAlign w:val="bottom"/>
          </w:tcPr>
          <w:p>
            <w:pPr>
              <w:ind w:left="20"/>
              <w:spacing w:after="0"/>
              <w:rPr>
                <w:sz w:val="20"/>
                <w:szCs w:val="20"/>
                <w:color w:val="auto"/>
              </w:rPr>
            </w:pPr>
            <w:r>
              <w:rPr>
                <w:rFonts w:ascii="Arial" w:cs="Arial" w:eastAsia="Arial" w:hAnsi="Arial"/>
                <w:sz w:val="16"/>
                <w:szCs w:val="16"/>
                <w:color w:val="auto"/>
              </w:rPr>
              <w:t>Approval of management proposal to amend the Company’s Restated Certificate of</w:t>
            </w:r>
          </w:p>
        </w:tc>
        <w:tc>
          <w:tcPr>
            <w:tcW w:w="28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004E7D"/>
              </w:rPr>
              <w:t>FOR</w:t>
            </w:r>
          </w:p>
        </w:tc>
        <w:tc>
          <w:tcPr>
            <w:tcW w:w="176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9"/>
                <w:szCs w:val="9"/>
                <w:color w:val="auto"/>
              </w:rPr>
            </w:pPr>
          </w:p>
        </w:tc>
        <w:tc>
          <w:tcPr>
            <w:tcW w:w="6480" w:type="dxa"/>
            <w:vAlign w:val="bottom"/>
            <w:vMerge w:val="restart"/>
          </w:tcPr>
          <w:p>
            <w:pPr>
              <w:ind w:left="100"/>
              <w:spacing w:after="0"/>
              <w:rPr>
                <w:sz w:val="20"/>
                <w:szCs w:val="20"/>
                <w:color w:val="auto"/>
              </w:rPr>
            </w:pPr>
            <w:r>
              <w:rPr>
                <w:rFonts w:ascii="Arial" w:cs="Arial" w:eastAsia="Arial" w:hAnsi="Arial"/>
                <w:sz w:val="16"/>
                <w:szCs w:val="16"/>
                <w:color w:val="auto"/>
              </w:rPr>
              <w:t>Incorporation to provide for the phased-in declassification of the Board of Directors</w:t>
            </w:r>
          </w:p>
        </w:tc>
        <w:tc>
          <w:tcPr>
            <w:tcW w:w="28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0" w:type="dxa"/>
            <w:vAlign w:val="bottom"/>
            <w:tcBorders>
              <w:bottom w:val="single" w:sz="8" w:color="00497F"/>
            </w:tcBorders>
          </w:tcPr>
          <w:p>
            <w:pPr>
              <w:spacing w:after="0"/>
              <w:rPr>
                <w:sz w:val="9"/>
                <w:szCs w:val="9"/>
                <w:color w:val="auto"/>
              </w:rPr>
            </w:pPr>
          </w:p>
        </w:tc>
        <w:tc>
          <w:tcPr>
            <w:tcW w:w="6480" w:type="dxa"/>
            <w:vAlign w:val="bottom"/>
            <w:tcBorders>
              <w:bottom w:val="single" w:sz="8" w:color="00497F"/>
            </w:tcBorders>
            <w:vMerge w:val="continue"/>
          </w:tcPr>
          <w:p>
            <w:pPr>
              <w:spacing w:after="0"/>
              <w:rPr>
                <w:sz w:val="9"/>
                <w:szCs w:val="9"/>
                <w:color w:val="auto"/>
              </w:rPr>
            </w:pPr>
          </w:p>
        </w:tc>
        <w:tc>
          <w:tcPr>
            <w:tcW w:w="2860" w:type="dxa"/>
            <w:vAlign w:val="bottom"/>
            <w:tcBorders>
              <w:bottom w:val="single" w:sz="8" w:color="00497F"/>
            </w:tcBorders>
          </w:tcPr>
          <w:p>
            <w:pPr>
              <w:spacing w:after="0"/>
              <w:rPr>
                <w:sz w:val="9"/>
                <w:szCs w:val="9"/>
                <w:color w:val="auto"/>
              </w:rPr>
            </w:pPr>
          </w:p>
        </w:tc>
        <w:tc>
          <w:tcPr>
            <w:tcW w:w="1760" w:type="dxa"/>
            <w:vAlign w:val="bottom"/>
            <w:tcBorders>
              <w:bottom w:val="single" w:sz="8" w:color="00497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4E7D"/>
        </w:rPr>
        <w:t>CORPORATE GOVERNANCE HIGHLIGHTS</w:t>
      </w:r>
    </w:p>
    <w:p>
      <w:pPr>
        <w:spacing w:after="0" w:line="112" w:lineRule="exact"/>
        <w:rPr>
          <w:sz w:val="20"/>
          <w:szCs w:val="20"/>
          <w:color w:val="auto"/>
        </w:rPr>
      </w:pPr>
    </w:p>
    <w:p>
      <w:pPr>
        <w:jc w:val="both"/>
        <w:ind w:left="40"/>
        <w:spacing w:after="0" w:line="275" w:lineRule="auto"/>
        <w:rPr>
          <w:sz w:val="20"/>
          <w:szCs w:val="20"/>
          <w:color w:val="auto"/>
        </w:rPr>
      </w:pPr>
      <w:r>
        <w:rPr>
          <w:rFonts w:ascii="Arial" w:cs="Arial" w:eastAsia="Arial" w:hAnsi="Arial"/>
          <w:sz w:val="16"/>
          <w:szCs w:val="16"/>
          <w:color w:val="auto"/>
        </w:rPr>
        <w:t>We believe that good corporate governance is integral to our business, and the Board of Directors (the “Board”) monitors developments in governance best practices to assure that it continues to meet its commitment to representation of stockholder interests. Below are some highlights of our corporate governance practices: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0" w:type="dxa"/>
            <w:vAlign w:val="bottom"/>
            <w:shd w:val="clear" w:color="auto" w:fill="D2D6E4"/>
          </w:tcPr>
          <w:p>
            <w:pPr>
              <w:spacing w:after="0"/>
              <w:rPr>
                <w:sz w:val="24"/>
                <w:szCs w:val="24"/>
                <w:color w:val="auto"/>
              </w:rPr>
            </w:pPr>
          </w:p>
        </w:tc>
        <w:tc>
          <w:tcPr>
            <w:tcW w:w="4460" w:type="dxa"/>
            <w:vAlign w:val="bottom"/>
            <w:shd w:val="clear" w:color="auto" w:fill="D2D6E4"/>
          </w:tcPr>
          <w:p>
            <w:pPr>
              <w:spacing w:after="0"/>
              <w:rPr>
                <w:sz w:val="20"/>
                <w:szCs w:val="20"/>
                <w:color w:val="auto"/>
              </w:rPr>
            </w:pPr>
            <w:r>
              <w:rPr>
                <w:rFonts w:ascii="Arial" w:cs="Arial" w:eastAsia="Arial" w:hAnsi="Arial"/>
                <w:sz w:val="16"/>
                <w:szCs w:val="16"/>
                <w:color w:val="004E7D"/>
                <w:highlight w:val="lightGray"/>
              </w:rPr>
              <w:t xml:space="preserve">• </w:t>
            </w:r>
            <w:r>
              <w:rPr>
                <w:rFonts w:ascii="Arial" w:cs="Arial" w:eastAsia="Arial" w:hAnsi="Arial"/>
                <w:sz w:val="16"/>
                <w:szCs w:val="16"/>
                <w:color w:val="000000"/>
                <w:highlight w:val="lightGray"/>
              </w:rPr>
              <w:t>Independent Chairman of the Board</w:t>
            </w:r>
          </w:p>
        </w:tc>
        <w:tc>
          <w:tcPr>
            <w:tcW w:w="780" w:type="dxa"/>
            <w:vAlign w:val="bottom"/>
            <w:shd w:val="clear" w:color="auto" w:fill="D2D6E4"/>
          </w:tcPr>
          <w:p>
            <w:pPr>
              <w:spacing w:after="0"/>
              <w:rPr>
                <w:sz w:val="24"/>
                <w:szCs w:val="24"/>
                <w:color w:val="auto"/>
              </w:rPr>
            </w:pPr>
          </w:p>
        </w:tc>
        <w:tc>
          <w:tcPr>
            <w:tcW w:w="460" w:type="dxa"/>
            <w:vAlign w:val="bottom"/>
            <w:shd w:val="clear" w:color="auto" w:fill="D2D6E4"/>
          </w:tcPr>
          <w:p>
            <w:pPr>
              <w:spacing w:after="0"/>
              <w:rPr>
                <w:sz w:val="24"/>
                <w:szCs w:val="24"/>
                <w:color w:val="auto"/>
              </w:rPr>
            </w:pPr>
          </w:p>
        </w:tc>
        <w:tc>
          <w:tcPr>
            <w:tcW w:w="5300" w:type="dxa"/>
            <w:vAlign w:val="bottom"/>
            <w:shd w:val="clear" w:color="auto" w:fill="D2D6E4"/>
          </w:tcPr>
          <w:p>
            <w:pPr>
              <w:ind w:left="20"/>
              <w:spacing w:after="0"/>
              <w:rPr>
                <w:sz w:val="20"/>
                <w:szCs w:val="20"/>
                <w:color w:val="auto"/>
              </w:rPr>
            </w:pPr>
            <w:r>
              <w:rPr>
                <w:rFonts w:ascii="Arial" w:cs="Arial" w:eastAsia="Arial" w:hAnsi="Arial"/>
                <w:sz w:val="16"/>
                <w:szCs w:val="16"/>
                <w:color w:val="004E7D"/>
                <w:highlight w:val="lightGray"/>
              </w:rPr>
              <w:t xml:space="preserve">• </w:t>
            </w:r>
            <w:r>
              <w:rPr>
                <w:rFonts w:ascii="Arial" w:cs="Arial" w:eastAsia="Arial" w:hAnsi="Arial"/>
                <w:sz w:val="16"/>
                <w:szCs w:val="16"/>
                <w:color w:val="000000"/>
                <w:highlight w:val="lightGray"/>
              </w:rPr>
              <w:t>Commitment to seeking diversity on the Board</w:t>
            </w:r>
          </w:p>
        </w:tc>
        <w:tc>
          <w:tcPr>
            <w:tcW w:w="0" w:type="dxa"/>
            <w:vAlign w:val="bottom"/>
          </w:tcPr>
          <w:p>
            <w:pPr>
              <w:spacing w:after="0"/>
              <w:rPr>
                <w:sz w:val="1"/>
                <w:szCs w:val="1"/>
                <w:color w:val="auto"/>
              </w:rPr>
            </w:pPr>
          </w:p>
        </w:tc>
      </w:tr>
      <w:tr>
        <w:trPr>
          <w:trHeight w:val="282"/>
        </w:trPr>
        <w:tc>
          <w:tcPr>
            <w:tcW w:w="240" w:type="dxa"/>
            <w:vAlign w:val="bottom"/>
            <w:shd w:val="clear" w:color="auto" w:fill="D2D6E4"/>
          </w:tcPr>
          <w:p>
            <w:pPr>
              <w:spacing w:after="0"/>
              <w:rPr>
                <w:sz w:val="24"/>
                <w:szCs w:val="24"/>
                <w:color w:val="auto"/>
              </w:rPr>
            </w:pPr>
          </w:p>
        </w:tc>
        <w:tc>
          <w:tcPr>
            <w:tcW w:w="5240" w:type="dxa"/>
            <w:vAlign w:val="bottom"/>
            <w:gridSpan w:val="2"/>
            <w:shd w:val="clear" w:color="auto" w:fill="D2D6E4"/>
          </w:tcPr>
          <w:p>
            <w:pPr>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Separate Chairman and Chief Executive Officer (“CEO”) positions</w:t>
            </w:r>
          </w:p>
        </w:tc>
        <w:tc>
          <w:tcPr>
            <w:tcW w:w="460" w:type="dxa"/>
            <w:vAlign w:val="bottom"/>
            <w:shd w:val="clear" w:color="auto" w:fill="D2D6E4"/>
          </w:tcPr>
          <w:p>
            <w:pPr>
              <w:spacing w:after="0"/>
              <w:rPr>
                <w:sz w:val="24"/>
                <w:szCs w:val="24"/>
                <w:color w:val="auto"/>
              </w:rPr>
            </w:pPr>
          </w:p>
        </w:tc>
        <w:tc>
          <w:tcPr>
            <w:tcW w:w="5300" w:type="dxa"/>
            <w:vAlign w:val="bottom"/>
            <w:shd w:val="clear" w:color="auto" w:fill="D2D6E4"/>
          </w:tcPr>
          <w:p>
            <w:pPr>
              <w:ind w:left="2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Stock ownership guidelines for our executive officers and directors</w:t>
            </w:r>
          </w:p>
        </w:tc>
        <w:tc>
          <w:tcPr>
            <w:tcW w:w="0" w:type="dxa"/>
            <w:vAlign w:val="bottom"/>
          </w:tcPr>
          <w:p>
            <w:pPr>
              <w:spacing w:after="0"/>
              <w:rPr>
                <w:sz w:val="1"/>
                <w:szCs w:val="1"/>
                <w:color w:val="auto"/>
              </w:rPr>
            </w:pPr>
          </w:p>
        </w:tc>
      </w:tr>
      <w:tr>
        <w:trPr>
          <w:trHeight w:val="257"/>
        </w:trPr>
        <w:tc>
          <w:tcPr>
            <w:tcW w:w="240" w:type="dxa"/>
            <w:vAlign w:val="bottom"/>
            <w:shd w:val="clear" w:color="auto" w:fill="D2D6E4"/>
          </w:tcPr>
          <w:p>
            <w:pPr>
              <w:spacing w:after="0"/>
              <w:rPr>
                <w:sz w:val="22"/>
                <w:szCs w:val="22"/>
                <w:color w:val="auto"/>
              </w:rPr>
            </w:pPr>
          </w:p>
        </w:tc>
        <w:tc>
          <w:tcPr>
            <w:tcW w:w="5240" w:type="dxa"/>
            <w:vAlign w:val="bottom"/>
            <w:gridSpan w:val="2"/>
            <w:shd w:val="clear" w:color="auto" w:fill="D2D6E4"/>
          </w:tcPr>
          <w:p>
            <w:pPr>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Standing committees composed exclusively of independent directors</w:t>
            </w:r>
          </w:p>
        </w:tc>
        <w:tc>
          <w:tcPr>
            <w:tcW w:w="460" w:type="dxa"/>
            <w:vAlign w:val="bottom"/>
            <w:shd w:val="clear" w:color="auto" w:fill="D2D6E4"/>
          </w:tcPr>
          <w:p>
            <w:pPr>
              <w:spacing w:after="0"/>
              <w:rPr>
                <w:sz w:val="22"/>
                <w:szCs w:val="22"/>
                <w:color w:val="auto"/>
              </w:rPr>
            </w:pPr>
          </w:p>
        </w:tc>
        <w:tc>
          <w:tcPr>
            <w:tcW w:w="5300" w:type="dxa"/>
            <w:vAlign w:val="bottom"/>
            <w:shd w:val="clear" w:color="auto" w:fill="D2D6E4"/>
          </w:tcPr>
          <w:p>
            <w:pPr>
              <w:ind w:left="2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Robust executive succession planning process</w:t>
            </w:r>
          </w:p>
        </w:tc>
        <w:tc>
          <w:tcPr>
            <w:tcW w:w="0" w:type="dxa"/>
            <w:vAlign w:val="bottom"/>
          </w:tcPr>
          <w:p>
            <w:pPr>
              <w:spacing w:after="0"/>
              <w:rPr>
                <w:sz w:val="1"/>
                <w:szCs w:val="1"/>
                <w:color w:val="auto"/>
              </w:rPr>
            </w:pPr>
          </w:p>
        </w:tc>
      </w:tr>
      <w:tr>
        <w:trPr>
          <w:trHeight w:val="256"/>
        </w:trPr>
        <w:tc>
          <w:tcPr>
            <w:tcW w:w="240" w:type="dxa"/>
            <w:vAlign w:val="bottom"/>
            <w:shd w:val="clear" w:color="auto" w:fill="D2D6E4"/>
          </w:tcPr>
          <w:p>
            <w:pPr>
              <w:spacing w:after="0"/>
              <w:rPr>
                <w:sz w:val="22"/>
                <w:szCs w:val="22"/>
                <w:color w:val="auto"/>
              </w:rPr>
            </w:pPr>
          </w:p>
        </w:tc>
        <w:tc>
          <w:tcPr>
            <w:tcW w:w="5240" w:type="dxa"/>
            <w:vAlign w:val="bottom"/>
            <w:gridSpan w:val="2"/>
            <w:shd w:val="clear" w:color="auto" w:fill="D2D6E4"/>
          </w:tcPr>
          <w:p>
            <w:pPr>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Regular executive sessions of the Board and Board committees</w:t>
            </w:r>
          </w:p>
        </w:tc>
        <w:tc>
          <w:tcPr>
            <w:tcW w:w="460" w:type="dxa"/>
            <w:vAlign w:val="bottom"/>
            <w:shd w:val="clear" w:color="auto" w:fill="D2D6E4"/>
          </w:tcPr>
          <w:p>
            <w:pPr>
              <w:spacing w:after="0"/>
              <w:rPr>
                <w:sz w:val="22"/>
                <w:szCs w:val="22"/>
                <w:color w:val="auto"/>
              </w:rPr>
            </w:pPr>
          </w:p>
        </w:tc>
        <w:tc>
          <w:tcPr>
            <w:tcW w:w="5300" w:type="dxa"/>
            <w:vAlign w:val="bottom"/>
            <w:shd w:val="clear" w:color="auto" w:fill="D2D6E4"/>
          </w:tcPr>
          <w:p>
            <w:pPr>
              <w:ind w:left="2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Strong risk management program</w:t>
            </w:r>
          </w:p>
        </w:tc>
        <w:tc>
          <w:tcPr>
            <w:tcW w:w="0" w:type="dxa"/>
            <w:vAlign w:val="bottom"/>
          </w:tcPr>
          <w:p>
            <w:pPr>
              <w:spacing w:after="0"/>
              <w:rPr>
                <w:sz w:val="1"/>
                <w:szCs w:val="1"/>
                <w:color w:val="auto"/>
              </w:rPr>
            </w:pPr>
          </w:p>
        </w:tc>
      </w:tr>
      <w:tr>
        <w:trPr>
          <w:trHeight w:val="231"/>
        </w:trPr>
        <w:tc>
          <w:tcPr>
            <w:tcW w:w="240" w:type="dxa"/>
            <w:vAlign w:val="bottom"/>
            <w:shd w:val="clear" w:color="auto" w:fill="D2D6E4"/>
          </w:tcPr>
          <w:p>
            <w:pPr>
              <w:spacing w:after="0"/>
              <w:rPr>
                <w:sz w:val="20"/>
                <w:szCs w:val="20"/>
                <w:color w:val="auto"/>
              </w:rPr>
            </w:pPr>
          </w:p>
        </w:tc>
        <w:tc>
          <w:tcPr>
            <w:tcW w:w="5240" w:type="dxa"/>
            <w:vAlign w:val="bottom"/>
            <w:gridSpan w:val="2"/>
            <w:vMerge w:val="restart"/>
            <w:shd w:val="clear" w:color="auto" w:fill="D2D6E4"/>
          </w:tcPr>
          <w:p>
            <w:pPr>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Annual Board and committee evaluations</w:t>
            </w:r>
          </w:p>
        </w:tc>
        <w:tc>
          <w:tcPr>
            <w:tcW w:w="460" w:type="dxa"/>
            <w:vAlign w:val="bottom"/>
            <w:shd w:val="clear" w:color="auto" w:fill="D2D6E4"/>
          </w:tcPr>
          <w:p>
            <w:pPr>
              <w:spacing w:after="0"/>
              <w:rPr>
                <w:sz w:val="20"/>
                <w:szCs w:val="20"/>
                <w:color w:val="auto"/>
              </w:rPr>
            </w:pPr>
          </w:p>
        </w:tc>
        <w:tc>
          <w:tcPr>
            <w:tcW w:w="5300" w:type="dxa"/>
            <w:vAlign w:val="bottom"/>
            <w:shd w:val="clear" w:color="auto" w:fill="D2D6E4"/>
          </w:tcPr>
          <w:p>
            <w:pPr>
              <w:ind w:left="2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Comprehensive Code of Business Conduct and Corporate</w:t>
            </w:r>
          </w:p>
        </w:tc>
        <w:tc>
          <w:tcPr>
            <w:tcW w:w="0" w:type="dxa"/>
            <w:vAlign w:val="bottom"/>
          </w:tcPr>
          <w:p>
            <w:pPr>
              <w:spacing w:after="0"/>
              <w:rPr>
                <w:sz w:val="1"/>
                <w:szCs w:val="1"/>
                <w:color w:val="auto"/>
              </w:rPr>
            </w:pPr>
          </w:p>
        </w:tc>
      </w:tr>
      <w:tr>
        <w:trPr>
          <w:trHeight w:val="120"/>
        </w:trPr>
        <w:tc>
          <w:tcPr>
            <w:tcW w:w="240" w:type="dxa"/>
            <w:vAlign w:val="bottom"/>
            <w:shd w:val="clear" w:color="auto" w:fill="D2D6E4"/>
          </w:tcPr>
          <w:p>
            <w:pPr>
              <w:spacing w:after="0"/>
              <w:rPr>
                <w:sz w:val="10"/>
                <w:szCs w:val="10"/>
                <w:color w:val="auto"/>
              </w:rPr>
            </w:pPr>
          </w:p>
        </w:tc>
        <w:tc>
          <w:tcPr>
            <w:tcW w:w="5240" w:type="dxa"/>
            <w:vAlign w:val="bottom"/>
            <w:gridSpan w:val="2"/>
            <w:vMerge w:val="continue"/>
            <w:shd w:val="clear" w:color="auto" w:fill="D2D6E4"/>
          </w:tcPr>
          <w:p>
            <w:pPr>
              <w:spacing w:after="0"/>
              <w:rPr>
                <w:sz w:val="10"/>
                <w:szCs w:val="10"/>
                <w:color w:val="auto"/>
              </w:rPr>
            </w:pPr>
          </w:p>
        </w:tc>
        <w:tc>
          <w:tcPr>
            <w:tcW w:w="460" w:type="dxa"/>
            <w:vAlign w:val="bottom"/>
            <w:shd w:val="clear" w:color="auto" w:fill="D2D6E4"/>
          </w:tcPr>
          <w:p>
            <w:pPr>
              <w:spacing w:after="0"/>
              <w:rPr>
                <w:sz w:val="10"/>
                <w:szCs w:val="10"/>
                <w:color w:val="auto"/>
              </w:rPr>
            </w:pPr>
          </w:p>
        </w:tc>
        <w:tc>
          <w:tcPr>
            <w:tcW w:w="5300" w:type="dxa"/>
            <w:vAlign w:val="bottom"/>
            <w:vMerge w:val="restart"/>
            <w:shd w:val="clear" w:color="auto" w:fill="D2D6E4"/>
          </w:tcPr>
          <w:p>
            <w:pPr>
              <w:ind w:left="180"/>
              <w:spacing w:after="0"/>
              <w:rPr>
                <w:sz w:val="20"/>
                <w:szCs w:val="20"/>
                <w:color w:val="auto"/>
              </w:rPr>
            </w:pPr>
            <w:r>
              <w:rPr>
                <w:rFonts w:ascii="Arial" w:cs="Arial" w:eastAsia="Arial" w:hAnsi="Arial"/>
                <w:sz w:val="16"/>
                <w:szCs w:val="16"/>
                <w:color w:val="auto"/>
              </w:rPr>
              <w:t>Governance Principles</w:t>
            </w:r>
          </w:p>
        </w:tc>
        <w:tc>
          <w:tcPr>
            <w:tcW w:w="0" w:type="dxa"/>
            <w:vAlign w:val="bottom"/>
          </w:tcPr>
          <w:p>
            <w:pPr>
              <w:spacing w:after="0"/>
              <w:rPr>
                <w:sz w:val="1"/>
                <w:szCs w:val="1"/>
                <w:color w:val="auto"/>
              </w:rPr>
            </w:pPr>
          </w:p>
        </w:tc>
      </w:tr>
      <w:tr>
        <w:trPr>
          <w:trHeight w:val="95"/>
        </w:trPr>
        <w:tc>
          <w:tcPr>
            <w:tcW w:w="240" w:type="dxa"/>
            <w:vAlign w:val="bottom"/>
            <w:shd w:val="clear" w:color="auto" w:fill="D2D6E4"/>
          </w:tcPr>
          <w:p>
            <w:pPr>
              <w:spacing w:after="0"/>
              <w:rPr>
                <w:sz w:val="8"/>
                <w:szCs w:val="8"/>
                <w:color w:val="auto"/>
              </w:rPr>
            </w:pPr>
          </w:p>
        </w:tc>
        <w:tc>
          <w:tcPr>
            <w:tcW w:w="4460" w:type="dxa"/>
            <w:vAlign w:val="bottom"/>
            <w:shd w:val="clear" w:color="auto" w:fill="D2D6E4"/>
          </w:tcPr>
          <w:p>
            <w:pPr>
              <w:spacing w:after="0"/>
              <w:rPr>
                <w:sz w:val="8"/>
                <w:szCs w:val="8"/>
                <w:color w:val="auto"/>
              </w:rPr>
            </w:pPr>
          </w:p>
        </w:tc>
        <w:tc>
          <w:tcPr>
            <w:tcW w:w="780" w:type="dxa"/>
            <w:vAlign w:val="bottom"/>
            <w:shd w:val="clear" w:color="auto" w:fill="D2D6E4"/>
          </w:tcPr>
          <w:p>
            <w:pPr>
              <w:spacing w:after="0"/>
              <w:rPr>
                <w:sz w:val="8"/>
                <w:szCs w:val="8"/>
                <w:color w:val="auto"/>
              </w:rPr>
            </w:pPr>
          </w:p>
        </w:tc>
        <w:tc>
          <w:tcPr>
            <w:tcW w:w="460" w:type="dxa"/>
            <w:vAlign w:val="bottom"/>
            <w:shd w:val="clear" w:color="auto" w:fill="D2D6E4"/>
          </w:tcPr>
          <w:p>
            <w:pPr>
              <w:spacing w:after="0"/>
              <w:rPr>
                <w:sz w:val="8"/>
                <w:szCs w:val="8"/>
                <w:color w:val="auto"/>
              </w:rPr>
            </w:pPr>
          </w:p>
        </w:tc>
        <w:tc>
          <w:tcPr>
            <w:tcW w:w="5300" w:type="dxa"/>
            <w:vAlign w:val="bottom"/>
            <w:vMerge w:val="continue"/>
            <w:shd w:val="clear" w:color="auto" w:fill="D2D6E4"/>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0" w:type="dxa"/>
            <w:vAlign w:val="bottom"/>
            <w:shd w:val="clear" w:color="auto" w:fill="D2D6E4"/>
          </w:tcPr>
          <w:p>
            <w:pPr>
              <w:spacing w:after="0"/>
              <w:rPr>
                <w:sz w:val="23"/>
                <w:szCs w:val="23"/>
                <w:color w:val="auto"/>
              </w:rPr>
            </w:pPr>
          </w:p>
        </w:tc>
        <w:tc>
          <w:tcPr>
            <w:tcW w:w="5240" w:type="dxa"/>
            <w:vAlign w:val="bottom"/>
            <w:gridSpan w:val="2"/>
            <w:shd w:val="clear" w:color="auto" w:fill="D2D6E4"/>
          </w:tcPr>
          <w:p>
            <w:pPr>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Global ethics and corporate compliance program</w:t>
            </w:r>
          </w:p>
        </w:tc>
        <w:tc>
          <w:tcPr>
            <w:tcW w:w="460" w:type="dxa"/>
            <w:vAlign w:val="bottom"/>
            <w:shd w:val="clear" w:color="auto" w:fill="D2D6E4"/>
          </w:tcPr>
          <w:p>
            <w:pPr>
              <w:spacing w:after="0"/>
              <w:rPr>
                <w:sz w:val="23"/>
                <w:szCs w:val="23"/>
                <w:color w:val="auto"/>
              </w:rPr>
            </w:pPr>
          </w:p>
        </w:tc>
        <w:tc>
          <w:tcPr>
            <w:tcW w:w="5300" w:type="dxa"/>
            <w:vAlign w:val="bottom"/>
            <w:shd w:val="clear" w:color="auto" w:fill="D2D6E4"/>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0" w:type="dxa"/>
            <w:vAlign w:val="bottom"/>
            <w:shd w:val="clear" w:color="auto" w:fill="D2D6E4"/>
          </w:tcPr>
          <w:p>
            <w:pPr>
              <w:spacing w:after="0"/>
              <w:rPr>
                <w:sz w:val="24"/>
                <w:szCs w:val="24"/>
                <w:color w:val="auto"/>
              </w:rPr>
            </w:pPr>
          </w:p>
        </w:tc>
        <w:tc>
          <w:tcPr>
            <w:tcW w:w="4460" w:type="dxa"/>
            <w:vAlign w:val="bottom"/>
            <w:vMerge w:val="restart"/>
            <w:shd w:val="clear" w:color="auto" w:fill="D2D6E4"/>
          </w:tcPr>
          <w:p>
            <w:pPr>
              <w:spacing w:after="0"/>
              <w:rPr>
                <w:sz w:val="20"/>
                <w:szCs w:val="20"/>
                <w:color w:val="auto"/>
              </w:rPr>
            </w:pPr>
            <w:r>
              <w:rPr>
                <w:rFonts w:ascii="Arial" w:cs="Arial" w:eastAsia="Arial" w:hAnsi="Arial"/>
                <w:sz w:val="16"/>
                <w:szCs w:val="16"/>
                <w:color w:val="004E7D"/>
                <w:highlight w:val="lightGray"/>
              </w:rPr>
              <w:t xml:space="preserve">• </w:t>
            </w:r>
            <w:r>
              <w:rPr>
                <w:rFonts w:ascii="Arial" w:cs="Arial" w:eastAsia="Arial" w:hAnsi="Arial"/>
                <w:sz w:val="16"/>
                <w:szCs w:val="16"/>
                <w:color w:val="000000"/>
                <w:highlight w:val="lightGray"/>
              </w:rPr>
              <w:t>Board and committee oversight of Environmental, Social and</w:t>
            </w:r>
          </w:p>
        </w:tc>
        <w:tc>
          <w:tcPr>
            <w:tcW w:w="780" w:type="dxa"/>
            <w:vAlign w:val="bottom"/>
            <w:shd w:val="clear" w:color="auto" w:fill="D2D6E4"/>
          </w:tcPr>
          <w:p>
            <w:pPr>
              <w:spacing w:after="0"/>
              <w:rPr>
                <w:sz w:val="24"/>
                <w:szCs w:val="24"/>
                <w:color w:val="auto"/>
              </w:rPr>
            </w:pPr>
          </w:p>
        </w:tc>
        <w:tc>
          <w:tcPr>
            <w:tcW w:w="460" w:type="dxa"/>
            <w:vAlign w:val="bottom"/>
            <w:shd w:val="clear" w:color="auto" w:fill="D2D6E4"/>
          </w:tcPr>
          <w:p>
            <w:pPr>
              <w:spacing w:after="0"/>
              <w:rPr>
                <w:sz w:val="24"/>
                <w:szCs w:val="24"/>
                <w:color w:val="auto"/>
              </w:rPr>
            </w:pPr>
          </w:p>
        </w:tc>
        <w:tc>
          <w:tcPr>
            <w:tcW w:w="5300" w:type="dxa"/>
            <w:vAlign w:val="bottom"/>
            <w:shd w:val="clear" w:color="auto" w:fill="D2D6E4"/>
          </w:tcPr>
          <w:p>
            <w:pPr>
              <w:ind w:left="2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Active Board oversight of Company strategy and risk management</w:t>
            </w:r>
          </w:p>
        </w:tc>
        <w:tc>
          <w:tcPr>
            <w:tcW w:w="0" w:type="dxa"/>
            <w:vAlign w:val="bottom"/>
          </w:tcPr>
          <w:p>
            <w:pPr>
              <w:spacing w:after="0"/>
              <w:rPr>
                <w:sz w:val="1"/>
                <w:szCs w:val="1"/>
                <w:color w:val="auto"/>
              </w:rPr>
            </w:pPr>
          </w:p>
        </w:tc>
      </w:tr>
      <w:tr>
        <w:trPr>
          <w:trHeight w:val="97"/>
        </w:trPr>
        <w:tc>
          <w:tcPr>
            <w:tcW w:w="240" w:type="dxa"/>
            <w:vAlign w:val="bottom"/>
            <w:shd w:val="clear" w:color="auto" w:fill="D2D6E4"/>
          </w:tcPr>
          <w:p>
            <w:pPr>
              <w:spacing w:after="0"/>
              <w:rPr>
                <w:sz w:val="8"/>
                <w:szCs w:val="8"/>
                <w:color w:val="auto"/>
              </w:rPr>
            </w:pPr>
          </w:p>
        </w:tc>
        <w:tc>
          <w:tcPr>
            <w:tcW w:w="4460" w:type="dxa"/>
            <w:vAlign w:val="bottom"/>
            <w:vMerge w:val="continue"/>
            <w:shd w:val="clear" w:color="auto" w:fill="D2D6E4"/>
          </w:tcPr>
          <w:p>
            <w:pPr>
              <w:spacing w:after="0"/>
              <w:rPr>
                <w:sz w:val="8"/>
                <w:szCs w:val="8"/>
                <w:color w:val="auto"/>
              </w:rPr>
            </w:pPr>
          </w:p>
        </w:tc>
        <w:tc>
          <w:tcPr>
            <w:tcW w:w="780" w:type="dxa"/>
            <w:vAlign w:val="bottom"/>
            <w:shd w:val="clear" w:color="auto" w:fill="D2D6E4"/>
          </w:tcPr>
          <w:p>
            <w:pPr>
              <w:spacing w:after="0"/>
              <w:rPr>
                <w:sz w:val="8"/>
                <w:szCs w:val="8"/>
                <w:color w:val="auto"/>
              </w:rPr>
            </w:pPr>
          </w:p>
        </w:tc>
        <w:tc>
          <w:tcPr>
            <w:tcW w:w="460" w:type="dxa"/>
            <w:vAlign w:val="bottom"/>
            <w:shd w:val="clear" w:color="auto" w:fill="D2D6E4"/>
          </w:tcPr>
          <w:p>
            <w:pPr>
              <w:spacing w:after="0"/>
              <w:rPr>
                <w:sz w:val="8"/>
                <w:szCs w:val="8"/>
                <w:color w:val="auto"/>
              </w:rPr>
            </w:pPr>
          </w:p>
        </w:tc>
        <w:tc>
          <w:tcPr>
            <w:tcW w:w="5300" w:type="dxa"/>
            <w:vAlign w:val="bottom"/>
            <w:shd w:val="clear" w:color="auto" w:fill="D2D6E4"/>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D2D6E4"/>
          </w:tcPr>
          <w:p>
            <w:pPr>
              <w:spacing w:after="0"/>
              <w:rPr>
                <w:sz w:val="17"/>
                <w:szCs w:val="17"/>
                <w:color w:val="auto"/>
              </w:rPr>
            </w:pPr>
          </w:p>
        </w:tc>
        <w:tc>
          <w:tcPr>
            <w:tcW w:w="4460" w:type="dxa"/>
            <w:vAlign w:val="bottom"/>
            <w:shd w:val="clear" w:color="auto" w:fill="D2D6E4"/>
          </w:tcPr>
          <w:p>
            <w:pPr>
              <w:ind w:left="160"/>
              <w:spacing w:after="0"/>
              <w:rPr>
                <w:sz w:val="20"/>
                <w:szCs w:val="20"/>
                <w:color w:val="auto"/>
              </w:rPr>
            </w:pPr>
            <w:r>
              <w:rPr>
                <w:rFonts w:ascii="Arial" w:cs="Arial" w:eastAsia="Arial" w:hAnsi="Arial"/>
                <w:sz w:val="16"/>
                <w:szCs w:val="16"/>
                <w:color w:val="auto"/>
                <w:highlight w:val="lightGray"/>
              </w:rPr>
              <w:t>Governance (“ESG”) matters</w:t>
            </w:r>
          </w:p>
        </w:tc>
        <w:tc>
          <w:tcPr>
            <w:tcW w:w="780" w:type="dxa"/>
            <w:vAlign w:val="bottom"/>
            <w:shd w:val="clear" w:color="auto" w:fill="D2D6E4"/>
          </w:tcPr>
          <w:p>
            <w:pPr>
              <w:spacing w:after="0"/>
              <w:rPr>
                <w:sz w:val="17"/>
                <w:szCs w:val="17"/>
                <w:color w:val="auto"/>
              </w:rPr>
            </w:pPr>
          </w:p>
        </w:tc>
        <w:tc>
          <w:tcPr>
            <w:tcW w:w="460" w:type="dxa"/>
            <w:vAlign w:val="bottom"/>
            <w:shd w:val="clear" w:color="auto" w:fill="D2D6E4"/>
          </w:tcPr>
          <w:p>
            <w:pPr>
              <w:spacing w:after="0"/>
              <w:rPr>
                <w:sz w:val="17"/>
                <w:szCs w:val="17"/>
                <w:color w:val="auto"/>
              </w:rPr>
            </w:pPr>
          </w:p>
        </w:tc>
        <w:tc>
          <w:tcPr>
            <w:tcW w:w="5300" w:type="dxa"/>
            <w:vAlign w:val="bottom"/>
            <w:shd w:val="clear" w:color="auto" w:fill="D2D6E4"/>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D2D6E4"/>
          </w:tcPr>
          <w:p>
            <w:pPr>
              <w:spacing w:after="0"/>
              <w:rPr>
                <w:sz w:val="2"/>
                <w:szCs w:val="2"/>
                <w:color w:val="auto"/>
              </w:rPr>
            </w:pPr>
          </w:p>
        </w:tc>
        <w:tc>
          <w:tcPr>
            <w:tcW w:w="4460" w:type="dxa"/>
            <w:vAlign w:val="bottom"/>
            <w:shd w:val="clear" w:color="auto" w:fill="D2D6E4"/>
          </w:tcPr>
          <w:p>
            <w:pPr>
              <w:spacing w:after="0"/>
              <w:rPr>
                <w:sz w:val="2"/>
                <w:szCs w:val="2"/>
                <w:color w:val="auto"/>
              </w:rPr>
            </w:pPr>
          </w:p>
        </w:tc>
        <w:tc>
          <w:tcPr>
            <w:tcW w:w="780" w:type="dxa"/>
            <w:vAlign w:val="bottom"/>
            <w:shd w:val="clear" w:color="auto" w:fill="D2D6E4"/>
          </w:tcPr>
          <w:p>
            <w:pPr>
              <w:spacing w:after="0"/>
              <w:rPr>
                <w:sz w:val="2"/>
                <w:szCs w:val="2"/>
                <w:color w:val="auto"/>
              </w:rPr>
            </w:pPr>
          </w:p>
        </w:tc>
        <w:tc>
          <w:tcPr>
            <w:tcW w:w="460" w:type="dxa"/>
            <w:vAlign w:val="bottom"/>
            <w:shd w:val="clear" w:color="auto" w:fill="D2D6E4"/>
          </w:tcPr>
          <w:p>
            <w:pPr>
              <w:spacing w:after="0"/>
              <w:rPr>
                <w:sz w:val="2"/>
                <w:szCs w:val="2"/>
                <w:color w:val="auto"/>
              </w:rPr>
            </w:pPr>
          </w:p>
        </w:tc>
        <w:tc>
          <w:tcPr>
            <w:tcW w:w="5300" w:type="dxa"/>
            <w:vAlign w:val="bottom"/>
            <w:shd w:val="clear" w:color="auto" w:fill="D2D6E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4E7D"/>
        </w:rPr>
        <w:t>ENVIRONMENTAL, SOCIAL, AND GOVERNANCE INITIATIVES</w:t>
      </w:r>
    </w:p>
    <w:p>
      <w:pPr>
        <w:spacing w:after="0" w:line="112" w:lineRule="exact"/>
        <w:rPr>
          <w:sz w:val="20"/>
          <w:szCs w:val="20"/>
          <w:color w:val="auto"/>
        </w:rPr>
      </w:pPr>
    </w:p>
    <w:p>
      <w:pPr>
        <w:ind w:left="40" w:right="20"/>
        <w:spacing w:after="0" w:line="258" w:lineRule="auto"/>
        <w:rPr>
          <w:sz w:val="20"/>
          <w:szCs w:val="20"/>
          <w:color w:val="auto"/>
        </w:rPr>
      </w:pPr>
      <w:r>
        <w:rPr>
          <w:rFonts w:ascii="Arial" w:cs="Arial" w:eastAsia="Arial" w:hAnsi="Arial"/>
          <w:sz w:val="16"/>
          <w:szCs w:val="16"/>
          <w:color w:val="auto"/>
        </w:rPr>
        <w:t>As a leader and innovator in the vacation industry, the Company strives to uphold the highest standards of excellence in serving its customers, investors, and associates while maintaining exclusive, long-term relationships with Marriott International, Inc. and Hyatt Hotels Corporation for the development, sales, and marketing of vacation ownership products and services, operating exchange networks and membership programs and providing management services to other resorts and lodging properties. Our core values help drive and inspire us and provide the framework to live fulfilling lives, both professionally and personally. Our core values and culture embody a commitment to ethical business practices and good corporate citizenship. As we work toward this goal, we are committed to managing the risks and opportunities that arise from ESG issues, providing transparency of our ESG performance and enabling strong executive and Board oversight of our overall ESG strategy. Beginning in 2021, we established our ESG program, building on our well-established Corporate Social Responsibility activities, including inclusion and diversity efforts, customer and community engagement, and associate recruitment and development. Our 2021 ESG Report is available on our website at www.marriottvacationsworldwide.com.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w:t>
            </w:r>
          </w:p>
        </w:tc>
      </w:tr>
      <w:tr>
        <w:trPr>
          <w:trHeight w:val="209"/>
        </w:trPr>
        <w:tc>
          <w:tcPr>
            <w:tcW w:w="72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280" w:top="957"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004E7D"/>
        </w:rPr>
        <w:t>STOCKHOLDER ENGAGEMENT</w:t>
      </w:r>
    </w:p>
    <w:p>
      <w:pPr>
        <w:spacing w:after="0" w:line="1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value our stockholders’ perspective on our business and each year regularly engage with stockholders through a variety of activities to stay informed on the evolving perspectives of the investor community. We engage with stockholders on various matters, including industry trends, company performance, corporate governance, and executive compensation. In 2022, our key stockholder engagement activities included an investor day, numerous virtual meetings, seven non-deal investor road shows, seven investor conferences and our 2022 annual meeting of stockholders.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SELECT PERFORMANCE AND BUSINESS HIGHLIGHTS</w:t>
      </w:r>
    </w:p>
    <w:p>
      <w:pPr>
        <w:spacing w:after="0" w:line="126" w:lineRule="exact"/>
        <w:rPr>
          <w:sz w:val="20"/>
          <w:szCs w:val="20"/>
          <w:color w:val="auto"/>
        </w:rPr>
      </w:pPr>
    </w:p>
    <w:p>
      <w:pPr>
        <w:ind w:left="220" w:hanging="10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Consolidated Vacation Ownership contract sales were $1.8 billion for 2022, a 34% increase compared to the prior year.</w:t>
      </w:r>
    </w:p>
    <w:p>
      <w:pPr>
        <w:spacing w:after="0" w:line="113" w:lineRule="exact"/>
        <w:rPr>
          <w:rFonts w:ascii="Arial" w:cs="Arial" w:eastAsia="Arial" w:hAnsi="Arial"/>
          <w:sz w:val="16"/>
          <w:szCs w:val="16"/>
          <w:color w:val="auto"/>
        </w:rPr>
      </w:pPr>
    </w:p>
    <w:p>
      <w:pPr>
        <w:ind w:left="220" w:hanging="10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income attributable to common shareholders was $391 million, or $8.77 diluted earnings per share.</w:t>
      </w:r>
    </w:p>
    <w:p>
      <w:pPr>
        <w:spacing w:after="0" w:line="113" w:lineRule="exact"/>
        <w:rPr>
          <w:rFonts w:ascii="Arial" w:cs="Arial" w:eastAsia="Arial" w:hAnsi="Arial"/>
          <w:sz w:val="16"/>
          <w:szCs w:val="16"/>
          <w:color w:val="auto"/>
        </w:rPr>
      </w:pPr>
    </w:p>
    <w:p>
      <w:pPr>
        <w:ind w:left="220" w:hanging="10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net income attributable to common shareholders was $458 million, or $10.26 Adjusted diluted earnings per share.</w:t>
      </w:r>
    </w:p>
    <w:p>
      <w:pPr>
        <w:spacing w:after="0" w:line="126" w:lineRule="exact"/>
        <w:rPr>
          <w:rFonts w:ascii="Arial" w:cs="Arial" w:eastAsia="Arial" w:hAnsi="Arial"/>
          <w:sz w:val="16"/>
          <w:szCs w:val="16"/>
          <w:color w:val="auto"/>
        </w:rPr>
      </w:pPr>
    </w:p>
    <w:p>
      <w:pPr>
        <w:ind w:left="220" w:hanging="10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EBITDA was $966 million for 2022.</w:t>
      </w:r>
    </w:p>
    <w:p>
      <w:pPr>
        <w:spacing w:after="0" w:line="113" w:lineRule="exact"/>
        <w:rPr>
          <w:rFonts w:ascii="Arial" w:cs="Arial" w:eastAsia="Arial" w:hAnsi="Arial"/>
          <w:sz w:val="16"/>
          <w:szCs w:val="16"/>
          <w:color w:val="auto"/>
        </w:rPr>
      </w:pPr>
    </w:p>
    <w:p>
      <w:pPr>
        <w:ind w:left="220" w:right="40" w:hanging="102"/>
        <w:spacing w:after="0" w:line="275" w:lineRule="auto"/>
        <w:tabs>
          <w:tab w:leader="none" w:pos="2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net income attributable to common shareholders, Adjusted diluted earnings per share, and Adjusted EBITDA are financial measures that are not prescribed by United States generally accepted accounting principles (“GAAP”). Please refer to Appendix B for a reconciliation of these non-GAAP financial measures to the most directly comparable financial measures prescribed by GAAP, as well as our reasons for presenting these measures.</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EXECUTIVE COMPENSATION HIGHLIGHTS</w:t>
      </w:r>
    </w:p>
    <w:p>
      <w:pPr>
        <w:spacing w:after="0" w:line="112"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seek to align the interests of our named executive officers (“NEOs”) with the interests of the Company’s stockholders. Certain important features of our executive compensation program include:</w:t>
      </w:r>
    </w:p>
    <w:p>
      <w:pPr>
        <w:spacing w:after="0" w:line="33" w:lineRule="exact"/>
        <w:rPr>
          <w:sz w:val="20"/>
          <w:szCs w:val="20"/>
          <w:color w:val="auto"/>
        </w:rPr>
      </w:pPr>
    </w:p>
    <w:p>
      <w:pPr>
        <w:ind w:left="360" w:hanging="242"/>
        <w:spacing w:after="0"/>
        <w:tabs>
          <w:tab w:leader="none" w:pos="360" w:val="left"/>
        </w:tabs>
        <w:numPr>
          <w:ilvl w:val="0"/>
          <w:numId w:val="30"/>
        </w:numPr>
        <w:rPr>
          <w:rFonts w:ascii="Arial" w:cs="Arial" w:eastAsia="Arial" w:hAnsi="Arial"/>
          <w:sz w:val="16"/>
          <w:szCs w:val="16"/>
          <w:color w:val="004E7D"/>
        </w:rPr>
      </w:pPr>
      <w:r>
        <w:rPr>
          <w:rFonts w:ascii="Arial" w:cs="Arial" w:eastAsia="Arial" w:hAnsi="Arial"/>
          <w:sz w:val="16"/>
          <w:szCs w:val="16"/>
          <w:color w:val="auto"/>
        </w:rPr>
        <w:t>The program is designed to align financial results and sustainable stockholder value creation with the compensation of our executives.</w:t>
      </w:r>
    </w:p>
    <w:p>
      <w:pPr>
        <w:spacing w:after="0" w:line="126" w:lineRule="exact"/>
        <w:rPr>
          <w:rFonts w:ascii="Arial" w:cs="Arial" w:eastAsia="Arial" w:hAnsi="Arial"/>
          <w:sz w:val="16"/>
          <w:szCs w:val="16"/>
          <w:color w:val="004E7D"/>
        </w:rPr>
      </w:pPr>
    </w:p>
    <w:p>
      <w:pPr>
        <w:ind w:left="220" w:right="880" w:hanging="102"/>
        <w:spacing w:after="0" w:line="286" w:lineRule="auto"/>
        <w:tabs>
          <w:tab w:leader="none" w:pos="347" w:val="left"/>
        </w:tabs>
        <w:numPr>
          <w:ilvl w:val="0"/>
          <w:numId w:val="30"/>
        </w:numPr>
        <w:rPr>
          <w:rFonts w:ascii="Arial" w:cs="Arial" w:eastAsia="Arial" w:hAnsi="Arial"/>
          <w:sz w:val="16"/>
          <w:szCs w:val="16"/>
          <w:color w:val="004E7D"/>
        </w:rPr>
      </w:pPr>
      <w:r>
        <w:rPr>
          <w:rFonts w:ascii="Arial" w:cs="Arial" w:eastAsia="Arial" w:hAnsi="Arial"/>
          <w:sz w:val="16"/>
          <w:szCs w:val="16"/>
          <w:color w:val="auto"/>
        </w:rPr>
        <w:t>Pay is tied to performance. Approximately 74% of our CEO’s and approximately 66% of the other NEOs’ fiscal 2022 total compensation was performance based.</w:t>
      </w:r>
    </w:p>
    <w:p>
      <w:pPr>
        <w:spacing w:after="0" w:line="47" w:lineRule="exact"/>
        <w:rPr>
          <w:rFonts w:ascii="Arial" w:cs="Arial" w:eastAsia="Arial" w:hAnsi="Arial"/>
          <w:sz w:val="16"/>
          <w:szCs w:val="16"/>
          <w:color w:val="004E7D"/>
        </w:rPr>
      </w:pPr>
    </w:p>
    <w:p>
      <w:pPr>
        <w:ind w:left="680" w:hanging="231"/>
        <w:spacing w:after="0"/>
        <w:tabs>
          <w:tab w:leader="none" w:pos="680" w:val="left"/>
        </w:tabs>
        <w:numPr>
          <w:ilvl w:val="1"/>
          <w:numId w:val="30"/>
        </w:numPr>
        <w:rPr>
          <w:rFonts w:ascii="Arial" w:cs="Arial" w:eastAsia="Arial" w:hAnsi="Arial"/>
          <w:sz w:val="16"/>
          <w:szCs w:val="16"/>
          <w:color w:val="004E7D"/>
        </w:rPr>
      </w:pPr>
      <w:r>
        <w:rPr>
          <w:rFonts w:ascii="Arial" w:cs="Arial" w:eastAsia="Arial" w:hAnsi="Arial"/>
          <w:sz w:val="16"/>
          <w:szCs w:val="16"/>
          <w:color w:val="auto"/>
        </w:rPr>
        <w:t>Approximately 71% of our CEO’s and approximately 50% of the other NEOs’ fiscal 2022 total compensation was tied to stock performance.</w:t>
      </w:r>
    </w:p>
    <w:p>
      <w:pPr>
        <w:spacing w:after="0" w:line="221" w:lineRule="exact"/>
        <w:rPr>
          <w:sz w:val="20"/>
          <w:szCs w:val="20"/>
          <w:color w:val="auto"/>
        </w:rPr>
      </w:pPr>
    </w:p>
    <w:p>
      <w:pPr>
        <w:ind w:left="1680"/>
        <w:spacing w:after="0"/>
        <w:tabs>
          <w:tab w:leader="none" w:pos="6580" w:val="left"/>
        </w:tabs>
        <w:rPr>
          <w:sz w:val="20"/>
          <w:szCs w:val="20"/>
          <w:color w:val="auto"/>
        </w:rPr>
      </w:pPr>
      <w:r>
        <w:rPr>
          <w:rFonts w:ascii="Arial" w:cs="Arial" w:eastAsia="Arial" w:hAnsi="Arial"/>
          <w:sz w:val="16"/>
          <w:szCs w:val="16"/>
          <w:b w:val="1"/>
          <w:bCs w:val="1"/>
          <w:color w:val="auto"/>
        </w:rPr>
        <w:t>2022 Target Pay Matrix — CEO</w:t>
      </w:r>
      <w:r>
        <w:rPr>
          <w:sz w:val="20"/>
          <w:szCs w:val="20"/>
          <w:color w:val="auto"/>
        </w:rPr>
        <w:tab/>
      </w:r>
      <w:r>
        <w:rPr>
          <w:rFonts w:ascii="Arial" w:cs="Arial" w:eastAsia="Arial" w:hAnsi="Arial"/>
          <w:sz w:val="16"/>
          <w:szCs w:val="16"/>
          <w:b w:val="1"/>
          <w:bCs w:val="1"/>
          <w:color w:val="auto"/>
        </w:rPr>
        <w:t>2022 Target Pay Matrix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38100</wp:posOffset>
            </wp:positionV>
            <wp:extent cx="5751830" cy="2297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183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hanging="242"/>
        <w:spacing w:after="0"/>
        <w:tabs>
          <w:tab w:leader="none" w:pos="360" w:val="left"/>
        </w:tabs>
        <w:numPr>
          <w:ilvl w:val="0"/>
          <w:numId w:val="31"/>
        </w:numPr>
        <w:rPr>
          <w:rFonts w:ascii="Arial" w:cs="Arial" w:eastAsia="Arial" w:hAnsi="Arial"/>
          <w:sz w:val="16"/>
          <w:szCs w:val="16"/>
          <w:color w:val="004E7D"/>
        </w:rPr>
      </w:pPr>
      <w:r>
        <w:rPr>
          <w:rFonts w:ascii="Arial" w:cs="Arial" w:eastAsia="Arial" w:hAnsi="Arial"/>
          <w:sz w:val="16"/>
          <w:szCs w:val="16"/>
          <w:color w:val="auto"/>
        </w:rPr>
        <w:t>The Company maintains stock ownership guidelines that apply to all executive officers and directors.</w:t>
      </w:r>
    </w:p>
    <w:p>
      <w:pPr>
        <w:spacing w:after="0" w:line="126" w:lineRule="exact"/>
        <w:rPr>
          <w:rFonts w:ascii="Arial" w:cs="Arial" w:eastAsia="Arial" w:hAnsi="Arial"/>
          <w:sz w:val="16"/>
          <w:szCs w:val="16"/>
          <w:color w:val="004E7D"/>
        </w:rPr>
      </w:pPr>
    </w:p>
    <w:p>
      <w:pPr>
        <w:ind w:left="360" w:hanging="242"/>
        <w:spacing w:after="0"/>
        <w:tabs>
          <w:tab w:leader="none" w:pos="360" w:val="left"/>
        </w:tabs>
        <w:numPr>
          <w:ilvl w:val="0"/>
          <w:numId w:val="31"/>
        </w:numPr>
        <w:rPr>
          <w:rFonts w:ascii="Arial" w:cs="Arial" w:eastAsia="Arial" w:hAnsi="Arial"/>
          <w:sz w:val="16"/>
          <w:szCs w:val="16"/>
          <w:color w:val="004E7D"/>
        </w:rPr>
      </w:pPr>
      <w:r>
        <w:rPr>
          <w:rFonts w:ascii="Arial" w:cs="Arial" w:eastAsia="Arial" w:hAnsi="Arial"/>
          <w:sz w:val="16"/>
          <w:szCs w:val="16"/>
          <w:color w:val="auto"/>
        </w:rPr>
        <w:t>The Company has strong governance policies related to executive compensation, and we employ appropriate compensation risk mitigating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w:t>
            </w:r>
          </w:p>
        </w:tc>
      </w:tr>
      <w:tr>
        <w:trPr>
          <w:trHeight w:val="209"/>
        </w:trPr>
        <w:tc>
          <w:tcPr>
            <w:tcW w:w="72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004E7D"/>
        </w:rPr>
        <w:t>DIRECTOR NOMINEES</w:t>
      </w:r>
    </w:p>
    <w:p>
      <w:pPr>
        <w:spacing w:after="0" w:line="11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Board currently consists of ten members divided into three classes. Each class serves a three-year term. The following table provides summary information regarding each nominee to the Board. Information about each director’s experience, qualifications and skills can be found in the Report on the Board of Directors and its Committees.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E7D"/>
              </w:rPr>
              <w:t>DIRECTOR</w:t>
            </w:r>
          </w:p>
        </w:tc>
        <w:tc>
          <w:tcPr>
            <w:tcW w:w="25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4E7D"/>
              </w:rPr>
              <w:t>INDE-</w:t>
            </w:r>
          </w:p>
        </w:tc>
        <w:tc>
          <w:tcPr>
            <w:tcW w:w="2100" w:type="dxa"/>
            <w:vAlign w:val="bottom"/>
            <w:tcBorders>
              <w:bottom w:val="single" w:sz="8" w:color="00497F"/>
            </w:tcBorders>
            <w:gridSpan w:val="3"/>
          </w:tcPr>
          <w:p>
            <w:pPr>
              <w:ind w:left="40"/>
              <w:spacing w:after="0"/>
              <w:rPr>
                <w:sz w:val="20"/>
                <w:szCs w:val="20"/>
                <w:color w:val="auto"/>
              </w:rPr>
            </w:pPr>
            <w:r>
              <w:rPr>
                <w:rFonts w:ascii="Arial" w:cs="Arial" w:eastAsia="Arial" w:hAnsi="Arial"/>
                <w:sz w:val="14"/>
                <w:szCs w:val="14"/>
                <w:b w:val="1"/>
                <w:bCs w:val="1"/>
                <w:color w:val="004E7D"/>
              </w:rPr>
              <w:t>COMMITTEE MEMBERSHIPS</w:t>
            </w:r>
            <w:r>
              <w:rPr>
                <w:rFonts w:ascii="Arial" w:cs="Arial" w:eastAsia="Arial" w:hAnsi="Arial"/>
                <w:sz w:val="8"/>
                <w:szCs w:val="8"/>
                <w:b w:val="1"/>
                <w:bCs w:val="1"/>
                <w:color w:val="004E7D"/>
              </w:rPr>
              <w:t>1</w:t>
            </w:r>
          </w:p>
        </w:tc>
        <w:tc>
          <w:tcPr>
            <w:tcW w:w="2140" w:type="dxa"/>
            <w:vAlign w:val="bottom"/>
          </w:tcPr>
          <w:p>
            <w:pPr>
              <w:jc w:val="center"/>
              <w:ind w:left="21"/>
              <w:spacing w:after="0"/>
              <w:rPr>
                <w:sz w:val="20"/>
                <w:szCs w:val="20"/>
                <w:color w:val="auto"/>
              </w:rPr>
            </w:pPr>
            <w:r>
              <w:rPr>
                <w:rFonts w:ascii="Arial" w:cs="Arial" w:eastAsia="Arial" w:hAnsi="Arial"/>
                <w:sz w:val="14"/>
                <w:szCs w:val="14"/>
                <w:b w:val="1"/>
                <w:bCs w:val="1"/>
                <w:color w:val="004E7D"/>
              </w:rPr>
              <w:t>OTHER PUBLIC CO.</w:t>
            </w:r>
          </w:p>
        </w:tc>
        <w:tc>
          <w:tcPr>
            <w:tcW w:w="0" w:type="dxa"/>
            <w:vAlign w:val="bottom"/>
          </w:tcPr>
          <w:p>
            <w:pPr>
              <w:spacing w:after="0"/>
              <w:rPr>
                <w:sz w:val="1"/>
                <w:szCs w:val="1"/>
                <w:color w:val="auto"/>
              </w:rPr>
            </w:pPr>
          </w:p>
        </w:tc>
      </w:tr>
      <w:tr>
        <w:trPr>
          <w:trHeight w:val="204"/>
        </w:trPr>
        <w:tc>
          <w:tcPr>
            <w:tcW w:w="1780" w:type="dxa"/>
            <w:vAlign w:val="bottom"/>
            <w:tcBorders>
              <w:bottom w:val="single" w:sz="8" w:color="004987"/>
            </w:tcBorders>
          </w:tcPr>
          <w:p>
            <w:pPr>
              <w:ind w:left="20"/>
              <w:spacing w:after="0"/>
              <w:rPr>
                <w:sz w:val="20"/>
                <w:szCs w:val="20"/>
                <w:color w:val="auto"/>
              </w:rPr>
            </w:pPr>
            <w:r>
              <w:rPr>
                <w:rFonts w:ascii="Arial" w:cs="Arial" w:eastAsia="Arial" w:hAnsi="Arial"/>
                <w:sz w:val="14"/>
                <w:szCs w:val="14"/>
                <w:b w:val="1"/>
                <w:bCs w:val="1"/>
                <w:color w:val="004E7D"/>
              </w:rPr>
              <w:t>NAME</w:t>
            </w:r>
          </w:p>
        </w:tc>
        <w:tc>
          <w:tcPr>
            <w:tcW w:w="6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AGE</w:t>
            </w:r>
          </w:p>
        </w:tc>
        <w:tc>
          <w:tcPr>
            <w:tcW w:w="10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SINCE</w:t>
            </w:r>
          </w:p>
        </w:tc>
        <w:tc>
          <w:tcPr>
            <w:tcW w:w="25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PRINCIPAL OCCUPATION</w:t>
            </w:r>
          </w:p>
        </w:tc>
        <w:tc>
          <w:tcPr>
            <w:tcW w:w="96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PENDENT</w:t>
            </w:r>
          </w:p>
        </w:tc>
        <w:tc>
          <w:tcPr>
            <w:tcW w:w="7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w w:val="98"/>
              </w:rPr>
              <w:t>AC</w:t>
            </w:r>
          </w:p>
        </w:tc>
        <w:tc>
          <w:tcPr>
            <w:tcW w:w="7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CPC</w:t>
            </w:r>
          </w:p>
        </w:tc>
        <w:tc>
          <w:tcPr>
            <w:tcW w:w="660" w:type="dxa"/>
            <w:vAlign w:val="bottom"/>
            <w:tcBorders>
              <w:bottom w:val="single" w:sz="8" w:color="004987"/>
            </w:tcBorders>
          </w:tcPr>
          <w:p>
            <w:pPr>
              <w:jc w:val="center"/>
              <w:ind w:left="4"/>
              <w:spacing w:after="0"/>
              <w:rPr>
                <w:sz w:val="20"/>
                <w:szCs w:val="20"/>
                <w:color w:val="auto"/>
              </w:rPr>
            </w:pPr>
            <w:r>
              <w:rPr>
                <w:rFonts w:ascii="Arial" w:cs="Arial" w:eastAsia="Arial" w:hAnsi="Arial"/>
                <w:sz w:val="14"/>
                <w:szCs w:val="14"/>
                <w:b w:val="1"/>
                <w:bCs w:val="1"/>
                <w:color w:val="004E7D"/>
                <w:w w:val="96"/>
              </w:rPr>
              <w:t>NCG</w:t>
            </w:r>
          </w:p>
        </w:tc>
        <w:tc>
          <w:tcPr>
            <w:tcW w:w="2140" w:type="dxa"/>
            <w:vAlign w:val="bottom"/>
            <w:tcBorders>
              <w:bottom w:val="single" w:sz="8" w:color="004987"/>
            </w:tcBorders>
          </w:tcPr>
          <w:p>
            <w:pPr>
              <w:jc w:val="center"/>
              <w:ind w:left="21"/>
              <w:spacing w:after="0"/>
              <w:rPr>
                <w:sz w:val="20"/>
                <w:szCs w:val="20"/>
                <w:color w:val="auto"/>
              </w:rPr>
            </w:pPr>
            <w:r>
              <w:rPr>
                <w:rFonts w:ascii="Arial" w:cs="Arial" w:eastAsia="Arial" w:hAnsi="Arial"/>
                <w:sz w:val="14"/>
                <w:szCs w:val="14"/>
                <w:b w:val="1"/>
                <w:bCs w:val="1"/>
                <w:color w:val="004E7D"/>
              </w:rPr>
              <w:t>BOARDS</w:t>
            </w:r>
          </w:p>
        </w:tc>
        <w:tc>
          <w:tcPr>
            <w:tcW w:w="0" w:type="dxa"/>
            <w:vAlign w:val="bottom"/>
          </w:tcPr>
          <w:p>
            <w:pPr>
              <w:spacing w:after="0"/>
              <w:rPr>
                <w:sz w:val="1"/>
                <w:szCs w:val="1"/>
                <w:color w:val="auto"/>
              </w:rPr>
            </w:pPr>
          </w:p>
        </w:tc>
      </w:tr>
      <w:tr>
        <w:trPr>
          <w:trHeight w:val="202"/>
        </w:trPr>
        <w:tc>
          <w:tcPr>
            <w:tcW w:w="1780" w:type="dxa"/>
            <w:vAlign w:val="bottom"/>
          </w:tcPr>
          <w:p>
            <w:pPr>
              <w:ind w:left="60"/>
              <w:spacing w:after="0"/>
              <w:rPr>
                <w:sz w:val="20"/>
                <w:szCs w:val="20"/>
                <w:color w:val="auto"/>
              </w:rPr>
            </w:pPr>
            <w:r>
              <w:rPr>
                <w:rFonts w:ascii="Arial" w:cs="Arial" w:eastAsia="Arial" w:hAnsi="Arial"/>
                <w:sz w:val="16"/>
                <w:szCs w:val="16"/>
                <w:color w:val="auto"/>
              </w:rPr>
              <w:t>Charles Elliott “C.E.”</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71</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2013</w:t>
            </w:r>
          </w:p>
        </w:tc>
        <w:tc>
          <w:tcPr>
            <w:tcW w:w="2540" w:type="dxa"/>
            <w:vAlign w:val="bottom"/>
          </w:tcPr>
          <w:p>
            <w:pPr>
              <w:jc w:val="center"/>
              <w:spacing w:after="0"/>
              <w:rPr>
                <w:sz w:val="20"/>
                <w:szCs w:val="20"/>
                <w:color w:val="auto"/>
              </w:rPr>
            </w:pPr>
            <w:r>
              <w:rPr>
                <w:rFonts w:ascii="Arial" w:cs="Arial" w:eastAsia="Arial" w:hAnsi="Arial"/>
                <w:sz w:val="16"/>
                <w:szCs w:val="16"/>
                <w:color w:val="auto"/>
              </w:rPr>
              <w:t>Former CEO, Morgan Franklin</w:t>
            </w:r>
          </w:p>
        </w:tc>
        <w:tc>
          <w:tcPr>
            <w:tcW w:w="9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Pr>
          <w:p>
            <w:pPr>
              <w:spacing w:after="0"/>
              <w:rPr>
                <w:sz w:val="17"/>
                <w:szCs w:val="17"/>
                <w:color w:val="auto"/>
              </w:rPr>
            </w:pPr>
          </w:p>
        </w:tc>
        <w:tc>
          <w:tcPr>
            <w:tcW w:w="660" w:type="dxa"/>
            <w:vAlign w:val="bottom"/>
            <w:vMerge w:val="restart"/>
          </w:tcPr>
          <w:p>
            <w:pPr>
              <w:jc w:val="center"/>
              <w:ind w:left="4"/>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vMerge w:val="restart"/>
          </w:tcPr>
          <w:p>
            <w:pPr>
              <w:jc w:val="center"/>
              <w:ind w:left="21"/>
              <w:spacing w:after="0"/>
              <w:rPr>
                <w:sz w:val="20"/>
                <w:szCs w:val="20"/>
                <w:color w:val="auto"/>
              </w:rPr>
            </w:pPr>
            <w:r>
              <w:rPr>
                <w:rFonts w:ascii="Arial" w:cs="Arial" w:eastAsia="Arial" w:hAnsi="Arial"/>
                <w:sz w:val="16"/>
                <w:szCs w:val="16"/>
                <w:color w:val="auto"/>
                <w:w w:val="99"/>
              </w:rPr>
              <w:t>NVR, Inc.</w:t>
            </w:r>
          </w:p>
        </w:tc>
        <w:tc>
          <w:tcPr>
            <w:tcW w:w="0" w:type="dxa"/>
            <w:vAlign w:val="bottom"/>
          </w:tcPr>
          <w:p>
            <w:pPr>
              <w:spacing w:after="0"/>
              <w:rPr>
                <w:sz w:val="1"/>
                <w:szCs w:val="1"/>
                <w:color w:val="auto"/>
              </w:rPr>
            </w:pPr>
          </w:p>
        </w:tc>
      </w:tr>
      <w:tr>
        <w:trPr>
          <w:trHeight w:val="134"/>
        </w:trPr>
        <w:tc>
          <w:tcPr>
            <w:tcW w:w="1780" w:type="dxa"/>
            <w:vAlign w:val="bottom"/>
            <w:vMerge w:val="restart"/>
          </w:tcPr>
          <w:p>
            <w:pPr>
              <w:ind w:left="260"/>
              <w:spacing w:after="0"/>
              <w:rPr>
                <w:sz w:val="20"/>
                <w:szCs w:val="20"/>
                <w:color w:val="auto"/>
              </w:rPr>
            </w:pPr>
            <w:r>
              <w:rPr>
                <w:rFonts w:ascii="Arial" w:cs="Arial" w:eastAsia="Arial" w:hAnsi="Arial"/>
                <w:sz w:val="16"/>
                <w:szCs w:val="16"/>
                <w:color w:val="auto"/>
              </w:rPr>
              <w:t>Andrews</w:t>
            </w:r>
          </w:p>
        </w:tc>
        <w:tc>
          <w:tcPr>
            <w:tcW w:w="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Consulting</w:t>
            </w:r>
          </w:p>
        </w:tc>
        <w:tc>
          <w:tcPr>
            <w:tcW w:w="9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780" w:type="dxa"/>
            <w:vAlign w:val="bottom"/>
            <w:tcBorders>
              <w:bottom w:val="single" w:sz="8" w:color="494949"/>
            </w:tcBorders>
          </w:tcPr>
          <w:p>
            <w:pPr>
              <w:spacing w:after="0"/>
              <w:rPr>
                <w:sz w:val="2"/>
                <w:szCs w:val="2"/>
                <w:color w:val="auto"/>
              </w:rPr>
            </w:pPr>
          </w:p>
        </w:tc>
        <w:tc>
          <w:tcPr>
            <w:tcW w:w="680" w:type="dxa"/>
            <w:vAlign w:val="bottom"/>
            <w:tcBorders>
              <w:bottom w:val="single" w:sz="8" w:color="494949"/>
            </w:tcBorders>
          </w:tcPr>
          <w:p>
            <w:pPr>
              <w:spacing w:after="0"/>
              <w:rPr>
                <w:sz w:val="2"/>
                <w:szCs w:val="2"/>
                <w:color w:val="auto"/>
              </w:rPr>
            </w:pPr>
          </w:p>
        </w:tc>
        <w:tc>
          <w:tcPr>
            <w:tcW w:w="1040" w:type="dxa"/>
            <w:vAlign w:val="bottom"/>
            <w:tcBorders>
              <w:bottom w:val="single" w:sz="8" w:color="494949"/>
            </w:tcBorders>
          </w:tcPr>
          <w:p>
            <w:pPr>
              <w:spacing w:after="0"/>
              <w:rPr>
                <w:sz w:val="2"/>
                <w:szCs w:val="2"/>
                <w:color w:val="auto"/>
              </w:rPr>
            </w:pPr>
          </w:p>
        </w:tc>
        <w:tc>
          <w:tcPr>
            <w:tcW w:w="2540" w:type="dxa"/>
            <w:vAlign w:val="bottom"/>
            <w:tcBorders>
              <w:bottom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720" w:type="dxa"/>
            <w:vAlign w:val="bottom"/>
            <w:tcBorders>
              <w:bottom w:val="single" w:sz="8" w:color="494949"/>
            </w:tcBorders>
          </w:tcPr>
          <w:p>
            <w:pPr>
              <w:spacing w:after="0"/>
              <w:rPr>
                <w:sz w:val="2"/>
                <w:szCs w:val="2"/>
                <w:color w:val="auto"/>
              </w:rPr>
            </w:pPr>
          </w:p>
        </w:tc>
        <w:tc>
          <w:tcPr>
            <w:tcW w:w="720" w:type="dxa"/>
            <w:vAlign w:val="bottom"/>
            <w:tcBorders>
              <w:bottom w:val="single" w:sz="8" w:color="494949"/>
            </w:tcBorders>
          </w:tcPr>
          <w:p>
            <w:pPr>
              <w:spacing w:after="0"/>
              <w:rPr>
                <w:sz w:val="2"/>
                <w:szCs w:val="2"/>
                <w:color w:val="auto"/>
              </w:rPr>
            </w:pPr>
          </w:p>
        </w:tc>
        <w:tc>
          <w:tcPr>
            <w:tcW w:w="660" w:type="dxa"/>
            <w:vAlign w:val="bottom"/>
            <w:tcBorders>
              <w:bottom w:val="single" w:sz="8" w:color="494949"/>
            </w:tcBorders>
          </w:tcPr>
          <w:p>
            <w:pPr>
              <w:spacing w:after="0"/>
              <w:rPr>
                <w:sz w:val="2"/>
                <w:szCs w:val="2"/>
                <w:color w:val="auto"/>
              </w:rPr>
            </w:pPr>
          </w:p>
        </w:tc>
        <w:tc>
          <w:tcPr>
            <w:tcW w:w="214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rPr>
              <w:t>Former Executive Chairman,</w:t>
            </w:r>
          </w:p>
        </w:tc>
        <w:tc>
          <w:tcPr>
            <w:tcW w:w="9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spacing w:after="0"/>
              <w:rPr>
                <w:sz w:val="16"/>
                <w:szCs w:val="16"/>
                <w:color w:val="auto"/>
              </w:rPr>
            </w:pPr>
          </w:p>
        </w:tc>
        <w:tc>
          <w:tcPr>
            <w:tcW w:w="2140" w:type="dxa"/>
            <w:vAlign w:val="bottom"/>
          </w:tcPr>
          <w:p>
            <w:pPr>
              <w:jc w:val="center"/>
              <w:ind w:left="21"/>
              <w:spacing w:after="0"/>
              <w:rPr>
                <w:sz w:val="20"/>
                <w:szCs w:val="20"/>
                <w:color w:val="auto"/>
              </w:rPr>
            </w:pPr>
            <w:r>
              <w:rPr>
                <w:rFonts w:ascii="Arial" w:cs="Arial" w:eastAsia="Arial" w:hAnsi="Arial"/>
                <w:sz w:val="16"/>
                <w:szCs w:val="16"/>
                <w:color w:val="auto"/>
              </w:rPr>
              <w:t>DiamondRock Hospitality</w:t>
            </w:r>
          </w:p>
        </w:tc>
        <w:tc>
          <w:tcPr>
            <w:tcW w:w="0" w:type="dxa"/>
            <w:vAlign w:val="bottom"/>
          </w:tcPr>
          <w:p>
            <w:pPr>
              <w:spacing w:after="0"/>
              <w:rPr>
                <w:sz w:val="1"/>
                <w:szCs w:val="1"/>
                <w:color w:val="auto"/>
              </w:rPr>
            </w:pPr>
          </w:p>
        </w:tc>
      </w:tr>
      <w:tr>
        <w:trPr>
          <w:trHeight w:val="203"/>
        </w:trPr>
        <w:tc>
          <w:tcPr>
            <w:tcW w:w="1780" w:type="dxa"/>
            <w:vAlign w:val="bottom"/>
          </w:tcPr>
          <w:p>
            <w:pPr>
              <w:ind w:left="60"/>
              <w:spacing w:after="0"/>
              <w:rPr>
                <w:sz w:val="20"/>
                <w:szCs w:val="20"/>
                <w:color w:val="auto"/>
              </w:rPr>
            </w:pPr>
            <w:r>
              <w:rPr>
                <w:rFonts w:ascii="Arial" w:cs="Arial" w:eastAsia="Arial" w:hAnsi="Arial"/>
                <w:sz w:val="16"/>
                <w:szCs w:val="16"/>
                <w:color w:val="auto"/>
              </w:rPr>
              <w:t>William W. McCarten</w:t>
            </w:r>
          </w:p>
        </w:tc>
        <w:tc>
          <w:tcPr>
            <w:tcW w:w="680" w:type="dxa"/>
            <w:vAlign w:val="bottom"/>
          </w:tcPr>
          <w:p>
            <w:pPr>
              <w:jc w:val="center"/>
              <w:spacing w:after="0"/>
              <w:rPr>
                <w:sz w:val="20"/>
                <w:szCs w:val="20"/>
                <w:color w:val="auto"/>
              </w:rPr>
            </w:pPr>
            <w:r>
              <w:rPr>
                <w:rFonts w:ascii="Arial" w:cs="Arial" w:eastAsia="Arial" w:hAnsi="Arial"/>
                <w:sz w:val="16"/>
                <w:szCs w:val="16"/>
                <w:color w:val="auto"/>
              </w:rPr>
              <w:t>74</w:t>
            </w:r>
          </w:p>
        </w:tc>
        <w:tc>
          <w:tcPr>
            <w:tcW w:w="1040" w:type="dxa"/>
            <w:vAlign w:val="bottom"/>
          </w:tcPr>
          <w:p>
            <w:pPr>
              <w:jc w:val="center"/>
              <w:spacing w:after="0"/>
              <w:rPr>
                <w:sz w:val="20"/>
                <w:szCs w:val="20"/>
                <w:color w:val="auto"/>
              </w:rPr>
            </w:pPr>
            <w:r>
              <w:rPr>
                <w:rFonts w:ascii="Arial" w:cs="Arial" w:eastAsia="Arial" w:hAnsi="Arial"/>
                <w:sz w:val="16"/>
                <w:szCs w:val="16"/>
                <w:color w:val="auto"/>
              </w:rPr>
              <w:t>2011</w:t>
            </w:r>
          </w:p>
        </w:tc>
        <w:tc>
          <w:tcPr>
            <w:tcW w:w="2540" w:type="dxa"/>
            <w:vAlign w:val="bottom"/>
          </w:tcPr>
          <w:p>
            <w:pPr>
              <w:jc w:val="center"/>
              <w:spacing w:after="0"/>
              <w:rPr>
                <w:sz w:val="20"/>
                <w:szCs w:val="20"/>
                <w:color w:val="auto"/>
              </w:rPr>
            </w:pPr>
            <w:r>
              <w:rPr>
                <w:rFonts w:ascii="Arial" w:cs="Arial" w:eastAsia="Arial" w:hAnsi="Arial"/>
                <w:sz w:val="16"/>
                <w:szCs w:val="16"/>
                <w:color w:val="auto"/>
              </w:rPr>
              <w:t>DiamondRock Hospitality</w:t>
            </w:r>
          </w:p>
        </w:tc>
        <w:tc>
          <w:tcPr>
            <w:tcW w:w="9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tcPr>
          <w:p>
            <w:pPr>
              <w:jc w:val="center"/>
              <w:ind w:left="21"/>
              <w:spacing w:after="0"/>
              <w:rPr>
                <w:sz w:val="20"/>
                <w:szCs w:val="20"/>
                <w:color w:val="auto"/>
              </w:rPr>
            </w:pPr>
            <w:r>
              <w:rPr>
                <w:rFonts w:ascii="Arial" w:cs="Arial" w:eastAsia="Arial" w:hAnsi="Arial"/>
                <w:sz w:val="16"/>
                <w:szCs w:val="16"/>
                <w:color w:val="auto"/>
                <w:w w:val="99"/>
              </w:rPr>
              <w:t>Company, Cracker Barrel</w:t>
            </w:r>
          </w:p>
        </w:tc>
        <w:tc>
          <w:tcPr>
            <w:tcW w:w="0" w:type="dxa"/>
            <w:vAlign w:val="bottom"/>
          </w:tcPr>
          <w:p>
            <w:pPr>
              <w:spacing w:after="0"/>
              <w:rPr>
                <w:sz w:val="1"/>
                <w:szCs w:val="1"/>
                <w:color w:val="auto"/>
              </w:rPr>
            </w:pPr>
          </w:p>
        </w:tc>
      </w:tr>
      <w:tr>
        <w:trPr>
          <w:trHeight w:val="224"/>
        </w:trPr>
        <w:tc>
          <w:tcPr>
            <w:tcW w:w="1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Company</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rPr>
              <w:t>Old Country Store, Inc.</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Former Vice Chairman, Marriott</w:t>
            </w:r>
          </w:p>
        </w:tc>
        <w:tc>
          <w:tcPr>
            <w:tcW w:w="9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tcPr>
          <w:p>
            <w:pPr>
              <w:jc w:val="center"/>
              <w:ind w:left="21"/>
              <w:spacing w:after="0"/>
              <w:rPr>
                <w:sz w:val="20"/>
                <w:szCs w:val="20"/>
                <w:color w:val="auto"/>
              </w:rPr>
            </w:pPr>
            <w:r>
              <w:rPr>
                <w:rFonts w:ascii="Arial" w:cs="Arial" w:eastAsia="Arial" w:hAnsi="Arial"/>
                <w:sz w:val="16"/>
                <w:szCs w:val="16"/>
                <w:color w:val="auto"/>
              </w:rPr>
              <w:t>The Carlyle Group, Inc.</w:t>
            </w:r>
          </w:p>
        </w:tc>
        <w:tc>
          <w:tcPr>
            <w:tcW w:w="0" w:type="dxa"/>
            <w:vAlign w:val="bottom"/>
          </w:tcPr>
          <w:p>
            <w:pPr>
              <w:spacing w:after="0"/>
              <w:rPr>
                <w:sz w:val="1"/>
                <w:szCs w:val="1"/>
                <w:color w:val="auto"/>
              </w:rPr>
            </w:pPr>
          </w:p>
        </w:tc>
      </w:tr>
      <w:tr>
        <w:trPr>
          <w:trHeight w:val="95"/>
        </w:trPr>
        <w:tc>
          <w:tcPr>
            <w:tcW w:w="1780" w:type="dxa"/>
            <w:vAlign w:val="bottom"/>
            <w:vMerge w:val="restart"/>
          </w:tcPr>
          <w:p>
            <w:pPr>
              <w:ind w:left="60"/>
              <w:spacing w:after="0" w:line="203" w:lineRule="exact"/>
              <w:rPr>
                <w:sz w:val="20"/>
                <w:szCs w:val="20"/>
                <w:color w:val="auto"/>
              </w:rPr>
            </w:pPr>
            <w:r>
              <w:rPr>
                <w:rFonts w:ascii="Arial" w:cs="Arial" w:eastAsia="Arial" w:hAnsi="Arial"/>
                <w:sz w:val="16"/>
                <w:szCs w:val="16"/>
                <w:color w:val="auto"/>
              </w:rPr>
              <w:t>William J. Shaw</w:t>
            </w:r>
            <w:r>
              <w:rPr>
                <w:rFonts w:ascii="Arial" w:cs="Arial" w:eastAsia="Arial" w:hAnsi="Arial"/>
                <w:sz w:val="21"/>
                <w:szCs w:val="21"/>
                <w:color w:val="auto"/>
                <w:vertAlign w:val="superscript"/>
              </w:rPr>
              <w:t>2</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77</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2011</w:t>
            </w:r>
          </w:p>
        </w:tc>
        <w:tc>
          <w:tcPr>
            <w:tcW w:w="25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40" w:type="dxa"/>
            <w:vAlign w:val="bottom"/>
            <w:vMerge w:val="restart"/>
          </w:tcPr>
          <w:p>
            <w:pPr>
              <w:jc w:val="center"/>
              <w:ind w:left="21"/>
              <w:spacing w:after="0"/>
              <w:rPr>
                <w:sz w:val="20"/>
                <w:szCs w:val="20"/>
                <w:color w:val="auto"/>
              </w:rPr>
            </w:pPr>
            <w:r>
              <w:rPr>
                <w:rFonts w:ascii="Arial" w:cs="Arial" w:eastAsia="Arial" w:hAnsi="Arial"/>
                <w:sz w:val="16"/>
                <w:szCs w:val="16"/>
                <w:color w:val="auto"/>
              </w:rPr>
              <w:t>DiamondRock Hospitality</w:t>
            </w: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International</w:t>
            </w:r>
          </w:p>
        </w:tc>
        <w:tc>
          <w:tcPr>
            <w:tcW w:w="9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vMerge w:val="restart"/>
          </w:tcPr>
          <w:p>
            <w:pPr>
              <w:jc w:val="center"/>
              <w:ind w:left="21"/>
              <w:spacing w:after="0"/>
              <w:rPr>
                <w:sz w:val="20"/>
                <w:szCs w:val="20"/>
                <w:color w:val="auto"/>
              </w:rPr>
            </w:pPr>
            <w:r>
              <w:rPr>
                <w:rFonts w:ascii="Arial" w:cs="Arial" w:eastAsia="Arial" w:hAnsi="Arial"/>
                <w:sz w:val="16"/>
                <w:szCs w:val="16"/>
                <w:color w:val="auto"/>
                <w:w w:val="99"/>
              </w:rPr>
              <w:t>Company</w:t>
            </w:r>
          </w:p>
        </w:tc>
        <w:tc>
          <w:tcPr>
            <w:tcW w:w="0" w:type="dxa"/>
            <w:vAlign w:val="bottom"/>
          </w:tcPr>
          <w:p>
            <w:pPr>
              <w:spacing w:after="0"/>
              <w:rPr>
                <w:sz w:val="1"/>
                <w:szCs w:val="1"/>
                <w:color w:val="auto"/>
              </w:rPr>
            </w:pPr>
          </w:p>
        </w:tc>
      </w:tr>
      <w:tr>
        <w:trPr>
          <w:trHeight w:val="117"/>
        </w:trPr>
        <w:tc>
          <w:tcPr>
            <w:tcW w:w="1780" w:type="dxa"/>
            <w:vAlign w:val="bottom"/>
            <w:tcBorders>
              <w:bottom w:val="single" w:sz="8" w:color="00497F"/>
            </w:tcBorders>
          </w:tcPr>
          <w:p>
            <w:pPr>
              <w:spacing w:after="0"/>
              <w:rPr>
                <w:sz w:val="10"/>
                <w:szCs w:val="10"/>
                <w:color w:val="auto"/>
              </w:rPr>
            </w:pPr>
          </w:p>
        </w:tc>
        <w:tc>
          <w:tcPr>
            <w:tcW w:w="680" w:type="dxa"/>
            <w:vAlign w:val="bottom"/>
            <w:tcBorders>
              <w:bottom w:val="single" w:sz="8" w:color="00497F"/>
            </w:tcBorders>
          </w:tcPr>
          <w:p>
            <w:pPr>
              <w:spacing w:after="0"/>
              <w:rPr>
                <w:sz w:val="10"/>
                <w:szCs w:val="10"/>
                <w:color w:val="auto"/>
              </w:rPr>
            </w:pPr>
          </w:p>
        </w:tc>
        <w:tc>
          <w:tcPr>
            <w:tcW w:w="1040" w:type="dxa"/>
            <w:vAlign w:val="bottom"/>
            <w:tcBorders>
              <w:bottom w:val="single" w:sz="8" w:color="00497F"/>
            </w:tcBorders>
          </w:tcPr>
          <w:p>
            <w:pPr>
              <w:spacing w:after="0"/>
              <w:rPr>
                <w:sz w:val="10"/>
                <w:szCs w:val="10"/>
                <w:color w:val="auto"/>
              </w:rPr>
            </w:pPr>
          </w:p>
        </w:tc>
        <w:tc>
          <w:tcPr>
            <w:tcW w:w="2540" w:type="dxa"/>
            <w:vAlign w:val="bottom"/>
            <w:tcBorders>
              <w:bottom w:val="single" w:sz="8" w:color="00497F"/>
            </w:tcBorders>
          </w:tcPr>
          <w:p>
            <w:pPr>
              <w:spacing w:after="0"/>
              <w:rPr>
                <w:sz w:val="10"/>
                <w:szCs w:val="10"/>
                <w:color w:val="auto"/>
              </w:rPr>
            </w:pPr>
          </w:p>
        </w:tc>
        <w:tc>
          <w:tcPr>
            <w:tcW w:w="960" w:type="dxa"/>
            <w:vAlign w:val="bottom"/>
            <w:tcBorders>
              <w:bottom w:val="single" w:sz="8" w:color="00497F"/>
            </w:tcBorders>
          </w:tcPr>
          <w:p>
            <w:pPr>
              <w:spacing w:after="0"/>
              <w:rPr>
                <w:sz w:val="10"/>
                <w:szCs w:val="10"/>
                <w:color w:val="auto"/>
              </w:rPr>
            </w:pPr>
          </w:p>
        </w:tc>
        <w:tc>
          <w:tcPr>
            <w:tcW w:w="720" w:type="dxa"/>
            <w:vAlign w:val="bottom"/>
            <w:tcBorders>
              <w:bottom w:val="single" w:sz="8" w:color="00497F"/>
            </w:tcBorders>
          </w:tcPr>
          <w:p>
            <w:pPr>
              <w:spacing w:after="0"/>
              <w:rPr>
                <w:sz w:val="10"/>
                <w:szCs w:val="10"/>
                <w:color w:val="auto"/>
              </w:rPr>
            </w:pPr>
          </w:p>
        </w:tc>
        <w:tc>
          <w:tcPr>
            <w:tcW w:w="720" w:type="dxa"/>
            <w:vAlign w:val="bottom"/>
            <w:tcBorders>
              <w:bottom w:val="single" w:sz="8" w:color="00497F"/>
            </w:tcBorders>
          </w:tcPr>
          <w:p>
            <w:pPr>
              <w:spacing w:after="0"/>
              <w:rPr>
                <w:sz w:val="10"/>
                <w:szCs w:val="10"/>
                <w:color w:val="auto"/>
              </w:rPr>
            </w:pPr>
          </w:p>
        </w:tc>
        <w:tc>
          <w:tcPr>
            <w:tcW w:w="660" w:type="dxa"/>
            <w:vAlign w:val="bottom"/>
            <w:tcBorders>
              <w:bottom w:val="single" w:sz="8" w:color="00497F"/>
            </w:tcBorders>
          </w:tcPr>
          <w:p>
            <w:pPr>
              <w:spacing w:after="0"/>
              <w:rPr>
                <w:sz w:val="10"/>
                <w:szCs w:val="10"/>
                <w:color w:val="auto"/>
              </w:rPr>
            </w:pPr>
          </w:p>
        </w:tc>
        <w:tc>
          <w:tcPr>
            <w:tcW w:w="2140" w:type="dxa"/>
            <w:vAlign w:val="bottom"/>
            <w:tcBorders>
              <w:bottom w:val="single" w:sz="8" w:color="00497F"/>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Audit Committee (“AC”), Compensation Policy Committee (“CPC”), Nominating and Corporate Governance Committee (“NCG”).</w:t>
      </w:r>
    </w:p>
    <w:p>
      <w:pPr>
        <w:spacing w:after="0" w:line="70"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Mr. Shaw is Chairman of the Board and does not sit on any Board committees.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w:t>
            </w:r>
          </w:p>
        </w:tc>
      </w:tr>
      <w:tr>
        <w:trPr>
          <w:trHeight w:val="210"/>
        </w:trPr>
        <w:tc>
          <w:tcPr>
            <w:tcW w:w="72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65"/>
          <w:szCs w:val="65"/>
          <w:color w:val="004E7D"/>
        </w:rPr>
        <w:t>PROXY STATEMENT</w:t>
      </w:r>
    </w:p>
    <w:p>
      <w:pPr>
        <w:spacing w:after="0" w:line="213"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Board of Directors (the “Board”) of Marriott Vacations Worldwide Corporation (“we,” “us,” “Marriott Vacations Worldwide,” “MVW” or the “Company”) is soliciting stockholders’ proxies in connection with the 2023 Annual Meeting of Stockholders of the Company, and at any adjournment or postponement thereof (the “Annual Meeting”). The mailing to stockholders of the Notice Regarding the Availability of Proxy Materials (the “Notice”) will take place on or about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127635</wp:posOffset>
            </wp:positionV>
            <wp:extent cx="5666105" cy="634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6105" cy="63436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E7D"/>
        </w:rPr>
        <w:t>IMPORTANT NOTICE REGARDING THE AVAILABILITY OF PROXY MATERIALS FOR THE</w:t>
      </w:r>
    </w:p>
    <w:p>
      <w:pPr>
        <w:jc w:val="center"/>
        <w:ind w:right="-19"/>
        <w:spacing w:after="0"/>
        <w:rPr>
          <w:sz w:val="20"/>
          <w:szCs w:val="20"/>
          <w:color w:val="auto"/>
        </w:rPr>
      </w:pPr>
      <w:r>
        <w:rPr>
          <w:rFonts w:ascii="Arial" w:cs="Arial" w:eastAsia="Arial" w:hAnsi="Arial"/>
          <w:sz w:val="16"/>
          <w:szCs w:val="16"/>
          <w:b w:val="1"/>
          <w:bCs w:val="1"/>
          <w:color w:val="004E7D"/>
        </w:rPr>
        <w:t>ANNUAL MEETING OF STOCKHOLDERS TO BE HELD ON MAY 12, 2023</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E7D"/>
        </w:rPr>
        <w:t>The Notice of Annual Meeting and Proxy Statement and our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E7D"/>
        </w:rPr>
        <w:t>2022 Annual Report to stockholders are available at www.proxyvote.com.</w:t>
      </w:r>
    </w:p>
    <w:p>
      <w:pPr>
        <w:spacing w:after="0" w:line="200" w:lineRule="exact"/>
        <w:rPr>
          <w:sz w:val="20"/>
          <w:szCs w:val="20"/>
          <w:color w:val="auto"/>
        </w:rPr>
      </w:pPr>
    </w:p>
    <w:p>
      <w:pPr>
        <w:spacing w:after="0" w:line="325" w:lineRule="exact"/>
        <w:rPr>
          <w:sz w:val="20"/>
          <w:szCs w:val="20"/>
          <w:color w:val="auto"/>
        </w:rPr>
      </w:pPr>
    </w:p>
    <w:p>
      <w:pPr>
        <w:ind w:left="280" w:right="3540"/>
        <w:spacing w:after="0" w:line="257" w:lineRule="auto"/>
        <w:rPr>
          <w:sz w:val="20"/>
          <w:szCs w:val="20"/>
          <w:color w:val="auto"/>
        </w:rPr>
      </w:pPr>
      <w:r>
        <w:rPr>
          <w:rFonts w:ascii="Arial" w:cs="Arial" w:eastAsia="Arial" w:hAnsi="Arial"/>
          <w:sz w:val="54"/>
          <w:szCs w:val="54"/>
          <w:b w:val="1"/>
          <w:bCs w:val="1"/>
          <w:color w:val="auto"/>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-806450</wp:posOffset>
            </wp:positionV>
            <wp:extent cx="68580" cy="779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77978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Why am I receiving these materials?</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Marriott Vacations Worldwide has made these materials available to you on the Internet or has delivered printed versions of these materials to you by mail in connection with the solicitation of proxies on behalf of the Board for use at our Annual Meeting. This Proxy Statement describes the matters on which you, as a stockholder, are entitled to vote. It also gives you information on these matters so that you can make an informed decision.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How do I attend the virtual Annual Meeting?</w:t>
      </w:r>
    </w:p>
    <w:p>
      <w:pPr>
        <w:spacing w:after="0" w:line="12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You may attend the Annual Meeting online, including to vote, by logging in at www.virtualshareholdermeeting.com/VAC2023. The Annual Meeting will begin at approximately 9:00 a.m., Eastern Time, with log-in beginning at 8:45 a.m. on Friday, May 12, 2023.</w:t>
      </w:r>
    </w:p>
    <w:p>
      <w:pPr>
        <w:spacing w:after="0" w:line="3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You may attend and vote during the Annual Meeting via the Internet at www.virtualshareholdermeeting.com/VAC2023. You may also attend the meeting by proxy. You may submit questions in advance of the meeting at www.proxyvote.com.</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How do I gain admission to the virtual Annual Meeting?</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You are entitled to participate in the virtual Annual Meeting only if you were a stockholder of record who owned the Company’s common stock at the close of business on March 14, 2023. Each holder of record is entitled to one vote per share. There were [—] shares of common stock outstanding and entitled to vote on March 14, 2023.</w:t>
      </w:r>
    </w:p>
    <w:p>
      <w:pPr>
        <w:spacing w:after="0" w:line="70"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To attend online and participate in the Annual Meeting, stockholders of record will need to use their control number on their Notice or proxy card to log into www.virtualshareholdermeeting.com/VAC2023; beneficial owners who do not have a control number may gain access to the meeting by logging into their brokerage firm’s website and selecting the stockholder communications mailbox to link through to the virtual Annual Meeting. Instructions should also be provided on the voting instruction card provided by their broker, bank, or other nominee.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access the meeting prior to the start time. Please allow time for online check-in, which will begin at 8:45 a.m. Eastern Time. If you</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encounter any difficulties accessing the Annual Meeting during the check-in or meeting time, please call the technical support number that will be posted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virtual Annual Meeting landing page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www.virtualshareholdermeeting.com/VAC2023.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w:t>
            </w:r>
          </w:p>
        </w:tc>
      </w:tr>
      <w:tr>
        <w:trPr>
          <w:trHeight w:val="196"/>
        </w:trPr>
        <w:tc>
          <w:tcPr>
            <w:tcW w:w="7240" w:type="dxa"/>
            <w:vAlign w:val="bottom"/>
            <w:tcBorders>
              <w:bottom w:val="single" w:sz="8" w:color="9A9A9A"/>
            </w:tcBorders>
          </w:tcPr>
          <w:p>
            <w:pPr>
              <w:spacing w:after="0"/>
              <w:rPr>
                <w:sz w:val="17"/>
                <w:szCs w:val="17"/>
                <w:color w:val="auto"/>
              </w:rPr>
            </w:pPr>
          </w:p>
        </w:tc>
        <w:tc>
          <w:tcPr>
            <w:tcW w:w="4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How do I ask questions?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You may submit a question in advance of the meeting at www.proxyvote.com. The Company will try to answer as many questions as possible during the time scheduled. Answers to appropriate investor questions received before the Annual Meeting will be posted on the Investor Relations page of the Company’s website as soon as practicable after the Annual Meeting to the extent such questions were not answered at the Annual Meeting. Additional information regarding the question and answer process, including the types of questions permitted, the time allotted for the question and answer session, and how questions will be addressed and disclosed, will be available in the Annual Meeting Rules of Conduct, which will be posted at the virtual Annual Meeting website during the Annual Meeting.</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Why did I receive a one-page notice in the mail regarding the Internet availability of proxy materials instead of printed proxy materials?</w:t>
      </w:r>
    </w:p>
    <w:p>
      <w:pPr>
        <w:spacing w:after="0" w:line="13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U.S. Securities and Exchange Commission (the “SEC”) permits companies to furnish proxy materials to stockholders by providing access to these documents over the Internet instead of mailing a printed copy. Accordingly, we mailed a Notice to stockholders who elected to receive proxy materials by email. These stockholders have the ability to access, view and print the proxy materials on the website referred to in the Notice and request a printed set of proxy materials.</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Can I get electronic access to the proxy materials if I received printed materials?</w:t>
      </w:r>
    </w:p>
    <w:p>
      <w:pPr>
        <w:spacing w:after="0" w:line="13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If you received a printed copy of our proxy materials, you can also view the proxy materials for the meeting electronically at proxyvote.com. You may also choose to receive future proxy materials by email. Choosing to receive your future proxy materials by email will lower our costs of delivery and reduce the environmental impact of our Annual Meeting. If you choose to receive our future proxy materials by email, you will receive an email next year with instructions containing a link to view those proxy materials and a link to the proxy voting site. Your election to receive proxy materials by email will remain in effect until you terminate it or for so long as the email address provided by you is valid.</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What items will be voted on at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Stockholders will vote on the following items at the Annual Meeting, if each is properly presented at the meeting:</w:t>
      </w:r>
    </w:p>
    <w:p>
      <w:pPr>
        <w:spacing w:after="0" w:line="11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Election of the three director nominees named in this Proxy Statement;</w:t>
      </w:r>
    </w:p>
    <w:p>
      <w:pPr>
        <w:spacing w:after="0" w:line="126" w:lineRule="exact"/>
        <w:rPr>
          <w:rFonts w:ascii="Arial" w:cs="Arial" w:eastAsia="Arial" w:hAnsi="Arial"/>
          <w:sz w:val="16"/>
          <w:szCs w:val="16"/>
          <w:color w:val="auto"/>
        </w:rPr>
      </w:pPr>
    </w:p>
    <w:p>
      <w:pPr>
        <w:ind w:left="580" w:right="160" w:hanging="248"/>
        <w:spacing w:after="0" w:line="286" w:lineRule="auto"/>
        <w:tabs>
          <w:tab w:leader="none" w:pos="5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(“Ernst &amp; Young”) as the Company’s independent registered public accounting firm for its 2023 fiscal year;</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Advisory vote to approve named executive officer compensation;</w:t>
      </w:r>
    </w:p>
    <w:p>
      <w:pPr>
        <w:spacing w:after="0" w:line="113" w:lineRule="exact"/>
        <w:rPr>
          <w:rFonts w:ascii="Arial" w:cs="Arial" w:eastAsia="Arial" w:hAnsi="Arial"/>
          <w:sz w:val="16"/>
          <w:szCs w:val="16"/>
          <w:color w:val="auto"/>
        </w:rPr>
      </w:pPr>
    </w:p>
    <w:p>
      <w:pPr>
        <w:ind w:left="580" w:right="260" w:hanging="248"/>
        <w:spacing w:after="0" w:line="286" w:lineRule="auto"/>
        <w:tabs>
          <w:tab w:leader="none" w:pos="6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Approval of management proposal to amend the Company’s Restated Certificate of Incorporation to provide for the phased-in declassification of the Board of Directors;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other matters that may properly be presented at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addition, management will respond to appropriate questions from stockholders submitted in advance of the meeting.</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What are the Board’s voting recommendations?</w:t>
      </w:r>
    </w:p>
    <w:p>
      <w:pPr>
        <w:spacing w:after="0" w:line="126"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color w:val="auto"/>
        </w:rPr>
        <w:t xml:space="preserve">The Board’s recommendation is set forth together with the description of each Item in this Proxy Statement.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nominee for director in Item 1,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Items 2, 3, and 4.</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What is the difference between being a record holder and a beneficial owner of shares held in street name?</w:t>
      </w:r>
    </w:p>
    <w:p>
      <w:pPr>
        <w:spacing w:after="0" w:line="12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 record holder holds shares directly in his, her or its own name with the Company’s transfer agent. Shares held in “street name” refer to shares that are held in the name of a bank or broker on a person’s behalf. Many stockholders hold their shares in street name. For such shares, the bank or broker is considered the record holder for purposes of voting at the Annual Meeting. As a beneficial owner, you have the right to direct that organization how to vote the shares held in your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w:t>
            </w:r>
          </w:p>
        </w:tc>
      </w:tr>
      <w:tr>
        <w:trPr>
          <w:trHeight w:val="196"/>
        </w:trPr>
        <w:tc>
          <w:tcPr>
            <w:tcW w:w="7240" w:type="dxa"/>
            <w:vAlign w:val="bottom"/>
            <w:tcBorders>
              <w:bottom w:val="single" w:sz="8" w:color="9A9A9A"/>
            </w:tcBorders>
          </w:tcPr>
          <w:p>
            <w:pPr>
              <w:spacing w:after="0"/>
              <w:rPr>
                <w:sz w:val="17"/>
                <w:szCs w:val="17"/>
                <w:color w:val="auto"/>
              </w:rPr>
            </w:pPr>
          </w:p>
        </w:tc>
        <w:tc>
          <w:tcPr>
            <w:tcW w:w="4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color w:val="004E7D"/>
        </w:rPr>
        <w:t>Q.</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004E7D"/>
        </w:rPr>
        <w:t>How do I vote?</w:t>
      </w:r>
    </w:p>
    <w:p>
      <w:pPr>
        <w:spacing w:after="0" w:line="180" w:lineRule="exact"/>
        <w:rPr>
          <w:sz w:val="20"/>
          <w:szCs w:val="20"/>
          <w:color w:val="auto"/>
        </w:rPr>
      </w:pPr>
    </w:p>
    <w:p>
      <w:pPr>
        <w:sectPr>
          <w:pgSz w:w="11900" w:h="16838" w:orient="portrait"/>
          <w:cols w:equalWidth="0" w:num="2">
            <w:col w:w="280" w:space="180"/>
            <w:col w:w="10780"/>
          </w:cols>
          <w:pgMar w:left="320" w:top="1292" w:right="339" w:bottom="1440" w:gutter="0" w:footer="0" w:header="0"/>
        </w:sectPr>
      </w:pPr>
    </w:p>
    <w:p>
      <w:pPr>
        <w:ind w:left="760"/>
        <w:spacing w:after="0"/>
        <w:rPr>
          <w:sz w:val="20"/>
          <w:szCs w:val="20"/>
          <w:color w:val="auto"/>
        </w:rPr>
      </w:pPr>
      <w:r>
        <w:rPr>
          <w:rFonts w:ascii="Arial" w:cs="Arial" w:eastAsia="Arial" w:hAnsi="Arial"/>
          <w:sz w:val="15"/>
          <w:szCs w:val="15"/>
          <w:b w:val="1"/>
          <w:bCs w:val="1"/>
          <w:color w:val="004E7D"/>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34290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E7D"/>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-98425</wp:posOffset>
            </wp:positionV>
            <wp:extent cx="34290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E7D"/>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-98425</wp:posOffset>
            </wp:positionV>
            <wp:extent cx="34290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E7D"/>
        </w:rPr>
        <w:t>AT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-98425</wp:posOffset>
            </wp:positionV>
            <wp:extent cx="34290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4">
            <w:col w:w="2200" w:space="720"/>
            <w:col w:w="1680" w:space="720"/>
            <w:col w:w="2780" w:space="720"/>
            <w:col w:w="2420"/>
          </w:cols>
          <w:pgMar w:left="320" w:top="1292" w:right="339" w:bottom="1440" w:gutter="0" w:footer="0" w:header="0"/>
          <w:type w:val="continuous"/>
        </w:sectPr>
      </w:pPr>
    </w:p>
    <w:p>
      <w:pPr>
        <w:spacing w:after="0" w:line="27" w:lineRule="exact"/>
        <w:rPr>
          <w:sz w:val="20"/>
          <w:szCs w:val="20"/>
          <w:color w:val="auto"/>
        </w:rPr>
      </w:pPr>
    </w:p>
    <w:p>
      <w:pPr>
        <w:ind w:left="760" w:right="440"/>
        <w:spacing w:after="0" w:line="211" w:lineRule="auto"/>
        <w:rPr>
          <w:sz w:val="20"/>
          <w:szCs w:val="20"/>
          <w:color w:val="auto"/>
        </w:rPr>
      </w:pPr>
      <w:r>
        <w:rPr>
          <w:rFonts w:ascii="Arial" w:cs="Arial" w:eastAsia="Arial" w:hAnsi="Arial"/>
          <w:sz w:val="16"/>
          <w:szCs w:val="16"/>
          <w:b w:val="1"/>
          <w:bCs w:val="1"/>
          <w:color w:val="004E7D"/>
        </w:rPr>
        <w:t>TELEPHONE 800-690-6903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4E7D"/>
        </w:rPr>
        <w:t>www.proxyvote.com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4E7D"/>
        </w:rPr>
        <w:t>completing and returning your proxy card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60"/>
        <w:spacing w:after="0" w:line="210" w:lineRule="auto"/>
        <w:rPr>
          <w:sz w:val="20"/>
          <w:szCs w:val="20"/>
          <w:color w:val="auto"/>
        </w:rPr>
      </w:pPr>
      <w:r>
        <w:rPr>
          <w:rFonts w:ascii="Arial" w:cs="Arial" w:eastAsia="Arial" w:hAnsi="Arial"/>
          <w:sz w:val="14"/>
          <w:szCs w:val="14"/>
          <w:color w:val="004E7D"/>
        </w:rPr>
        <w:t>by electronic vote at the virtual meeting</w:t>
      </w:r>
    </w:p>
    <w:p>
      <w:pPr>
        <w:spacing w:after="0" w:line="42" w:lineRule="exact"/>
        <w:rPr>
          <w:sz w:val="20"/>
          <w:szCs w:val="20"/>
          <w:color w:val="auto"/>
        </w:rPr>
      </w:pPr>
    </w:p>
    <w:p>
      <w:pPr>
        <w:sectPr>
          <w:pgSz w:w="11900" w:h="16838" w:orient="portrait"/>
          <w:cols w:equalWidth="0" w:num="4">
            <w:col w:w="2200" w:space="720"/>
            <w:col w:w="1680" w:space="720"/>
            <w:col w:w="2780" w:space="720"/>
            <w:col w:w="2420"/>
          </w:cols>
          <w:pgMar w:left="320" w:top="1292" w:right="339" w:bottom="1440" w:gutter="0" w:footer="0" w:header="0"/>
          <w:type w:val="continuous"/>
        </w:sectPr>
      </w:pPr>
    </w:p>
    <w:p>
      <w:pPr>
        <w:jc w:val="center"/>
        <w:ind w:right="8480"/>
        <w:spacing w:after="0" w:line="211" w:lineRule="auto"/>
        <w:rPr>
          <w:sz w:val="20"/>
          <w:szCs w:val="20"/>
          <w:color w:val="auto"/>
        </w:rPr>
      </w:pPr>
      <w:r>
        <w:rPr>
          <w:rFonts w:ascii="Arial" w:cs="Arial" w:eastAsia="Arial" w:hAnsi="Arial"/>
          <w:sz w:val="16"/>
          <w:szCs w:val="16"/>
          <w:b w:val="1"/>
          <w:bCs w:val="1"/>
          <w:color w:val="004E7D"/>
        </w:rPr>
        <w:t>(record holders)</w:t>
      </w:r>
    </w:p>
    <w:p>
      <w:pPr>
        <w:sectPr>
          <w:pgSz w:w="11900" w:h="16838" w:orient="portrait"/>
          <w:cols w:equalWidth="0" w:num="1">
            <w:col w:w="11240"/>
          </w:cols>
          <w:pgMar w:left="320" w:top="1292" w:right="339" w:bottom="1440" w:gutter="0" w:footer="0" w:header="0"/>
          <w:type w:val="continuous"/>
        </w:sectPr>
      </w:pPr>
    </w:p>
    <w:p>
      <w:pPr>
        <w:spacing w:after="0" w:line="7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online or by telephone, or, if they received printed copies of materials, by mailing their proxy cards. Stockholders can vote via the Internet in advance of or during the Annual Meeting.</w:t>
      </w:r>
    </w:p>
    <w:p>
      <w:pPr>
        <w:spacing w:after="0" w:line="6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Stockholders who attend the virtual Annual Meeting should follow the instructions at www.virtualshareholdermeeting.com/VAC2023 to vote during the meeting. Voting online during the meeting will replace any previous votes.</w:t>
      </w:r>
    </w:p>
    <w:p>
      <w:pPr>
        <w:spacing w:after="0" w:line="3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Record holders who received a copy of this Proxy Statement and accompanying proxy card in the mail can vote by filling out the proxy card, signing it and returning it in the postage paid return envelope. Record holders can also vote by telephone (800-690-6903) or by Internet (www.proxyvote.com). Voting instructions are provided on the proxy card.</w:t>
      </w:r>
    </w:p>
    <w:p>
      <w:pPr>
        <w:spacing w:after="0" w:line="56"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If you are a beneficial owner, you must vote by giving instructions to your bank or broker. You should follow the voting instructions on the form that you receive from your bank or broker.</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How will my proxy be voted?</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Your proxy card, when properly signed and returned to us, or processed by telephone or via the Internet, and not revoked, will be voted in accordance with your instructions. We are not aware of any other matter that may be properly presented other than those described above. If any other matter is properly presented, the persons named in the enclosed proxy card will have discretion to vote in their best judgment.</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If you are a beneficial owner, your bank or broker is permitted to use its own discretion and vote your shares on certain routine matters (such as Item 2) even if you have not provided voting instructions. Your bank or broker is not permitted to use its discretion and vote your shares on non-routine matters (such as Items 1, 3, and 4) if it has not received instructions from you as to how to vote the shares. </w:t>
      </w:r>
      <w:r>
        <w:rPr>
          <w:rFonts w:ascii="Arial" w:cs="Arial" w:eastAsia="Arial" w:hAnsi="Arial"/>
          <w:sz w:val="16"/>
          <w:szCs w:val="16"/>
          <w:i w:val="1"/>
          <w:iCs w:val="1"/>
          <w:color w:val="auto"/>
        </w:rPr>
        <w:t>Therefore, we urge you to give voting instructions to your broker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all four voting items. </w:t>
      </w:r>
      <w:r>
        <w:rPr>
          <w:rFonts w:ascii="Arial" w:cs="Arial" w:eastAsia="Arial" w:hAnsi="Arial"/>
          <w:sz w:val="16"/>
          <w:szCs w:val="16"/>
          <w:color w:val="auto"/>
        </w:rPr>
        <w:t>Shares that are not permitted to be voted by your broker with respect to any non-routine matter are called “broker non-votes.” Broker</w:t>
      </w:r>
      <w:r>
        <w:rPr>
          <w:rFonts w:ascii="Arial" w:cs="Arial" w:eastAsia="Arial" w:hAnsi="Arial"/>
          <w:sz w:val="16"/>
          <w:szCs w:val="16"/>
          <w:i w:val="1"/>
          <w:iCs w:val="1"/>
          <w:color w:val="auto"/>
        </w:rPr>
        <w:t xml:space="preserve"> </w:t>
      </w:r>
      <w:r>
        <w:rPr>
          <w:rFonts w:ascii="Arial" w:cs="Arial" w:eastAsia="Arial" w:hAnsi="Arial"/>
          <w:sz w:val="16"/>
          <w:szCs w:val="16"/>
          <w:color w:val="auto"/>
        </w:rPr>
        <w:t>non-votes are not considered votes for or against, or entitled to vote with respect to Items 1 and 3 to be voted on at the Annual Meeting and will have no direct impact on the outcome of those non-routine proposals. Abstentions will be counted as a vote “AGAINST” Item 4, the Declassification Proposal. “Broker non-votes” will have the same effect as votes “AGAINST” this proposal.</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What if I don’t mark the boxes on my proxy?</w:t>
      </w:r>
    </w:p>
    <w:p>
      <w:pPr>
        <w:spacing w:after="0" w:line="126"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If you just sign and submit your proxy card without providing voting instructions, your shares will be voted “FOR” each director nominee listed in this Proxy Statement and “FOR” the other proposals as recommended by the Board and in accordance with the discretion of the holders of the proxy with respect to any other matters that may be voted upon.</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How many votes are needed to approve an item?</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Directors will be elected by a plurality of all the votes cast at the Annual Meeting, either online or represented by a properly completed or authorized proxy. This means that the three nominees who receive the highest number of “FOR” votes cast will be elected as directors. Stockholders cannot cumulate votes in the election of directors. Abstentions will have no effect on the outcome of this proposal.</w:t>
      </w:r>
    </w:p>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affirmative vote of holders of shares representing a majority in voting power of the votes cast, present online or represented by proxy and entitled to vote at the meeting, is necessary for approval of Items 2 and 3. Proxy cards marked as abstentions on Items 2 and 3 will not be counted as votes cast but will count as present and entitled to vote and therefore will have the effect of a negative vote.</w:t>
      </w:r>
    </w:p>
    <w:p>
      <w:pPr>
        <w:spacing w:after="0" w:line="5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Broker non-votes will not be counted as entitled to vote for Items 1 or 3 and therefore will have no effect on the outcome of these Items. Item 2 is a routine matter on which brokers may vote even if they have not received voting instructions; therefore, there will not be any broker non-votes with respect to Item 2.</w:t>
      </w:r>
    </w:p>
    <w:p>
      <w:pPr>
        <w:spacing w:after="0" w:line="6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Approval of Item 4, the Declassification Proposal, requires the affirmative vote of the holders of at least 66 2/3% in voting power of the outstanding shares of the Company’s stock entitled to vote on the proposal, voting as a single class. Abstentions will be counted as a vote “AGAINST” the Declassification Proposal. “Broker non-votes” will have the same effect as votes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6</w:t>
            </w:r>
          </w:p>
        </w:tc>
      </w:tr>
      <w:tr>
        <w:trPr>
          <w:trHeight w:val="210"/>
        </w:trPr>
        <w:tc>
          <w:tcPr>
            <w:tcW w:w="72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What constitutes a quorum?</w:t>
      </w:r>
    </w:p>
    <w:p>
      <w:pPr>
        <w:spacing w:after="0" w:line="126"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presence at the meeting, online or by proxy, of the holders of a majority in voting power of the issued and outstanding shares of common stock entitled to vote at the Annual Meeting will constitute a quorum. Proxies received will be included in the calculation of the number of shares considered to be present at the meeting, even if marked as broker non-votes or with abstentions on certain items.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Who can attend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as of the record date, their proxy holders and our invited guests may attend the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Can I attend and participate in the Annual Meeting online if I vote by proxy?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Yes. Attending the Annual Meeting online does not revoke your proxy.</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4E7D"/>
        </w:rPr>
        <w:t xml:space="preserve">Q.  </w:t>
      </w:r>
      <w:r>
        <w:rPr>
          <w:rFonts w:ascii="Arial" w:cs="Arial" w:eastAsia="Arial" w:hAnsi="Arial"/>
          <w:sz w:val="16"/>
          <w:szCs w:val="16"/>
          <w:color w:val="004E7D"/>
        </w:rPr>
        <w:t>Can I change my vote or revoke my proxy after I return my proxy card, or after I vote by telephone or electronically?</w:t>
      </w:r>
    </w:p>
    <w:p>
      <w:pPr>
        <w:spacing w:after="0" w:line="12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Yes. Even after you have submitted your proxy, you may change your vote at any time before the proxy is exercised at the Annual Meeting. Regardless of the way in which you submitted your original proxy, you may change it by:</w:t>
      </w:r>
    </w:p>
    <w:p>
      <w:pPr>
        <w:spacing w:after="0" w:line="1" w:lineRule="exact"/>
        <w:rPr>
          <w:sz w:val="20"/>
          <w:szCs w:val="20"/>
          <w:color w:val="auto"/>
        </w:rPr>
      </w:pPr>
    </w:p>
    <w:p>
      <w:pPr>
        <w:ind w:left="340" w:hanging="228"/>
        <w:spacing w:after="0"/>
        <w:tabs>
          <w:tab w:leader="none" w:pos="340" w:val="left"/>
        </w:tabs>
        <w:numPr>
          <w:ilvl w:val="0"/>
          <w:numId w:val="34"/>
        </w:numPr>
        <w:rPr>
          <w:rFonts w:ascii="Arial" w:cs="Arial" w:eastAsia="Arial" w:hAnsi="Arial"/>
          <w:sz w:val="16"/>
          <w:szCs w:val="16"/>
          <w:color w:val="004E7D"/>
        </w:rPr>
      </w:pPr>
      <w:r>
        <w:rPr>
          <w:rFonts w:ascii="Arial" w:cs="Arial" w:eastAsia="Arial" w:hAnsi="Arial"/>
          <w:sz w:val="16"/>
          <w:szCs w:val="16"/>
          <w:color w:val="auto"/>
        </w:rPr>
        <w:t>returning a later-dated signed proxy card;</w:t>
      </w:r>
    </w:p>
    <w:p>
      <w:pPr>
        <w:spacing w:after="0" w:line="59" w:lineRule="exact"/>
        <w:rPr>
          <w:rFonts w:ascii="Arial" w:cs="Arial" w:eastAsia="Arial" w:hAnsi="Arial"/>
          <w:sz w:val="16"/>
          <w:szCs w:val="16"/>
          <w:color w:val="004E7D"/>
        </w:rPr>
      </w:pPr>
    </w:p>
    <w:p>
      <w:pPr>
        <w:ind w:left="220" w:right="600" w:hanging="108"/>
        <w:spacing w:after="0" w:line="290" w:lineRule="auto"/>
        <w:tabs>
          <w:tab w:leader="none" w:pos="353" w:val="left"/>
        </w:tabs>
        <w:numPr>
          <w:ilvl w:val="0"/>
          <w:numId w:val="34"/>
        </w:numPr>
        <w:rPr>
          <w:rFonts w:ascii="Arial" w:cs="Arial" w:eastAsia="Arial" w:hAnsi="Arial"/>
          <w:sz w:val="16"/>
          <w:szCs w:val="16"/>
          <w:color w:val="004E7D"/>
        </w:rPr>
      </w:pPr>
      <w:r>
        <w:rPr>
          <w:rFonts w:ascii="Arial" w:cs="Arial" w:eastAsia="Arial" w:hAnsi="Arial"/>
          <w:sz w:val="16"/>
          <w:szCs w:val="16"/>
          <w:color w:val="auto"/>
        </w:rPr>
        <w:t>delivering a written notice of revocation to Marriott Vacations Worldwide Corporation, 9002 San Marco Court, Orlando, Florida, 32819, Attention: Corporate Secretary;</w:t>
      </w:r>
    </w:p>
    <w:p>
      <w:pPr>
        <w:ind w:left="340" w:hanging="228"/>
        <w:spacing w:after="0"/>
        <w:tabs>
          <w:tab w:leader="none" w:pos="340" w:val="left"/>
        </w:tabs>
        <w:numPr>
          <w:ilvl w:val="0"/>
          <w:numId w:val="34"/>
        </w:numPr>
        <w:rPr>
          <w:rFonts w:ascii="Arial" w:cs="Arial" w:eastAsia="Arial" w:hAnsi="Arial"/>
          <w:sz w:val="16"/>
          <w:szCs w:val="16"/>
          <w:color w:val="004E7D"/>
        </w:rPr>
      </w:pPr>
      <w:r>
        <w:rPr>
          <w:rFonts w:ascii="Arial" w:cs="Arial" w:eastAsia="Arial" w:hAnsi="Arial"/>
          <w:sz w:val="16"/>
          <w:szCs w:val="16"/>
          <w:color w:val="auto"/>
        </w:rPr>
        <w:t>voting by telephone or the Internet at www.proxyvote.com until 11:59 p.m., Eastern Time, on May 11, 2023; or</w:t>
      </w:r>
    </w:p>
    <w:p>
      <w:pPr>
        <w:spacing w:after="0" w:line="72" w:lineRule="exact"/>
        <w:rPr>
          <w:rFonts w:ascii="Arial" w:cs="Arial" w:eastAsia="Arial" w:hAnsi="Arial"/>
          <w:sz w:val="16"/>
          <w:szCs w:val="16"/>
          <w:color w:val="004E7D"/>
        </w:rPr>
      </w:pPr>
    </w:p>
    <w:p>
      <w:pPr>
        <w:ind w:left="340" w:hanging="228"/>
        <w:spacing w:after="0"/>
        <w:tabs>
          <w:tab w:leader="none" w:pos="340" w:val="left"/>
        </w:tabs>
        <w:numPr>
          <w:ilvl w:val="0"/>
          <w:numId w:val="34"/>
        </w:numPr>
        <w:rPr>
          <w:rFonts w:ascii="Arial" w:cs="Arial" w:eastAsia="Arial" w:hAnsi="Arial"/>
          <w:sz w:val="16"/>
          <w:szCs w:val="16"/>
          <w:color w:val="004E7D"/>
        </w:rPr>
      </w:pPr>
      <w:r>
        <w:rPr>
          <w:rFonts w:ascii="Arial" w:cs="Arial" w:eastAsia="Arial" w:hAnsi="Arial"/>
          <w:sz w:val="16"/>
          <w:szCs w:val="16"/>
          <w:color w:val="auto"/>
        </w:rPr>
        <w:t>submitting a later-dated vote during the virtual Annual Meeting (www.virtualshareholdermeeting.com/VAC2023).</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If your shares are held through a broker or other nominee, and you are not provided a 16-digit control number, you will need to contact that institution if you wish to change your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7</w:t>
            </w:r>
          </w:p>
        </w:tc>
      </w:tr>
      <w:tr>
        <w:trPr>
          <w:trHeight w:val="196"/>
        </w:trPr>
        <w:tc>
          <w:tcPr>
            <w:tcW w:w="7240" w:type="dxa"/>
            <w:vAlign w:val="bottom"/>
            <w:tcBorders>
              <w:bottom w:val="single" w:sz="8" w:color="9A9A9A"/>
            </w:tcBorders>
          </w:tcPr>
          <w:p>
            <w:pPr>
              <w:spacing w:after="0"/>
              <w:rPr>
                <w:sz w:val="17"/>
                <w:szCs w:val="17"/>
                <w:color w:val="auto"/>
              </w:rPr>
            </w:pPr>
          </w:p>
        </w:tc>
        <w:tc>
          <w:tcPr>
            <w:tcW w:w="4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2" w:name="page13"/>
    <w:bookmarkEnd w:id="12"/>
    <w:p>
      <w:pPr>
        <w:spacing w:after="0"/>
        <w:rPr>
          <w:sz w:val="20"/>
          <w:szCs w:val="20"/>
          <w:color w:val="auto"/>
        </w:rPr>
      </w:pPr>
      <w:r>
        <w:rPr>
          <w:sz w:val="1"/>
          <w:szCs w:val="1"/>
          <w:color w:val="auto"/>
        </w:rPr>
        <w:drawing>
          <wp:inline distT="0" distB="0" distL="0" distR="0">
            <wp:extent cx="68580" cy="4368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PROPOSALS FOR VOTE</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ITEM 1 – ELECTION OF DIRECTORS</w:t>
      </w:r>
    </w:p>
    <w:p>
      <w:pPr>
        <w:spacing w:after="0" w:line="112" w:lineRule="exact"/>
        <w:rPr>
          <w:sz w:val="20"/>
          <w:szCs w:val="20"/>
          <w:color w:val="auto"/>
        </w:rPr>
      </w:pPr>
    </w:p>
    <w:p>
      <w:pPr>
        <w:ind w:left="40" w:right="300"/>
        <w:spacing w:after="0" w:line="265" w:lineRule="auto"/>
        <w:rPr>
          <w:sz w:val="20"/>
          <w:szCs w:val="20"/>
          <w:color w:val="auto"/>
        </w:rPr>
      </w:pPr>
      <w:r>
        <w:rPr>
          <w:rFonts w:ascii="Arial" w:cs="Arial" w:eastAsia="Arial" w:hAnsi="Arial"/>
          <w:sz w:val="16"/>
          <w:szCs w:val="16"/>
          <w:color w:val="auto"/>
        </w:rPr>
        <w:t>The Board currently consists of ten members and is divided into three classes, each having three-year terms that expire in successive years. The current Class II directors include William J. Shaw, Charles Elliott “C.E.” Andrews, and William W. McCarten, and the term of the Class II directors expires at the Annual Meeting. The Board proposes that William J. Shaw, Charles Elliot “C.E.” Andrews, and William W. McCarten be elected as Class II directors for a term of three years expiring at the 2026 Annual Meeting and until their successors are duly elected and qualified. Stockholders last elected Mr. Shaw, Mr. Andrews, and Mr. McCarten as Class II directors at the 2020 Annual Meeting.</w:t>
      </w:r>
    </w:p>
    <w:p>
      <w:pPr>
        <w:spacing w:after="0" w:line="64" w:lineRule="exact"/>
        <w:rPr>
          <w:sz w:val="20"/>
          <w:szCs w:val="20"/>
          <w:color w:val="auto"/>
        </w:rPr>
      </w:pPr>
    </w:p>
    <w:p>
      <w:pPr>
        <w:jc w:val="both"/>
        <w:ind w:left="40" w:right="100"/>
        <w:spacing w:after="0" w:line="275" w:lineRule="auto"/>
        <w:rPr>
          <w:sz w:val="20"/>
          <w:szCs w:val="20"/>
          <w:color w:val="auto"/>
        </w:rPr>
      </w:pPr>
      <w:r>
        <w:rPr>
          <w:rFonts w:ascii="Arial" w:cs="Arial" w:eastAsia="Arial" w:hAnsi="Arial"/>
          <w:sz w:val="16"/>
          <w:szCs w:val="16"/>
          <w:color w:val="auto"/>
        </w:rPr>
        <w:t>Each of the nominees has consented to be named as a nominee and to serve as a director if elected. If any of them should become unavailable to serve as a director, the Board may designate a substitute nominee. In that case, the persons named as proxies will vote for the substitute nominee designated by the Board.</w:t>
      </w:r>
    </w:p>
    <w:p>
      <w:pPr>
        <w:spacing w:after="0" w:line="70" w:lineRule="exact"/>
        <w:rPr>
          <w:sz w:val="20"/>
          <w:szCs w:val="20"/>
          <w:color w:val="auto"/>
        </w:rPr>
      </w:pPr>
    </w:p>
    <w:p>
      <w:pPr>
        <w:ind w:left="40" w:right="60"/>
        <w:spacing w:after="0" w:line="286" w:lineRule="auto"/>
        <w:rPr>
          <w:sz w:val="20"/>
          <w:szCs w:val="20"/>
          <w:color w:val="auto"/>
        </w:rPr>
      </w:pPr>
      <w:r>
        <w:rPr>
          <w:rFonts w:ascii="Arial" w:cs="Arial" w:eastAsia="Arial" w:hAnsi="Arial"/>
          <w:sz w:val="16"/>
          <w:szCs w:val="16"/>
          <w:color w:val="auto"/>
        </w:rPr>
        <w:t xml:space="preserve">Information about the nominees, as well as the current Class I and Class III directors, is set forth below in the section titled “Report on the Board of Directors and its Committees” beginning on page </w:t>
      </w:r>
      <w:r>
        <w:rPr>
          <w:rFonts w:ascii="Arial" w:cs="Arial" w:eastAsia="Arial" w:hAnsi="Arial"/>
          <w:sz w:val="16"/>
          <w:szCs w:val="16"/>
          <w:u w:val="single" w:color="auto"/>
          <w:color w:val="0000FF"/>
        </w:rPr>
        <w:t>12</w:t>
      </w:r>
      <w:r>
        <w:rPr>
          <w:rFonts w:ascii="Arial" w:cs="Arial" w:eastAsia="Arial" w:hAnsi="Arial"/>
          <w:sz w:val="16"/>
          <w:szCs w:val="16"/>
          <w:color w:val="auto"/>
        </w:rPr>
        <w:t>.</w:t>
      </w:r>
    </w:p>
    <w:p>
      <w:pPr>
        <w:spacing w:after="0" w:line="317" w:lineRule="exact"/>
        <w:rPr>
          <w:sz w:val="20"/>
          <w:szCs w:val="20"/>
          <w:color w:val="auto"/>
        </w:rPr>
      </w:pPr>
    </w:p>
    <w:p>
      <w:pPr>
        <w:ind w:left="2620" w:right="2300" w:hanging="497"/>
        <w:spacing w:after="0" w:line="183" w:lineRule="auto"/>
        <w:tabs>
          <w:tab w:leader="none" w:pos="2630" w:val="left"/>
        </w:tabs>
        <w:numPr>
          <w:ilvl w:val="0"/>
          <w:numId w:val="35"/>
        </w:numPr>
        <w:rPr>
          <w:rFonts w:ascii="MS PGothic" w:cs="MS PGothic" w:eastAsia="MS PGothic" w:hAnsi="MS PGothic"/>
          <w:sz w:val="41"/>
          <w:szCs w:val="41"/>
          <w:color w:val="004E7D"/>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0"/>
          <w:szCs w:val="20"/>
          <w:b w:val="1"/>
          <w:bCs w:val="1"/>
          <w:color w:val="004E7D"/>
        </w:rPr>
        <w:t>FOR</w:t>
      </w:r>
      <w:r>
        <w:rPr>
          <w:rFonts w:ascii="Arial" w:cs="Arial" w:eastAsia="Arial" w:hAnsi="Arial"/>
          <w:sz w:val="16"/>
          <w:szCs w:val="16"/>
          <w:b w:val="1"/>
          <w:bCs w:val="1"/>
          <w:color w:val="auto"/>
        </w:rPr>
        <w:t xml:space="preserve"> each of the three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-294640</wp:posOffset>
            </wp:positionV>
            <wp:extent cx="462915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29150" cy="30861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ITEM 2 – RATIFICATION OF APPOINTMENT OF INDEPENDENT REGISTERED PUBLIC ACCOUNTING FIRM</w:t>
      </w:r>
    </w:p>
    <w:p>
      <w:pPr>
        <w:spacing w:after="0" w:line="112" w:lineRule="exact"/>
        <w:rPr>
          <w:sz w:val="20"/>
          <w:szCs w:val="20"/>
          <w:color w:val="auto"/>
        </w:rPr>
      </w:pPr>
    </w:p>
    <w:p>
      <w:pPr>
        <w:ind w:left="40" w:right="40"/>
        <w:spacing w:after="0" w:line="262" w:lineRule="auto"/>
        <w:rPr>
          <w:sz w:val="20"/>
          <w:szCs w:val="20"/>
          <w:color w:val="auto"/>
        </w:rPr>
      </w:pPr>
      <w:r>
        <w:rPr>
          <w:rFonts w:ascii="Arial" w:cs="Arial" w:eastAsia="Arial" w:hAnsi="Arial"/>
          <w:sz w:val="16"/>
          <w:szCs w:val="16"/>
          <w:color w:val="auto"/>
        </w:rPr>
        <w:t>The Audit Committee of the Board (the “Audit Committee”) has appointed Ernst &amp; Young as the Company’s independent registered public accounting firm for the Company’s 2023 fiscal year. Although the Audit Committee has discretionary authority to appoint the independent auditor, the Board is seeking stockholder ratification of the appointment as a matter of good corporate governance. The Board and the Audit Committee believe that the continued retention of Ernst &amp; Young as the Company’s independent auditor is in the best interests of the Company and its stockholders. If the appointment of Ernst &amp; Young is not ratified by stockholders, the Audit Committee will take that into consideration when determining whether to continue the firm’s engagement. Even if the appointment is ratified, the Audit Committee at its discretion may direct the appointment of a different independent registered public accounting firm at any time during the year if it determines that such a change would be in the best interests of the Company.</w:t>
      </w:r>
    </w:p>
    <w:p>
      <w:pPr>
        <w:spacing w:after="0" w:line="66"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color w:val="auto"/>
        </w:rPr>
        <w:t>Representatives of Ernst &amp; Young are expected to be present at the Annual Meeting online, will have an opportunity to make a statement if they so desire,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201930</wp:posOffset>
            </wp:positionV>
            <wp:extent cx="4629150" cy="480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29150" cy="48006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620" w:right="2560" w:hanging="497"/>
        <w:spacing w:after="0" w:line="185" w:lineRule="auto"/>
        <w:tabs>
          <w:tab w:leader="none" w:pos="2620" w:val="left"/>
        </w:tabs>
        <w:numPr>
          <w:ilvl w:val="0"/>
          <w:numId w:val="36"/>
        </w:numPr>
        <w:rPr>
          <w:rFonts w:ascii="MS PGothic" w:cs="MS PGothic" w:eastAsia="MS PGothic" w:hAnsi="MS PGothic"/>
          <w:sz w:val="29"/>
          <w:szCs w:val="29"/>
          <w:color w:val="004E7D"/>
        </w:rPr>
      </w:pPr>
      <w:r>
        <w:rPr>
          <w:rFonts w:ascii="Arial" w:cs="Arial" w:eastAsia="Arial" w:hAnsi="Arial"/>
          <w:sz w:val="13"/>
          <w:szCs w:val="13"/>
          <w:b w:val="1"/>
          <w:bCs w:val="1"/>
          <w:color w:val="auto"/>
        </w:rPr>
        <w:t xml:space="preserve">appointment of Ernst &amp; Young as the Company’s independent registered public </w:t>
      </w:r>
      <w:r>
        <w:rPr>
          <w:rFonts w:ascii="Arial" w:cs="Arial" w:eastAsia="Arial" w:hAnsi="Arial"/>
          <w:sz w:val="22"/>
          <w:szCs w:val="22"/>
          <w:b w:val="1"/>
          <w:bCs w:val="1"/>
          <w:color w:val="auto"/>
          <w:vertAlign w:val="subscript"/>
        </w:rPr>
        <w:t>accounting firm for its 2023 fiscal year.</w:t>
      </w:r>
      <w:r>
        <w:rPr>
          <w:rFonts w:ascii="Arial" w:cs="Arial" w:eastAsia="Arial" w:hAnsi="Arial"/>
          <w:sz w:val="13"/>
          <w:szCs w:val="13"/>
          <w:b w:val="1"/>
          <w:bCs w:val="1"/>
          <w:color w:val="auto"/>
        </w:rPr>
        <w:t xml:space="preserve">OurBoardofDirectorsrecommendsthat you vote </w:t>
      </w:r>
      <w:r>
        <w:rPr>
          <w:rFonts w:ascii="Arial" w:cs="Arial" w:eastAsia="Arial" w:hAnsi="Arial"/>
          <w:sz w:val="16"/>
          <w:szCs w:val="16"/>
          <w:b w:val="1"/>
          <w:bCs w:val="1"/>
          <w:color w:val="004E7D"/>
        </w:rPr>
        <w:t>FOR</w:t>
      </w:r>
      <w:r>
        <w:rPr>
          <w:rFonts w:ascii="Arial" w:cs="Arial" w:eastAsia="Arial" w:hAnsi="Arial"/>
          <w:sz w:val="13"/>
          <w:szCs w:val="13"/>
          <w:b w:val="1"/>
          <w:bCs w:val="1"/>
          <w:color w:val="auto"/>
        </w:rPr>
        <w:t xml:space="preserve"> ratification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8</w:t>
            </w:r>
          </w:p>
        </w:tc>
      </w:tr>
      <w:tr>
        <w:trPr>
          <w:trHeight w:val="196"/>
        </w:trPr>
        <w:tc>
          <w:tcPr>
            <w:tcW w:w="7240" w:type="dxa"/>
            <w:vAlign w:val="bottom"/>
            <w:tcBorders>
              <w:bottom w:val="single" w:sz="8" w:color="9A9A9A"/>
            </w:tcBorders>
          </w:tcPr>
          <w:p>
            <w:pPr>
              <w:spacing w:after="0"/>
              <w:rPr>
                <w:sz w:val="17"/>
                <w:szCs w:val="17"/>
                <w:color w:val="auto"/>
              </w:rPr>
            </w:pPr>
          </w:p>
        </w:tc>
        <w:tc>
          <w:tcPr>
            <w:tcW w:w="4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280" w:top="141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ITEM 3 – ADVISORY VOTE TO APPROVE NAMED EXECUTIVE OFFICER COMPENSATION</w:t>
      </w:r>
    </w:p>
    <w:p>
      <w:pPr>
        <w:spacing w:after="0" w:line="5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We are asking stockholders to approve an advisory resolution on the Company’s named executive officer compensation as reported in this Proxy Statement. As described below in “Compensation Discussion and Analysis” beginning on page </w:t>
      </w:r>
      <w:r>
        <w:rPr>
          <w:rFonts w:ascii="Arial" w:cs="Arial" w:eastAsia="Arial" w:hAnsi="Arial"/>
          <w:sz w:val="16"/>
          <w:szCs w:val="16"/>
          <w:u w:val="single" w:color="auto"/>
          <w:color w:val="0000FF"/>
        </w:rPr>
        <w:t>29</w:t>
      </w:r>
      <w:r>
        <w:rPr>
          <w:rFonts w:ascii="Arial" w:cs="Arial" w:eastAsia="Arial" w:hAnsi="Arial"/>
          <w:sz w:val="16"/>
          <w:szCs w:val="16"/>
          <w:color w:val="auto"/>
        </w:rPr>
        <w:t>, the Compensation Policy Committee (the “CPC”) has structured our executive compensation program to achieve the following key objectives:</w:t>
      </w:r>
    </w:p>
    <w:p>
      <w:pPr>
        <w:spacing w:after="0" w:line="56" w:lineRule="exact"/>
        <w:rPr>
          <w:sz w:val="20"/>
          <w:szCs w:val="20"/>
          <w:color w:val="auto"/>
        </w:rPr>
      </w:pPr>
    </w:p>
    <w:p>
      <w:pPr>
        <w:ind w:left="360" w:hanging="242"/>
        <w:spacing w:after="0"/>
        <w:tabs>
          <w:tab w:leader="none" w:pos="360" w:val="left"/>
        </w:tabs>
        <w:numPr>
          <w:ilvl w:val="0"/>
          <w:numId w:val="37"/>
        </w:numPr>
        <w:rPr>
          <w:rFonts w:ascii="Arial" w:cs="Arial" w:eastAsia="Arial" w:hAnsi="Arial"/>
          <w:sz w:val="16"/>
          <w:szCs w:val="16"/>
          <w:color w:val="004E7D"/>
        </w:rPr>
      </w:pPr>
      <w:r>
        <w:rPr>
          <w:rFonts w:ascii="Arial" w:cs="Arial" w:eastAsia="Arial" w:hAnsi="Arial"/>
          <w:sz w:val="16"/>
          <w:szCs w:val="16"/>
          <w:color w:val="auto"/>
        </w:rPr>
        <w:t xml:space="preserve">Executive officers should be paid in a manner that is primarily focused on </w:t>
      </w:r>
      <w:r>
        <w:rPr>
          <w:rFonts w:ascii="Arial" w:cs="Arial" w:eastAsia="Arial" w:hAnsi="Arial"/>
          <w:sz w:val="16"/>
          <w:szCs w:val="16"/>
          <w:b w:val="1"/>
          <w:bCs w:val="1"/>
          <w:color w:val="004E7D"/>
        </w:rPr>
        <w:t>driving stockholder value</w:t>
      </w:r>
      <w:r>
        <w:rPr>
          <w:rFonts w:ascii="Arial" w:cs="Arial" w:eastAsia="Arial" w:hAnsi="Arial"/>
          <w:sz w:val="16"/>
          <w:szCs w:val="16"/>
          <w:color w:val="auto"/>
        </w:rPr>
        <w:t>;</w:t>
      </w:r>
    </w:p>
    <w:p>
      <w:pPr>
        <w:spacing w:after="0" w:line="113" w:lineRule="exact"/>
        <w:rPr>
          <w:rFonts w:ascii="Arial" w:cs="Arial" w:eastAsia="Arial" w:hAnsi="Arial"/>
          <w:sz w:val="16"/>
          <w:szCs w:val="16"/>
          <w:color w:val="004E7D"/>
        </w:rPr>
      </w:pPr>
    </w:p>
    <w:p>
      <w:pPr>
        <w:ind w:left="220" w:right="460" w:hanging="102"/>
        <w:spacing w:after="0" w:line="304" w:lineRule="auto"/>
        <w:tabs>
          <w:tab w:leader="none" w:pos="347" w:val="left"/>
        </w:tabs>
        <w:numPr>
          <w:ilvl w:val="0"/>
          <w:numId w:val="37"/>
        </w:numPr>
        <w:rPr>
          <w:rFonts w:ascii="Arial" w:cs="Arial" w:eastAsia="Arial" w:hAnsi="Arial"/>
          <w:sz w:val="16"/>
          <w:szCs w:val="16"/>
          <w:color w:val="004E7D"/>
        </w:rPr>
      </w:pPr>
      <w:r>
        <w:rPr>
          <w:rFonts w:ascii="Arial" w:cs="Arial" w:eastAsia="Arial" w:hAnsi="Arial"/>
          <w:sz w:val="16"/>
          <w:szCs w:val="16"/>
          <w:color w:val="auto"/>
        </w:rPr>
        <w:t xml:space="preserve">Compensation should be designed to </w:t>
      </w:r>
      <w:r>
        <w:rPr>
          <w:rFonts w:ascii="Arial" w:cs="Arial" w:eastAsia="Arial" w:hAnsi="Arial"/>
          <w:sz w:val="16"/>
          <w:szCs w:val="16"/>
          <w:b w:val="1"/>
          <w:bCs w:val="1"/>
          <w:color w:val="004E7D"/>
        </w:rPr>
        <w:t>motivate executive officers</w:t>
      </w:r>
      <w:r>
        <w:rPr>
          <w:rFonts w:ascii="Arial" w:cs="Arial" w:eastAsia="Arial" w:hAnsi="Arial"/>
          <w:sz w:val="16"/>
          <w:szCs w:val="16"/>
          <w:color w:val="auto"/>
        </w:rPr>
        <w:t xml:space="preserve"> to perform their duties in ways that would help achieve shorter-term as well as longer-term objectives; and</w:t>
      </w:r>
    </w:p>
    <w:p>
      <w:pPr>
        <w:spacing w:after="0" w:line="33" w:lineRule="exact"/>
        <w:rPr>
          <w:rFonts w:ascii="Arial" w:cs="Arial" w:eastAsia="Arial" w:hAnsi="Arial"/>
          <w:sz w:val="16"/>
          <w:szCs w:val="16"/>
          <w:color w:val="004E7D"/>
        </w:rPr>
      </w:pPr>
    </w:p>
    <w:p>
      <w:pPr>
        <w:ind w:left="220" w:right="340" w:hanging="102"/>
        <w:spacing w:after="0" w:line="304" w:lineRule="auto"/>
        <w:tabs>
          <w:tab w:leader="none" w:pos="344" w:val="left"/>
        </w:tabs>
        <w:numPr>
          <w:ilvl w:val="0"/>
          <w:numId w:val="37"/>
        </w:numPr>
        <w:rPr>
          <w:rFonts w:ascii="Arial" w:cs="Arial" w:eastAsia="Arial" w:hAnsi="Arial"/>
          <w:sz w:val="16"/>
          <w:szCs w:val="16"/>
          <w:color w:val="004E7D"/>
        </w:rPr>
      </w:pPr>
      <w:r>
        <w:rPr>
          <w:rFonts w:ascii="Arial" w:cs="Arial" w:eastAsia="Arial" w:hAnsi="Arial"/>
          <w:sz w:val="16"/>
          <w:szCs w:val="16"/>
          <w:color w:val="auto"/>
        </w:rPr>
        <w:t xml:space="preserve">The compensation program must be competitive in order to </w:t>
      </w:r>
      <w:r>
        <w:rPr>
          <w:rFonts w:ascii="Arial" w:cs="Arial" w:eastAsia="Arial" w:hAnsi="Arial"/>
          <w:sz w:val="16"/>
          <w:szCs w:val="16"/>
          <w:b w:val="1"/>
          <w:bCs w:val="1"/>
          <w:color w:val="004E7D"/>
        </w:rPr>
        <w:t>attract key talent</w:t>
      </w:r>
      <w:r>
        <w:rPr>
          <w:rFonts w:ascii="Arial" w:cs="Arial" w:eastAsia="Arial" w:hAnsi="Arial"/>
          <w:sz w:val="16"/>
          <w:szCs w:val="16"/>
          <w:color w:val="auto"/>
        </w:rPr>
        <w:t xml:space="preserve"> from within and outside of our industry and </w:t>
      </w:r>
      <w:r>
        <w:rPr>
          <w:rFonts w:ascii="Arial" w:cs="Arial" w:eastAsia="Arial" w:hAnsi="Arial"/>
          <w:sz w:val="16"/>
          <w:szCs w:val="16"/>
          <w:b w:val="1"/>
          <w:bCs w:val="1"/>
          <w:color w:val="004E7D"/>
        </w:rPr>
        <w:t>retain key talent</w:t>
      </w:r>
      <w:r>
        <w:rPr>
          <w:rFonts w:ascii="Arial" w:cs="Arial" w:eastAsia="Arial" w:hAnsi="Arial"/>
          <w:sz w:val="16"/>
          <w:szCs w:val="16"/>
          <w:color w:val="auto"/>
        </w:rPr>
        <w:t xml:space="preserve"> at costs consistent with market practice.</w:t>
      </w:r>
    </w:p>
    <w:p>
      <w:pPr>
        <w:spacing w:after="0" w:line="3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urge stockholders to read the “Compensation Discussion and Analysis”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about the compensation of our named executive officers (“NEOs”). The CPC and the Board believe that the policies and procedures articulated in “Compensation Discussion and Analysis” below are effective in achieving our goals and that the compensation of our NEOs reported in this Proxy Statement reflects and supports these compensation policies and procedures.</w:t>
      </w:r>
    </w:p>
    <w:p>
      <w:pPr>
        <w:spacing w:after="0" w:line="8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Annual Meeting:</w:t>
      </w:r>
    </w:p>
    <w:p>
      <w:pPr>
        <w:spacing w:after="0" w:line="61" w:lineRule="exact"/>
        <w:rPr>
          <w:sz w:val="20"/>
          <w:szCs w:val="20"/>
          <w:color w:val="auto"/>
        </w:rPr>
      </w:pPr>
    </w:p>
    <w:p>
      <w:pPr>
        <w:jc w:val="both"/>
        <w:ind w:left="440" w:right="140"/>
        <w:spacing w:after="0" w:line="266" w:lineRule="auto"/>
        <w:rPr>
          <w:sz w:val="20"/>
          <w:szCs w:val="20"/>
          <w:color w:val="auto"/>
        </w:rPr>
      </w:pPr>
      <w:r>
        <w:rPr>
          <w:rFonts w:ascii="Arial" w:cs="Arial" w:eastAsia="Arial" w:hAnsi="Arial"/>
          <w:sz w:val="16"/>
          <w:szCs w:val="16"/>
          <w:color w:val="auto"/>
        </w:rPr>
        <w:t>RESOLVED, that the stockholders of Marriott Vacations Worldwide Corporation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2023 Annual Meeting of Stockholders.</w:t>
      </w:r>
    </w:p>
    <w:p>
      <w:pPr>
        <w:spacing w:after="0" w:line="7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This advisory resolution, commonly referred to as a “say-on-pay” resolution, is not binding on the Board. Although non-binding, the Board and the CPC will review and consider the voting results when making future decisions regarding our executive compensation program. The Board’s current policy is to hold an advisory vote on executive compensation on an annual basis, and therefore our next “say-on-pay” resolution will occur at the Company’s 2024 Annual Meeting of Stockholders.</w:t>
      </w:r>
    </w:p>
    <w:p>
      <w:pPr>
        <w:spacing w:after="0" w:line="334" w:lineRule="exact"/>
        <w:rPr>
          <w:sz w:val="20"/>
          <w:szCs w:val="20"/>
          <w:color w:val="auto"/>
        </w:rPr>
      </w:pPr>
    </w:p>
    <w:p>
      <w:pPr>
        <w:ind w:left="2580" w:right="2040" w:hanging="497"/>
        <w:spacing w:after="0" w:line="192" w:lineRule="auto"/>
        <w:tabs>
          <w:tab w:leader="none" w:pos="2625" w:val="left"/>
        </w:tabs>
        <w:numPr>
          <w:ilvl w:val="0"/>
          <w:numId w:val="38"/>
        </w:numPr>
        <w:rPr>
          <w:rFonts w:ascii="MS PGothic" w:cs="MS PGothic" w:eastAsia="MS PGothic" w:hAnsi="MS PGothic"/>
          <w:sz w:val="43"/>
          <w:szCs w:val="43"/>
          <w:color w:val="004E7D"/>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4E7D"/>
        </w:rPr>
        <w:t>FOR</w:t>
      </w:r>
      <w:r>
        <w:rPr>
          <w:rFonts w:ascii="Arial" w:cs="Arial" w:eastAsia="Arial" w:hAnsi="Arial"/>
          <w:sz w:val="16"/>
          <w:szCs w:val="16"/>
          <w:b w:val="1"/>
          <w:bCs w:val="1"/>
          <w:color w:val="auto"/>
        </w:rPr>
        <w:t xml:space="preserve"> the approval of the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-318770</wp:posOffset>
            </wp:positionV>
            <wp:extent cx="4629150"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291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0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9</w:t>
            </w:r>
          </w:p>
        </w:tc>
      </w:tr>
      <w:tr>
        <w:trPr>
          <w:trHeight w:val="210"/>
        </w:trPr>
        <w:tc>
          <w:tcPr>
            <w:tcW w:w="72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4" w:name="page15"/>
    <w:bookmarkEnd w:id="14"/>
    <w:p>
      <w:pPr>
        <w:ind w:right="140"/>
        <w:spacing w:after="0" w:line="264" w:lineRule="auto"/>
        <w:rPr>
          <w:sz w:val="20"/>
          <w:szCs w:val="20"/>
          <w:color w:val="auto"/>
        </w:rPr>
      </w:pPr>
      <w:r>
        <w:rPr>
          <w:rFonts w:ascii="Arial" w:cs="Arial" w:eastAsia="Arial" w:hAnsi="Arial"/>
          <w:sz w:val="22"/>
          <w:szCs w:val="22"/>
          <w:b w:val="1"/>
          <w:bCs w:val="1"/>
          <w:color w:val="auto"/>
        </w:rPr>
        <w:t>ITEM 4 – APPROVAL OF MANAGEMENT PROPOSAL TO AMEND THE COMPANY’S RESTATED CERTIFICATE OF INCORPORATION TO PROVIDE FOR THE PHASED-IN DECLASSIFICATION OF THE BOARD OF DIRECTORS</w:t>
      </w:r>
    </w:p>
    <w:p>
      <w:pPr>
        <w:spacing w:after="0" w:line="44"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auto"/>
        </w:rPr>
        <w:t>The Board has unanimously adopted, approved and declared advisable, and recommends that the Company’s stockholders approve and adopt, an amendment to our Restated Certificate of Incorporation that would phase in the declassification of the Board and provide for the annual election of all directors, as described below and as set forth in the form of amendment attached to this proxy statement as Appendix A (the “Amendment”).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5285"/>
        </w:rPr>
        <w:t>Background of the Proposal</w:t>
      </w:r>
    </w:p>
    <w:p>
      <w:pPr>
        <w:spacing w:after="0" w:line="12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Restated Certificate of Incorporation currently provides that the Board is divided into three classes, with directors in each class elected to serve staggered, three-year terms. As a result, at each annual meeting, approximately one-third of our directors are elected for three-year terms. This classified board structure has been in place since the Company’s spin-off from Marriott International, Inc. in 2011 (the “Spin-Off”).</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Board regularly reviews our governance structure, including the continued appropriateness of our classified board structure. In connection with this review, the Board considered the advantages of maintaining the classified board structure as well as the advantages of declassifying the Board. The advantages of the classified board structure include that a classified board may help assure continuity of the Company’s business strategies and reinforce a commitment to long-term stockholder value. Although these are important benefits, the Board understands that many stockholders and members of the investment community believe annual elections for all directors increase accountability of directors to a company’s stockholders, and generally support shifting from classified boards to the annual election of directors. The Board believes the Amendment better aligns our governance with governance practices supported by the investment community. In addition, because our Board is classified, currently directors can be removed only for cause, whereas, under Delaware law, directors elected to a board that is not classified can be removed with or without cause.</w:t>
      </w:r>
    </w:p>
    <w:p>
      <w:pPr>
        <w:spacing w:after="0" w:line="7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Nominating and Corporate Governance Committee and the Board evaluated the Amendment in light of the considerations described above. Based on these considerations and the recommendation of the Nominating and Corporate Governance Committee, the Board adopted resolutions setting forth the Amendment, declared the Amendment advisable and in the best interests of the Company and its stockholders, and unanimously resolved to submit the Amendment to the Company’s stockholders for approval.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5285"/>
        </w:rPr>
        <w:t>Description of the Amendment to the Company’s Restated Certificate of Incorporation</w:t>
      </w:r>
    </w:p>
    <w:p>
      <w:pPr>
        <w:spacing w:after="0" w:line="113"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Article V, Section 5.2 of the Restated Certificate of Incorporation currently provides that our Board is divided into three classes of approximately equal size, composed of directors each serving terms of office of three years. The Amendment would amend Section 5.2 to provide for the annual election of directors.</w:t>
      </w:r>
    </w:p>
    <w:p>
      <w:pPr>
        <w:spacing w:after="0" w:line="6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If the Declassification Proposal is approved by our stockholders and the Amendment becomes effective, it would provide for the annual election of directors beginning at the 2024 Annual Meeting of Stockholders, and the declassification of our Board would be phased in over a period of three years. The Amendment would not shorten the existing terms of our directors. Accordingly, a director who has been elected to a three-year term (including directors elected at the 2023 Annual Meeting of Stockholders) may complete that term. The declassification of the Board will be phased-in as follows:</w:t>
      </w:r>
    </w:p>
    <w:p>
      <w:pPr>
        <w:spacing w:after="0" w:line="65" w:lineRule="exact"/>
        <w:rPr>
          <w:sz w:val="20"/>
          <w:szCs w:val="20"/>
          <w:color w:val="auto"/>
        </w:rPr>
      </w:pPr>
    </w:p>
    <w:p>
      <w:pPr>
        <w:ind w:left="340" w:right="420" w:hanging="170"/>
        <w:spacing w:after="0" w:line="304" w:lineRule="auto"/>
        <w:tabs>
          <w:tab w:leader="none" w:pos="3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Class I directors who were elected for a three-year term at our 2022 Annual Meeting of Stockholders will continue to serve the remainder of the three-year term for which they were elected, which term expires at the 2025 Annual Meeting;</w:t>
      </w:r>
    </w:p>
    <w:p>
      <w:pPr>
        <w:spacing w:after="0" w:line="33" w:lineRule="exact"/>
        <w:rPr>
          <w:rFonts w:ascii="Arial" w:cs="Arial" w:eastAsia="Arial" w:hAnsi="Arial"/>
          <w:sz w:val="16"/>
          <w:szCs w:val="16"/>
          <w:color w:val="auto"/>
        </w:rPr>
      </w:pPr>
    </w:p>
    <w:p>
      <w:pPr>
        <w:ind w:left="340" w:right="220" w:hanging="170"/>
        <w:spacing w:after="0" w:line="304" w:lineRule="auto"/>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Class II directors who are elected at the 2023 Annual Meeting of Stockholders under Proposal 1 of this Proxy Statement will be elected for a three-year term which expires at the 2026 Annual Meeting; and</w:t>
      </w:r>
    </w:p>
    <w:p>
      <w:pPr>
        <w:spacing w:after="0" w:line="33" w:lineRule="exact"/>
        <w:rPr>
          <w:rFonts w:ascii="Arial" w:cs="Arial" w:eastAsia="Arial" w:hAnsi="Arial"/>
          <w:sz w:val="16"/>
          <w:szCs w:val="16"/>
          <w:color w:val="auto"/>
        </w:rPr>
      </w:pPr>
    </w:p>
    <w:p>
      <w:pPr>
        <w:ind w:left="340" w:right="340" w:hanging="170"/>
        <w:spacing w:after="0" w:line="286" w:lineRule="auto"/>
        <w:tabs>
          <w:tab w:leader="none" w:pos="3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Class III directors who were elected for a three-year term at our 2021 Annual Meeting of Stockholders will continue to serve the remainder of the three-year term for which they were elected, which term expires at the 2024 Annual Meeting.</w:t>
      </w:r>
    </w:p>
    <w:p>
      <w:pPr>
        <w:spacing w:after="0" w:line="6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Commencing with the 2026 Annual Meeting of Stockholders, the declassification of our Board would be complete and all directors will be elected for a one-year term expiring at the next annual meeting of stockholders.</w:t>
      </w:r>
    </w:p>
    <w:p>
      <w:pPr>
        <w:spacing w:after="0" w:line="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Following the effectiveness of the Amendment, any director elected to fill a vacancy caused by an increase in the number of directors or the death, resignation, retirement, disqualification or removal of a director who was elected for a three-year term (such a director, a “Continuing Classified Director”) will hold office until the annual meeting of stockholders at which the term of the Continuing Classified Director would have expired. Once our Board is fully declassified, directors elected to fill vacancies and newly created seats on the Board will serve for a term expiring at the next annual meeting of stockholders. In all cases, each director will hold office until his or her successor has been duly elected and qualified or until such director’s death, resignation, retirement, disqualification or removal from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10</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5" w:name="page16"/>
    <w:bookmarkEnd w:id="15"/>
    <w:p>
      <w:pPr>
        <w:spacing w:after="0" w:line="258" w:lineRule="auto"/>
        <w:rPr>
          <w:sz w:val="20"/>
          <w:szCs w:val="20"/>
          <w:color w:val="auto"/>
        </w:rPr>
      </w:pPr>
      <w:r>
        <w:rPr>
          <w:rFonts w:ascii="Arial" w:cs="Arial" w:eastAsia="Arial" w:hAnsi="Arial"/>
          <w:sz w:val="16"/>
          <w:szCs w:val="16"/>
          <w:color w:val="auto"/>
        </w:rPr>
        <w:t>Currently under our Restated Certificate of Incorporation, our directors are removable only for cause and only by the affirmative vote of the holders of at least 66 2/3% in voting power of all the then-outstanding shares of the Company’s stock entitled to vote thereon, voting together as a single class. If the Declassification Proposal is approved by the requisite vote of the stockholders, upon the effectiveness of the Amendment, our Restated Certificate of Incorporation will provide that any or all directors who are elected for a term expiring at the next annual meeting of stockholders may be removed with or without cause. Removal for directors serving a one-year term will be governed by the default standard under the Delaware General Corporation Law, which requires approval by a majority of the shares entitled to vote thereon. Our Restated Certificate of Incorporation will provide, however, that notwithstanding the foregoing, any Continuing Classified Director (and any director appointed to fill a vacancy caused by the death, resignation, retirement, disqualification or removal of any Continuing Classified Director) may be removed only for cause and only by the affirmative vote of the holders of at least 66 2/3% in voting power of all the then-outstanding shares of stock of the Company entitled to vote thereon, voting together as a single class.</w:t>
      </w:r>
    </w:p>
    <w:p>
      <w:pPr>
        <w:spacing w:after="0" w:line="69"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Appendix A to this Proxy Statement shows the proposed changes to Article V of the Restated Certificate of Incorporation. The above description of this Proposal is qualified in its entirety by the actual text of the proposed amendments, as set forth in Appendix A.</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5285"/>
        </w:rPr>
        <w:t>Effective Date and Vote Required</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If this proposal is approved by the requisite vote of the stockholders at the Annual Meeting, the Amendment will become effective upon the filing of a Certificate of Amendment setting forth the Amendment with the Secretary of State of the State of Delaware, which filing is expected to take place as soon as practicable after stockholder approval. In addition, we intend to file a Second Restated Certificate of Incorporation to integrate the Amendment into our Restated Certificate of Amendment. However, even if our stockholders approve the Amendment, our Board retains discretion under Delaware law not to implement the Amendment. If our Board were to exercise such discretion, we will publicly disclose that fact, and our Board would remain classified.</w:t>
      </w:r>
    </w:p>
    <w:p>
      <w:pPr>
        <w:spacing w:after="0" w:line="6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 required by Delaware law, if this proposal is not approved by the requisite vote of the stockholders at the Annual Meeting, the Amendment will not become effective and the Board will remain divided into three classes, with directors in each class serving staggered three-year terms and the term of office of directors of one class expiring at each annual meeting.</w:t>
      </w:r>
    </w:p>
    <w:p>
      <w:pPr>
        <w:spacing w:after="0" w:line="56"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Approval of the Declassification Proposal requires the affirmative vote of the holders of at least 66 2/3% in voting power of the outstanding shares of the Company’s stock entitled to vote on the proposal, voting as a single class.</w:t>
      </w:r>
    </w:p>
    <w:p>
      <w:pPr>
        <w:spacing w:after="0" w:line="392" w:lineRule="exact"/>
        <w:rPr>
          <w:sz w:val="20"/>
          <w:szCs w:val="20"/>
          <w:color w:val="auto"/>
        </w:rPr>
      </w:pPr>
    </w:p>
    <w:p>
      <w:pPr>
        <w:ind w:left="2580" w:right="2120" w:hanging="497"/>
        <w:spacing w:after="0" w:line="180" w:lineRule="auto"/>
        <w:tabs>
          <w:tab w:leader="none" w:pos="2580" w:val="left"/>
        </w:tabs>
        <w:numPr>
          <w:ilvl w:val="0"/>
          <w:numId w:val="40"/>
        </w:numPr>
        <w:rPr>
          <w:rFonts w:ascii="MS PGothic" w:cs="MS PGothic" w:eastAsia="MS PGothic" w:hAnsi="MS PGothic"/>
          <w:sz w:val="56"/>
          <w:szCs w:val="56"/>
          <w:color w:val="004E7D"/>
          <w:vertAlign w:val="subscript"/>
        </w:rPr>
      </w:pPr>
      <w:r>
        <w:rPr>
          <w:rFonts w:ascii="Arial" w:cs="Arial" w:eastAsia="Arial" w:hAnsi="Arial"/>
          <w:sz w:val="15"/>
          <w:szCs w:val="15"/>
          <w:b w:val="1"/>
          <w:bCs w:val="1"/>
          <w:color w:val="auto"/>
        </w:rPr>
        <w:t xml:space="preserve">Our Board of Directors recommends that you vote </w:t>
      </w:r>
      <w:r>
        <w:rPr>
          <w:rFonts w:ascii="Arial" w:cs="Arial" w:eastAsia="Arial" w:hAnsi="Arial"/>
          <w:sz w:val="18"/>
          <w:szCs w:val="18"/>
          <w:b w:val="1"/>
          <w:bCs w:val="1"/>
          <w:color w:val="004E7D"/>
        </w:rPr>
        <w:t>FOR</w:t>
      </w:r>
      <w:r>
        <w:rPr>
          <w:rFonts w:ascii="Arial" w:cs="Arial" w:eastAsia="Arial" w:hAnsi="Arial"/>
          <w:sz w:val="15"/>
          <w:szCs w:val="15"/>
          <w:b w:val="1"/>
          <w:bCs w:val="1"/>
          <w:color w:val="auto"/>
        </w:rPr>
        <w:t xml:space="preserve"> the proposal to approve the Amendment to the Restated Certificate of Incorporation to phase in the declassification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-463550</wp:posOffset>
            </wp:positionV>
            <wp:extent cx="4629150"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29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2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2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11</w:t>
            </w:r>
          </w:p>
        </w:tc>
      </w:tr>
      <w:tr>
        <w:trPr>
          <w:trHeight w:val="210"/>
        </w:trPr>
        <w:tc>
          <w:tcPr>
            <w:tcW w:w="7220" w:type="dxa"/>
            <w:vAlign w:val="bottom"/>
            <w:tcBorders>
              <w:bottom w:val="single" w:sz="8" w:color="9A9A9A"/>
            </w:tcBorders>
          </w:tcPr>
          <w:p>
            <w:pPr>
              <w:spacing w:after="0"/>
              <w:rPr>
                <w:sz w:val="18"/>
                <w:szCs w:val="18"/>
                <w:color w:val="auto"/>
              </w:rPr>
            </w:pPr>
          </w:p>
        </w:tc>
        <w:tc>
          <w:tcPr>
            <w:tcW w:w="4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ind w:left="280" w:right="160"/>
        <w:spacing w:after="0" w:line="257" w:lineRule="auto"/>
        <w:rPr>
          <w:sz w:val="20"/>
          <w:szCs w:val="20"/>
          <w:color w:val="auto"/>
        </w:rPr>
      </w:pPr>
      <w:r>
        <w:rPr>
          <w:rFonts w:ascii="Arial" w:cs="Arial" w:eastAsia="Arial" w:hAnsi="Arial"/>
          <w:sz w:val="54"/>
          <w:szCs w:val="54"/>
          <w:b w:val="1"/>
          <w:bCs w:val="1"/>
          <w:color w:val="auto"/>
        </w:rPr>
        <w:t>REPORT ON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-806450</wp:posOffset>
            </wp:positionV>
            <wp:extent cx="68580" cy="780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7804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BOARD OF DIRECTORS</w:t>
      </w:r>
    </w:p>
    <w:p>
      <w:pPr>
        <w:spacing w:after="0" w:line="11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Board currently consists of ten members. Approximately one-third of the directors are elected annually to serve for three-year periods or until the director’s successor is duly elected and qualified, or his or her earlier death, resignation or removal. For information regarding the Declassification Proposal, which, if successful, would authorize us to amend our Restated Certificate of Incorporation to phase out our classified board structure, please see “ITEM 4 — Approval of management proposal to amend the Company’s Restated Certificate of Incorporation to provide for the phased-in declassification of the Board of Directors.”</w:t>
      </w:r>
    </w:p>
    <w:p>
      <w:pPr>
        <w:spacing w:after="0" w:line="26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All of our director nominees currently serve as directors on our Board.The tables below set forth information regarding the members of our Board continuing in office or nominated for re-election. Our Board has determined that all members of our Board are “independent directors” meeting the applicable requirements of the Listing Rules of the New York Stock Exchange (the “NYSE”) other than John E. Geller, Jr., our President and Chief Executive Officer.</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Director</w:t>
      </w:r>
    </w:p>
    <w:p>
      <w:pPr>
        <w:spacing w:after="0" w:line="117"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Board has nominated three directors to be elected at the Annual Meeting to serve for a three-year term ending with the 2026 Annual Meeting of Stockholders, or until the director’s successor is duly elected and qualified, or the director’s earlier death, resignation or removal.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C.E. ANDREWS</w:t>
            </w:r>
          </w:p>
        </w:tc>
        <w:tc>
          <w:tcPr>
            <w:tcW w:w="7560" w:type="dxa"/>
            <w:vAlign w:val="bottom"/>
            <w:tcBorders>
              <w:top w:val="single" w:sz="8" w:color="004987"/>
            </w:tcBorders>
          </w:tcPr>
          <w:p>
            <w:pPr>
              <w:spacing w:after="0"/>
              <w:rPr>
                <w:sz w:val="20"/>
                <w:szCs w:val="20"/>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6"/>
                <w:szCs w:val="16"/>
                <w:color w:val="auto"/>
              </w:rPr>
              <w:t>Age: 71</w:t>
            </w:r>
          </w:p>
        </w:tc>
        <w:tc>
          <w:tcPr>
            <w:tcW w:w="7560" w:type="dxa"/>
            <w:vAlign w:val="bottom"/>
          </w:tcPr>
          <w:p>
            <w:pPr>
              <w:ind w:left="2200"/>
              <w:spacing w:after="0"/>
              <w:rPr>
                <w:sz w:val="20"/>
                <w:szCs w:val="20"/>
                <w:color w:val="auto"/>
              </w:rPr>
            </w:pPr>
            <w:r>
              <w:rPr>
                <w:rFonts w:ascii="Arial" w:cs="Arial" w:eastAsia="Arial" w:hAnsi="Arial"/>
                <w:sz w:val="16"/>
                <w:szCs w:val="16"/>
                <w:color w:val="auto"/>
              </w:rPr>
              <w:t>Committees:</w:t>
            </w: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2013</w:t>
            </w:r>
          </w:p>
        </w:tc>
        <w:tc>
          <w:tcPr>
            <w:tcW w:w="7560" w:type="dxa"/>
            <w:vAlign w:val="bottom"/>
          </w:tcPr>
          <w:p>
            <w:pPr>
              <w:ind w:left="2200"/>
              <w:spacing w:after="0" w:line="162"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Audit (Chair)</w:t>
            </w:r>
          </w:p>
        </w:tc>
      </w:tr>
      <w:tr>
        <w:trPr>
          <w:trHeight w:val="228"/>
        </w:trPr>
        <w:tc>
          <w:tcPr>
            <w:tcW w:w="368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560" w:type="dxa"/>
            <w:vAlign w:val="bottom"/>
          </w:tcPr>
          <w:p>
            <w:pPr>
              <w:ind w:left="220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Nominating and Corporate Governance</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Mr. Andrews was a member of the Board of Directors of, and an advisor to, MorganFranklin Consulting, a business consulting and technology solutions company, from April 2017 through June 2019 when he retired. From May 2013 to March 2017, he served as its Chief Executive Officer. Mr. Andrews was the president of RSM McGladrey Business Services, Inc., an audit and accounting services provider, from June 2009 until February 2012. Prior to that,</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Mr. Andrews served as the president of SLM Corporation (Sallie Mae), which originates, services and collects student loans. He joined Sallie Mae in 2003 as the Executive Vice President of Accounting and Risk Management and held the title of Chief Financial Officer from 2006 to 2007. Prior to joining Sallie Mae, Mr. Andrews spent approximately 30 years at Arthur Andersen, LLP, an accounting firm. Mr. Andrews serves on the Boards of Directors of Washington Mutual Investors Fund, a publicly traded mutual fund, and NVR, Inc., a publicly traded homebuilder. In addition, he serves on the Board of Directors of Vemo Education, Inc., a privately-held company that develops customized, value-oriented student financing programs, and the Advisory Board of Coastal Cloud LLC, a privately-held consulting firm that focuses on migration to next-generation technologies. In the past five years, Mr. Andrews served on the Board of Directors of WashingtonFirst Bankshares, Inc. from 2012 until it was acquired in 2018.</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6"/>
          <w:szCs w:val="16"/>
          <w:color w:val="auto"/>
        </w:rPr>
        <w:t>Mr. Andrews brings to the Board, and particularly to the Audit Committee, the extensive financial and accounting expertise that he obtained over his thirty-year career in public accounting, as well as through his role as Chief Financial Officer of Sallie Mae. Mr. Andrews also has experience as a board member and an officer of publicly traded companies.</w:t>
      </w:r>
    </w:p>
    <w:p>
      <w:pPr>
        <w:spacing w:after="0" w:line="105"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1820" w:type="dxa"/>
            <w:vAlign w:val="bottom"/>
          </w:tcPr>
          <w:p>
            <w:pPr>
              <w:spacing w:after="0"/>
              <w:rPr>
                <w:sz w:val="20"/>
                <w:szCs w:val="20"/>
                <w:color w:val="auto"/>
              </w:rPr>
            </w:pPr>
            <w:r>
              <w:rPr>
                <w:rFonts w:ascii="Arial" w:cs="Arial" w:eastAsia="Arial" w:hAnsi="Arial"/>
                <w:sz w:val="13"/>
                <w:szCs w:val="13"/>
                <w:color w:val="004E7D"/>
              </w:rPr>
              <w:t>Corporate</w:t>
            </w:r>
          </w:p>
        </w:tc>
        <w:tc>
          <w:tcPr>
            <w:tcW w:w="2300" w:type="dxa"/>
            <w:vAlign w:val="bottom"/>
            <w:vMerge w:val="restart"/>
          </w:tcPr>
          <w:p>
            <w:pPr>
              <w:ind w:left="520"/>
              <w:spacing w:after="0"/>
              <w:rPr>
                <w:sz w:val="20"/>
                <w:szCs w:val="20"/>
                <w:color w:val="auto"/>
              </w:rPr>
            </w:pPr>
            <w:r>
              <w:rPr>
                <w:rFonts w:ascii="Arial" w:cs="Arial" w:eastAsia="Arial" w:hAnsi="Arial"/>
                <w:sz w:val="13"/>
                <w:szCs w:val="13"/>
                <w:color w:val="004E7D"/>
              </w:rPr>
              <w:t>Independence</w:t>
            </w:r>
          </w:p>
        </w:tc>
        <w:tc>
          <w:tcPr>
            <w:tcW w:w="1640" w:type="dxa"/>
            <w:vAlign w:val="bottom"/>
          </w:tcPr>
          <w:p>
            <w:pPr>
              <w:ind w:left="200"/>
              <w:spacing w:after="0"/>
              <w:rPr>
                <w:sz w:val="20"/>
                <w:szCs w:val="20"/>
                <w:color w:val="auto"/>
              </w:rPr>
            </w:pPr>
            <w:r>
              <w:rPr>
                <w:rFonts w:ascii="Arial" w:cs="Arial" w:eastAsia="Arial" w:hAnsi="Arial"/>
                <w:sz w:val="13"/>
                <w:szCs w:val="13"/>
                <w:color w:val="004E7D"/>
              </w:rPr>
              <w:t>Financial &amp;</w:t>
            </w:r>
          </w:p>
        </w:tc>
        <w:tc>
          <w:tcPr>
            <w:tcW w:w="2460" w:type="dxa"/>
            <w:vAlign w:val="bottom"/>
          </w:tcPr>
          <w:p>
            <w:pPr>
              <w:ind w:left="420"/>
              <w:spacing w:after="0"/>
              <w:rPr>
                <w:sz w:val="20"/>
                <w:szCs w:val="20"/>
                <w:color w:val="auto"/>
              </w:rPr>
            </w:pPr>
            <w:r>
              <w:rPr>
                <w:rFonts w:ascii="Arial" w:cs="Arial" w:eastAsia="Arial" w:hAnsi="Arial"/>
                <w:sz w:val="13"/>
                <w:szCs w:val="13"/>
                <w:color w:val="004E7D"/>
              </w:rPr>
              <w:t>Accounting &amp;</w:t>
            </w:r>
          </w:p>
        </w:tc>
        <w:tc>
          <w:tcPr>
            <w:tcW w:w="1900" w:type="dxa"/>
            <w:vAlign w:val="bottom"/>
          </w:tcPr>
          <w:p>
            <w:pPr>
              <w:ind w:left="540"/>
              <w:spacing w:after="0"/>
              <w:rPr>
                <w:sz w:val="20"/>
                <w:szCs w:val="20"/>
                <w:color w:val="auto"/>
              </w:rPr>
            </w:pPr>
            <w:r>
              <w:rPr>
                <w:rFonts w:ascii="Arial" w:cs="Arial" w:eastAsia="Arial" w:hAnsi="Arial"/>
                <w:sz w:val="13"/>
                <w:szCs w:val="13"/>
                <w:color w:val="004E7D"/>
                <w:w w:val="95"/>
              </w:rPr>
              <w:t>Business Development /</w:t>
            </w:r>
          </w:p>
        </w:tc>
        <w:tc>
          <w:tcPr>
            <w:tcW w:w="0" w:type="dxa"/>
            <w:vAlign w:val="bottom"/>
          </w:tcPr>
          <w:p>
            <w:pPr>
              <w:spacing w:after="0"/>
              <w:rPr>
                <w:sz w:val="1"/>
                <w:szCs w:val="1"/>
                <w:color w:val="auto"/>
              </w:rPr>
            </w:pPr>
          </w:p>
        </w:tc>
      </w:tr>
      <w:tr>
        <w:trPr>
          <w:trHeight w:val="108"/>
        </w:trPr>
        <w:tc>
          <w:tcPr>
            <w:tcW w:w="1820" w:type="dxa"/>
            <w:vAlign w:val="bottom"/>
            <w:vMerge w:val="restart"/>
          </w:tcPr>
          <w:p>
            <w:pPr>
              <w:spacing w:after="0"/>
              <w:rPr>
                <w:sz w:val="20"/>
                <w:szCs w:val="20"/>
                <w:color w:val="auto"/>
              </w:rPr>
            </w:pPr>
            <w:r>
              <w:rPr>
                <w:rFonts w:ascii="Arial" w:cs="Arial" w:eastAsia="Arial" w:hAnsi="Arial"/>
                <w:sz w:val="13"/>
                <w:szCs w:val="13"/>
                <w:color w:val="004E7D"/>
              </w:rPr>
              <w:t>Leadership</w:t>
            </w:r>
          </w:p>
        </w:tc>
        <w:tc>
          <w:tcPr>
            <w:tcW w:w="2300" w:type="dxa"/>
            <w:vAlign w:val="bottom"/>
            <w:vMerge w:val="continue"/>
          </w:tcPr>
          <w:p>
            <w:pPr>
              <w:spacing w:after="0"/>
              <w:rPr>
                <w:sz w:val="9"/>
                <w:szCs w:val="9"/>
                <w:color w:val="auto"/>
              </w:rPr>
            </w:pPr>
          </w:p>
        </w:tc>
        <w:tc>
          <w:tcPr>
            <w:tcW w:w="1640" w:type="dxa"/>
            <w:vAlign w:val="bottom"/>
            <w:vMerge w:val="restart"/>
          </w:tcPr>
          <w:p>
            <w:pPr>
              <w:ind w:left="200"/>
              <w:spacing w:after="0"/>
              <w:rPr>
                <w:sz w:val="20"/>
                <w:szCs w:val="20"/>
                <w:color w:val="auto"/>
              </w:rPr>
            </w:pPr>
            <w:r>
              <w:rPr>
                <w:rFonts w:ascii="Arial" w:cs="Arial" w:eastAsia="Arial" w:hAnsi="Arial"/>
                <w:sz w:val="13"/>
                <w:szCs w:val="13"/>
                <w:color w:val="004E7D"/>
              </w:rPr>
              <w:t>Capital Markets</w:t>
            </w:r>
          </w:p>
        </w:tc>
        <w:tc>
          <w:tcPr>
            <w:tcW w:w="2460" w:type="dxa"/>
            <w:vAlign w:val="bottom"/>
            <w:vMerge w:val="restart"/>
          </w:tcPr>
          <w:p>
            <w:pPr>
              <w:ind w:left="420"/>
              <w:spacing w:after="0"/>
              <w:rPr>
                <w:sz w:val="20"/>
                <w:szCs w:val="20"/>
                <w:color w:val="auto"/>
              </w:rPr>
            </w:pPr>
            <w:r>
              <w:rPr>
                <w:rFonts w:ascii="Arial" w:cs="Arial" w:eastAsia="Arial" w:hAnsi="Arial"/>
                <w:sz w:val="13"/>
                <w:szCs w:val="13"/>
                <w:color w:val="004E7D"/>
              </w:rPr>
              <w:t>Financial Reporting</w:t>
            </w:r>
          </w:p>
        </w:tc>
        <w:tc>
          <w:tcPr>
            <w:tcW w:w="1900" w:type="dxa"/>
            <w:vAlign w:val="bottom"/>
            <w:vMerge w:val="restart"/>
          </w:tcPr>
          <w:p>
            <w:pPr>
              <w:ind w:left="540"/>
              <w:spacing w:after="0"/>
              <w:rPr>
                <w:sz w:val="20"/>
                <w:szCs w:val="20"/>
                <w:color w:val="auto"/>
              </w:rPr>
            </w:pPr>
            <w:r>
              <w:rPr>
                <w:rFonts w:ascii="Arial" w:cs="Arial" w:eastAsia="Arial" w:hAnsi="Arial"/>
                <w:sz w:val="13"/>
                <w:szCs w:val="13"/>
                <w:color w:val="004E7D"/>
              </w:rPr>
              <w:t>Mergers &amp; Acquisitions</w:t>
            </w:r>
          </w:p>
        </w:tc>
        <w:tc>
          <w:tcPr>
            <w:tcW w:w="0" w:type="dxa"/>
            <w:vAlign w:val="bottom"/>
          </w:tcPr>
          <w:p>
            <w:pPr>
              <w:spacing w:after="0"/>
              <w:rPr>
                <w:sz w:val="1"/>
                <w:szCs w:val="1"/>
                <w:color w:val="auto"/>
              </w:rPr>
            </w:pPr>
          </w:p>
        </w:tc>
      </w:tr>
      <w:tr>
        <w:trPr>
          <w:trHeight w:val="68"/>
        </w:trPr>
        <w:tc>
          <w:tcPr>
            <w:tcW w:w="182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3"/>
                <w:szCs w:val="13"/>
                <w:color w:val="004E7D"/>
              </w:rPr>
              <w:t>Public Company Board</w:t>
            </w:r>
          </w:p>
        </w:tc>
        <w:tc>
          <w:tcPr>
            <w:tcW w:w="2300" w:type="dxa"/>
            <w:vAlign w:val="bottom"/>
            <w:vMerge w:val="restart"/>
          </w:tcPr>
          <w:p>
            <w:pPr>
              <w:ind w:left="520"/>
              <w:spacing w:after="0"/>
              <w:rPr>
                <w:sz w:val="20"/>
                <w:szCs w:val="20"/>
                <w:color w:val="auto"/>
              </w:rPr>
            </w:pPr>
            <w:r>
              <w:rPr>
                <w:rFonts w:ascii="Arial" w:cs="Arial" w:eastAsia="Arial" w:hAnsi="Arial"/>
                <w:sz w:val="13"/>
                <w:szCs w:val="13"/>
                <w:color w:val="004E7D"/>
              </w:rPr>
              <w:t>Risk Management</w:t>
            </w:r>
          </w:p>
        </w:tc>
        <w:tc>
          <w:tcPr>
            <w:tcW w:w="1640" w:type="dxa"/>
            <w:vAlign w:val="bottom"/>
            <w:vMerge w:val="restart"/>
          </w:tcPr>
          <w:p>
            <w:pPr>
              <w:ind w:left="200"/>
              <w:spacing w:after="0"/>
              <w:rPr>
                <w:sz w:val="20"/>
                <w:szCs w:val="20"/>
                <w:color w:val="auto"/>
              </w:rPr>
            </w:pPr>
            <w:r>
              <w:rPr>
                <w:rFonts w:ascii="Arial" w:cs="Arial" w:eastAsia="Arial" w:hAnsi="Arial"/>
                <w:sz w:val="13"/>
                <w:szCs w:val="13"/>
                <w:color w:val="004E7D"/>
              </w:rPr>
              <w:t>Strategic Planning</w:t>
            </w:r>
          </w:p>
        </w:tc>
        <w:tc>
          <w:tcPr>
            <w:tcW w:w="2460" w:type="dxa"/>
            <w:vAlign w:val="bottom"/>
            <w:vMerge w:val="restart"/>
          </w:tcPr>
          <w:p>
            <w:pPr>
              <w:ind w:left="420"/>
              <w:spacing w:after="0"/>
              <w:rPr>
                <w:sz w:val="20"/>
                <w:szCs w:val="20"/>
                <w:color w:val="auto"/>
              </w:rPr>
            </w:pPr>
            <w:r>
              <w:rPr>
                <w:rFonts w:ascii="Arial" w:cs="Arial" w:eastAsia="Arial" w:hAnsi="Arial"/>
                <w:sz w:val="13"/>
                <w:szCs w:val="13"/>
                <w:color w:val="004E7D"/>
              </w:rPr>
              <w:t>Global Expertise</w:t>
            </w:r>
          </w:p>
        </w:tc>
        <w:tc>
          <w:tcPr>
            <w:tcW w:w="1900" w:type="dxa"/>
            <w:vAlign w:val="bottom"/>
          </w:tcPr>
          <w:p>
            <w:pPr>
              <w:ind w:left="540"/>
              <w:spacing w:after="0"/>
              <w:rPr>
                <w:sz w:val="20"/>
                <w:szCs w:val="20"/>
                <w:color w:val="auto"/>
              </w:rPr>
            </w:pPr>
            <w:r>
              <w:rPr>
                <w:rFonts w:ascii="Times New Roman" w:cs="Times New Roman" w:eastAsia="Times New Roman" w:hAnsi="Times New Roman"/>
                <w:sz w:val="13"/>
                <w:szCs w:val="13"/>
                <w:color w:val="004E7D"/>
              </w:rPr>
              <w:t>Legal, Regulatory &amp;</w:t>
            </w:r>
          </w:p>
        </w:tc>
        <w:tc>
          <w:tcPr>
            <w:tcW w:w="0" w:type="dxa"/>
            <w:vAlign w:val="bottom"/>
          </w:tcPr>
          <w:p>
            <w:pPr>
              <w:spacing w:after="0"/>
              <w:rPr>
                <w:sz w:val="1"/>
                <w:szCs w:val="1"/>
                <w:color w:val="auto"/>
              </w:rPr>
            </w:pPr>
          </w:p>
        </w:tc>
      </w:tr>
      <w:tr>
        <w:trPr>
          <w:trHeight w:val="94"/>
        </w:trPr>
        <w:tc>
          <w:tcPr>
            <w:tcW w:w="1820" w:type="dxa"/>
            <w:vAlign w:val="bottom"/>
            <w:vMerge w:val="restart"/>
          </w:tcPr>
          <w:p>
            <w:pPr>
              <w:spacing w:after="0"/>
              <w:rPr>
                <w:sz w:val="20"/>
                <w:szCs w:val="20"/>
                <w:color w:val="auto"/>
              </w:rPr>
            </w:pPr>
            <w:r>
              <w:rPr>
                <w:rFonts w:ascii="Arial" w:cs="Arial" w:eastAsia="Arial" w:hAnsi="Arial"/>
                <w:sz w:val="13"/>
                <w:szCs w:val="13"/>
                <w:color w:val="004E7D"/>
              </w:rPr>
              <w:t>Service &amp; Governance</w:t>
            </w:r>
          </w:p>
        </w:tc>
        <w:tc>
          <w:tcPr>
            <w:tcW w:w="23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60" w:type="dxa"/>
            <w:vAlign w:val="bottom"/>
            <w:vMerge w:val="continue"/>
          </w:tcPr>
          <w:p>
            <w:pPr>
              <w:spacing w:after="0"/>
              <w:rPr>
                <w:sz w:val="8"/>
                <w:szCs w:val="8"/>
                <w:color w:val="auto"/>
              </w:rPr>
            </w:pPr>
          </w:p>
        </w:tc>
        <w:tc>
          <w:tcPr>
            <w:tcW w:w="190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4E7D"/>
              </w:rPr>
              <w:t>Government Relations</w:t>
            </w:r>
          </w:p>
        </w:tc>
        <w:tc>
          <w:tcPr>
            <w:tcW w:w="0" w:type="dxa"/>
            <w:vAlign w:val="bottom"/>
          </w:tcPr>
          <w:p>
            <w:pPr>
              <w:spacing w:after="0"/>
              <w:rPr>
                <w:sz w:val="1"/>
                <w:szCs w:val="1"/>
                <w:color w:val="auto"/>
              </w:rPr>
            </w:pPr>
          </w:p>
        </w:tc>
      </w:tr>
      <w:tr>
        <w:trPr>
          <w:trHeight w:val="72"/>
        </w:trPr>
        <w:tc>
          <w:tcPr>
            <w:tcW w:w="182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8"/>
        </w:trPr>
        <w:tc>
          <w:tcPr>
            <w:tcW w:w="1820" w:type="dxa"/>
            <w:vAlign w:val="bottom"/>
            <w:vMerge w:val="restart"/>
          </w:tcPr>
          <w:p>
            <w:pPr>
              <w:spacing w:after="0"/>
              <w:rPr>
                <w:sz w:val="20"/>
                <w:szCs w:val="20"/>
                <w:color w:val="auto"/>
              </w:rPr>
            </w:pPr>
            <w:r>
              <w:rPr>
                <w:rFonts w:ascii="Arial" w:cs="Arial" w:eastAsia="Arial" w:hAnsi="Arial"/>
                <w:sz w:val="13"/>
                <w:szCs w:val="13"/>
                <w:color w:val="004E7D"/>
              </w:rPr>
              <w:t>Compliance</w:t>
            </w:r>
          </w:p>
        </w:tc>
        <w:tc>
          <w:tcPr>
            <w:tcW w:w="2300" w:type="dxa"/>
            <w:vAlign w:val="bottom"/>
            <w:vMerge w:val="restart"/>
          </w:tcPr>
          <w:p>
            <w:pPr>
              <w:ind w:left="520"/>
              <w:spacing w:after="0"/>
              <w:rPr>
                <w:sz w:val="20"/>
                <w:szCs w:val="20"/>
                <w:color w:val="auto"/>
              </w:rPr>
            </w:pPr>
            <w:r>
              <w:rPr>
                <w:rFonts w:ascii="Arial" w:cs="Arial" w:eastAsia="Arial" w:hAnsi="Arial"/>
                <w:sz w:val="13"/>
                <w:szCs w:val="13"/>
                <w:color w:val="004E7D"/>
              </w:rPr>
              <w:t>Human Capital, Professional</w:t>
            </w:r>
          </w:p>
        </w:tc>
        <w:tc>
          <w:tcPr>
            <w:tcW w:w="1640" w:type="dxa"/>
            <w:vAlign w:val="bottom"/>
          </w:tcPr>
          <w:p>
            <w:pPr>
              <w:spacing w:after="0"/>
              <w:rPr>
                <w:sz w:val="24"/>
                <w:szCs w:val="24"/>
                <w:color w:val="auto"/>
              </w:rPr>
            </w:pPr>
          </w:p>
        </w:tc>
        <w:tc>
          <w:tcPr>
            <w:tcW w:w="2460" w:type="dxa"/>
            <w:vAlign w:val="bottom"/>
          </w:tcPr>
          <w:p>
            <w:pPr>
              <w:ind w:left="420"/>
              <w:spacing w:after="0"/>
              <w:rPr>
                <w:sz w:val="20"/>
                <w:szCs w:val="20"/>
                <w:color w:val="auto"/>
              </w:rPr>
            </w:pPr>
            <w:r>
              <w:rPr>
                <w:rFonts w:ascii="Times New Roman" w:cs="Times New Roman" w:eastAsia="Times New Roman" w:hAnsi="Times New Roman"/>
                <w:sz w:val="13"/>
                <w:szCs w:val="13"/>
                <w:color w:val="004E7D"/>
              </w:rPr>
              <w:t>Technology &amp; Cybersecurity/</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20" w:type="dxa"/>
            <w:vAlign w:val="bottom"/>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460" w:type="dxa"/>
            <w:vAlign w:val="bottom"/>
          </w:tcPr>
          <w:p>
            <w:pPr>
              <w:ind w:left="420"/>
              <w:spacing w:after="0" w:line="122" w:lineRule="exact"/>
              <w:rPr>
                <w:sz w:val="20"/>
                <w:szCs w:val="20"/>
                <w:color w:val="auto"/>
              </w:rPr>
            </w:pPr>
            <w:r>
              <w:rPr>
                <w:rFonts w:ascii="Times New Roman" w:cs="Times New Roman" w:eastAsia="Times New Roman" w:hAnsi="Times New Roman"/>
                <w:sz w:val="13"/>
                <w:szCs w:val="13"/>
                <w:color w:val="004E7D"/>
              </w:rPr>
              <w:t>Digital &amp; Social Media</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3940" w:type="dxa"/>
            <w:vAlign w:val="bottom"/>
            <w:gridSpan w:val="2"/>
          </w:tcPr>
          <w:p>
            <w:pPr>
              <w:ind w:left="520"/>
              <w:spacing w:after="0"/>
              <w:rPr>
                <w:sz w:val="20"/>
                <w:szCs w:val="20"/>
                <w:color w:val="auto"/>
              </w:rPr>
            </w:pPr>
            <w:r>
              <w:rPr>
                <w:rFonts w:ascii="Arial" w:cs="Arial" w:eastAsia="Arial" w:hAnsi="Arial"/>
                <w:sz w:val="13"/>
                <w:szCs w:val="13"/>
                <w:color w:val="004E7D"/>
              </w:rPr>
              <w:t>Development &amp; Organizational Culture</w:t>
            </w:r>
          </w:p>
        </w:tc>
        <w:tc>
          <w:tcPr>
            <w:tcW w:w="2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-901700</wp:posOffset>
            </wp:positionV>
            <wp:extent cx="857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-910590</wp:posOffset>
            </wp:positionV>
            <wp:extent cx="1625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-910590</wp:posOffset>
            </wp:positionV>
            <wp:extent cx="16319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-910590</wp:posOffset>
            </wp:positionV>
            <wp:extent cx="137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-910590</wp:posOffset>
            </wp:positionV>
            <wp:extent cx="1460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-619125</wp:posOffset>
            </wp:positionV>
            <wp:extent cx="1460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-558800</wp:posOffset>
            </wp:positionV>
            <wp:extent cx="137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-619125</wp:posOffset>
            </wp:positionV>
            <wp:extent cx="1371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-619125</wp:posOffset>
            </wp:positionV>
            <wp:extent cx="1460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-558800</wp:posOffset>
            </wp:positionV>
            <wp:extent cx="1371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-267335</wp:posOffset>
            </wp:positionV>
            <wp:extent cx="17970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70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-207645</wp:posOffset>
            </wp:positionV>
            <wp:extent cx="1371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-207645</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ind w:left="2940"/>
        <w:spacing w:after="0"/>
        <w:rPr>
          <w:sz w:val="20"/>
          <w:szCs w:val="20"/>
          <w:color w:val="auto"/>
        </w:rPr>
      </w:pPr>
      <w:r>
        <w:rPr>
          <w:rFonts w:ascii="Arial" w:cs="Arial" w:eastAsia="Arial" w:hAnsi="Arial"/>
          <w:sz w:val="13"/>
          <w:szCs w:val="13"/>
          <w:color w:val="004E7D"/>
        </w:rPr>
        <w:t>Vacation Ownership &amp; Lodging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-74295</wp:posOffset>
            </wp:positionV>
            <wp:extent cx="12890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6"/>
        </w:trPr>
        <w:tc>
          <w:tcPr>
            <w:tcW w:w="390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WILLIAM W. McCARTEN</w:t>
            </w:r>
          </w:p>
        </w:tc>
        <w:tc>
          <w:tcPr>
            <w:tcW w:w="7340" w:type="dxa"/>
            <w:vAlign w:val="bottom"/>
            <w:tcBorders>
              <w:top w:val="single" w:sz="8" w:color="004987"/>
            </w:tcBorders>
          </w:tcPr>
          <w:p>
            <w:pPr>
              <w:spacing w:after="0"/>
              <w:rPr>
                <w:sz w:val="20"/>
                <w:szCs w:val="20"/>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6"/>
                <w:szCs w:val="16"/>
                <w:color w:val="auto"/>
              </w:rPr>
              <w:t>Age: 74</w:t>
            </w:r>
          </w:p>
        </w:tc>
        <w:tc>
          <w:tcPr>
            <w:tcW w:w="7340" w:type="dxa"/>
            <w:vAlign w:val="bottom"/>
          </w:tcPr>
          <w:p>
            <w:pPr>
              <w:ind w:left="1980"/>
              <w:spacing w:after="0"/>
              <w:rPr>
                <w:sz w:val="20"/>
                <w:szCs w:val="20"/>
                <w:color w:val="auto"/>
              </w:rPr>
            </w:pPr>
            <w:r>
              <w:rPr>
                <w:rFonts w:ascii="Arial" w:cs="Arial" w:eastAsia="Arial" w:hAnsi="Arial"/>
                <w:sz w:val="16"/>
                <w:szCs w:val="16"/>
                <w:color w:val="auto"/>
              </w:rPr>
              <w:t>Committees:</w:t>
            </w:r>
          </w:p>
        </w:tc>
      </w:tr>
      <w:tr>
        <w:trPr>
          <w:trHeight w:val="162"/>
        </w:trPr>
        <w:tc>
          <w:tcPr>
            <w:tcW w:w="390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2011</w:t>
            </w:r>
          </w:p>
        </w:tc>
        <w:tc>
          <w:tcPr>
            <w:tcW w:w="7340" w:type="dxa"/>
            <w:vAlign w:val="bottom"/>
          </w:tcPr>
          <w:p>
            <w:pPr>
              <w:ind w:left="1980"/>
              <w:spacing w:after="0" w:line="162" w:lineRule="exact"/>
              <w:rPr>
                <w:sz w:val="20"/>
                <w:szCs w:val="20"/>
                <w:color w:val="auto"/>
              </w:rPr>
            </w:pPr>
            <w:r>
              <w:rPr>
                <w:rFonts w:ascii="Arial" w:cs="Arial" w:eastAsia="Arial" w:hAnsi="Arial"/>
                <w:sz w:val="16"/>
                <w:szCs w:val="16"/>
                <w:color w:val="auto"/>
              </w:rPr>
              <w:t>• Audit</w:t>
            </w:r>
          </w:p>
        </w:tc>
      </w:tr>
      <w:tr>
        <w:trPr>
          <w:trHeight w:val="228"/>
        </w:trPr>
        <w:tc>
          <w:tcPr>
            <w:tcW w:w="390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340" w:type="dxa"/>
            <w:vAlign w:val="bottom"/>
          </w:tcPr>
          <w:p>
            <w:pPr>
              <w:ind w:left="1980"/>
              <w:spacing w:after="0"/>
              <w:rPr>
                <w:sz w:val="20"/>
                <w:szCs w:val="20"/>
                <w:color w:val="auto"/>
              </w:rPr>
            </w:pPr>
            <w:r>
              <w:rPr>
                <w:rFonts w:ascii="Arial" w:cs="Arial" w:eastAsia="Arial" w:hAnsi="Arial"/>
                <w:sz w:val="16"/>
                <w:szCs w:val="16"/>
                <w:color w:val="auto"/>
              </w:rPr>
              <w:t>• Compensation Policy</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2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Mr. McCarten has served as non-executive Chairman of the Board of DiamondRock Hospitality Company, a publicly traded lodging REIT, since January 2010. He was Executive Chairman of DiamondRock from September 2008 to December 2009. Prior to that, he was Chairman and Chief Executive Officer of DiamondRock from its inception in 2004 until September 2008. From 1979 through 2003, Mr. McCarten worked at Marriott International and companies that operated businesses that were previously part of Marriott International or its predecessors, where he held a number of executive positions, including President of the Services Group and President and Chief Executive Officer of HMSHost Corporation, a publicly traded company. Mr. McCarten is also a director of Cracker Barrel Old Country Store, Inc., a publicly traded company.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35" w:lineRule="exact"/>
        <w:rPr>
          <w:sz w:val="20"/>
          <w:szCs w:val="20"/>
          <w:color w:val="auto"/>
        </w:rPr>
      </w:pPr>
    </w:p>
    <w:p>
      <w:pPr>
        <w:jc w:val="both"/>
        <w:ind w:right="280"/>
        <w:spacing w:after="0" w:line="264" w:lineRule="auto"/>
        <w:rPr>
          <w:sz w:val="20"/>
          <w:szCs w:val="20"/>
          <w:color w:val="auto"/>
        </w:rPr>
      </w:pPr>
      <w:r>
        <w:rPr>
          <w:rFonts w:ascii="Arial" w:cs="Arial" w:eastAsia="Arial" w:hAnsi="Arial"/>
          <w:sz w:val="16"/>
          <w:szCs w:val="16"/>
          <w:color w:val="auto"/>
        </w:rPr>
        <w:t>Mr. McCarten provides the Board with the benefit of his extensive experience in the hospitality industry and capital markets, including his service as Chief Executive Officer and board member of publicly traded companies. He is a former certified public accountant who has a strong familiarity with accounting and financial reporting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857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110490</wp:posOffset>
            </wp:positionV>
            <wp:extent cx="1625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110490</wp:posOffset>
            </wp:positionV>
            <wp:extent cx="1625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110490</wp:posOffset>
            </wp:positionV>
            <wp:extent cx="1371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110490</wp:posOffset>
            </wp:positionV>
            <wp:extent cx="14605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1800" w:type="dxa"/>
            <w:vAlign w:val="bottom"/>
          </w:tcPr>
          <w:p>
            <w:pPr>
              <w:spacing w:after="0"/>
              <w:rPr>
                <w:sz w:val="20"/>
                <w:szCs w:val="20"/>
                <w:color w:val="auto"/>
              </w:rPr>
            </w:pPr>
            <w:r>
              <w:rPr>
                <w:rFonts w:ascii="Arial" w:cs="Arial" w:eastAsia="Arial" w:hAnsi="Arial"/>
                <w:sz w:val="13"/>
                <w:szCs w:val="13"/>
                <w:color w:val="004E7D"/>
              </w:rPr>
              <w:t>Corporate</w:t>
            </w:r>
          </w:p>
        </w:tc>
        <w:tc>
          <w:tcPr>
            <w:tcW w:w="2300" w:type="dxa"/>
            <w:vAlign w:val="bottom"/>
          </w:tcPr>
          <w:p>
            <w:pPr>
              <w:spacing w:after="0"/>
              <w:rPr>
                <w:sz w:val="13"/>
                <w:szCs w:val="13"/>
                <w:color w:val="auto"/>
              </w:rPr>
            </w:pPr>
          </w:p>
        </w:tc>
        <w:tc>
          <w:tcPr>
            <w:tcW w:w="2200" w:type="dxa"/>
            <w:vAlign w:val="bottom"/>
          </w:tcPr>
          <w:p>
            <w:pPr>
              <w:ind w:left="500"/>
              <w:spacing w:after="0"/>
              <w:rPr>
                <w:sz w:val="20"/>
                <w:szCs w:val="20"/>
                <w:color w:val="auto"/>
              </w:rPr>
            </w:pPr>
            <w:r>
              <w:rPr>
                <w:rFonts w:ascii="Arial" w:cs="Arial" w:eastAsia="Arial" w:hAnsi="Arial"/>
                <w:sz w:val="13"/>
                <w:szCs w:val="13"/>
                <w:color w:val="004E7D"/>
              </w:rPr>
              <w:t>Financial &amp;</w:t>
            </w:r>
          </w:p>
        </w:tc>
        <w:tc>
          <w:tcPr>
            <w:tcW w:w="2020" w:type="dxa"/>
            <w:vAlign w:val="bottom"/>
          </w:tcPr>
          <w:p>
            <w:pPr>
              <w:ind w:left="120"/>
              <w:spacing w:after="0"/>
              <w:rPr>
                <w:sz w:val="20"/>
                <w:szCs w:val="20"/>
                <w:color w:val="auto"/>
              </w:rPr>
            </w:pPr>
            <w:r>
              <w:rPr>
                <w:rFonts w:ascii="Arial" w:cs="Arial" w:eastAsia="Arial" w:hAnsi="Arial"/>
                <w:sz w:val="13"/>
                <w:szCs w:val="13"/>
                <w:color w:val="004E7D"/>
              </w:rPr>
              <w:t>Accounting &amp;</w:t>
            </w:r>
          </w:p>
        </w:tc>
        <w:tc>
          <w:tcPr>
            <w:tcW w:w="2040" w:type="dxa"/>
            <w:vAlign w:val="bottom"/>
          </w:tcPr>
          <w:p>
            <w:pPr>
              <w:ind w:left="680"/>
              <w:spacing w:after="0"/>
              <w:rPr>
                <w:sz w:val="20"/>
                <w:szCs w:val="20"/>
                <w:color w:val="auto"/>
              </w:rPr>
            </w:pPr>
            <w:r>
              <w:rPr>
                <w:rFonts w:ascii="Arial" w:cs="Arial" w:eastAsia="Arial" w:hAnsi="Arial"/>
                <w:sz w:val="13"/>
                <w:szCs w:val="13"/>
                <w:color w:val="004E7D"/>
                <w:w w:val="95"/>
              </w:rPr>
              <w:t>Business Development /</w:t>
            </w:r>
          </w:p>
        </w:tc>
      </w:tr>
      <w:tr>
        <w:trPr>
          <w:trHeight w:val="175"/>
        </w:trPr>
        <w:tc>
          <w:tcPr>
            <w:tcW w:w="1800" w:type="dxa"/>
            <w:vAlign w:val="bottom"/>
          </w:tcPr>
          <w:p>
            <w:pPr>
              <w:spacing w:after="0"/>
              <w:rPr>
                <w:sz w:val="20"/>
                <w:szCs w:val="20"/>
                <w:color w:val="auto"/>
              </w:rPr>
            </w:pPr>
            <w:r>
              <w:rPr>
                <w:rFonts w:ascii="Arial" w:cs="Arial" w:eastAsia="Arial" w:hAnsi="Arial"/>
                <w:sz w:val="13"/>
                <w:szCs w:val="13"/>
                <w:color w:val="004E7D"/>
              </w:rPr>
              <w:t>Leadership</w:t>
            </w:r>
          </w:p>
        </w:tc>
        <w:tc>
          <w:tcPr>
            <w:tcW w:w="2300" w:type="dxa"/>
            <w:vAlign w:val="bottom"/>
          </w:tcPr>
          <w:p>
            <w:pPr>
              <w:ind w:left="500"/>
              <w:spacing w:after="0"/>
              <w:rPr>
                <w:sz w:val="20"/>
                <w:szCs w:val="20"/>
                <w:color w:val="auto"/>
              </w:rPr>
            </w:pPr>
            <w:r>
              <w:rPr>
                <w:rFonts w:ascii="Arial" w:cs="Arial" w:eastAsia="Arial" w:hAnsi="Arial"/>
                <w:sz w:val="13"/>
                <w:szCs w:val="13"/>
                <w:color w:val="004E7D"/>
              </w:rPr>
              <w:t>Independence</w:t>
            </w:r>
          </w:p>
        </w:tc>
        <w:tc>
          <w:tcPr>
            <w:tcW w:w="2200" w:type="dxa"/>
            <w:vAlign w:val="bottom"/>
          </w:tcPr>
          <w:p>
            <w:pPr>
              <w:ind w:left="500"/>
              <w:spacing w:after="0"/>
              <w:rPr>
                <w:sz w:val="20"/>
                <w:szCs w:val="20"/>
                <w:color w:val="auto"/>
              </w:rPr>
            </w:pPr>
            <w:r>
              <w:rPr>
                <w:rFonts w:ascii="Arial" w:cs="Arial" w:eastAsia="Arial" w:hAnsi="Arial"/>
                <w:sz w:val="13"/>
                <w:szCs w:val="13"/>
                <w:color w:val="004E7D"/>
              </w:rPr>
              <w:t>Capital Markets</w:t>
            </w:r>
          </w:p>
        </w:tc>
        <w:tc>
          <w:tcPr>
            <w:tcW w:w="2020" w:type="dxa"/>
            <w:vAlign w:val="bottom"/>
          </w:tcPr>
          <w:p>
            <w:pPr>
              <w:ind w:left="120"/>
              <w:spacing w:after="0"/>
              <w:rPr>
                <w:sz w:val="20"/>
                <w:szCs w:val="20"/>
                <w:color w:val="auto"/>
              </w:rPr>
            </w:pPr>
            <w:r>
              <w:rPr>
                <w:rFonts w:ascii="Arial" w:cs="Arial" w:eastAsia="Arial" w:hAnsi="Arial"/>
                <w:sz w:val="13"/>
                <w:szCs w:val="13"/>
                <w:color w:val="004E7D"/>
              </w:rPr>
              <w:t>Financial Reporting</w:t>
            </w:r>
          </w:p>
        </w:tc>
        <w:tc>
          <w:tcPr>
            <w:tcW w:w="2040" w:type="dxa"/>
            <w:vAlign w:val="bottom"/>
          </w:tcPr>
          <w:p>
            <w:pPr>
              <w:ind w:left="680"/>
              <w:spacing w:after="0"/>
              <w:rPr>
                <w:sz w:val="20"/>
                <w:szCs w:val="20"/>
                <w:color w:val="auto"/>
              </w:rPr>
            </w:pPr>
            <w:r>
              <w:rPr>
                <w:rFonts w:ascii="Arial" w:cs="Arial" w:eastAsia="Arial" w:hAnsi="Arial"/>
                <w:sz w:val="13"/>
                <w:szCs w:val="13"/>
                <w:color w:val="004E7D"/>
              </w:rPr>
              <w:t>Mergers &amp; Acquisitions</w:t>
            </w:r>
          </w:p>
        </w:tc>
      </w:tr>
      <w:tr>
        <w:trPr>
          <w:trHeight w:val="378"/>
        </w:trPr>
        <w:tc>
          <w:tcPr>
            <w:tcW w:w="1800" w:type="dxa"/>
            <w:vAlign w:val="bottom"/>
          </w:tcPr>
          <w:p>
            <w:pPr>
              <w:spacing w:after="0"/>
              <w:rPr>
                <w:sz w:val="20"/>
                <w:szCs w:val="20"/>
                <w:color w:val="auto"/>
              </w:rPr>
            </w:pPr>
            <w:r>
              <w:rPr>
                <w:rFonts w:ascii="Arial" w:cs="Arial" w:eastAsia="Arial" w:hAnsi="Arial"/>
                <w:sz w:val="13"/>
                <w:szCs w:val="13"/>
                <w:color w:val="004E7D"/>
              </w:rPr>
              <w:t>Public Company Board</w:t>
            </w:r>
          </w:p>
        </w:tc>
        <w:tc>
          <w:tcPr>
            <w:tcW w:w="2300" w:type="dxa"/>
            <w:vAlign w:val="bottom"/>
          </w:tcPr>
          <w:p>
            <w:pPr>
              <w:ind w:left="500"/>
              <w:spacing w:after="0"/>
              <w:rPr>
                <w:sz w:val="20"/>
                <w:szCs w:val="20"/>
                <w:color w:val="auto"/>
              </w:rPr>
            </w:pPr>
            <w:r>
              <w:rPr>
                <w:rFonts w:ascii="Arial" w:cs="Arial" w:eastAsia="Arial" w:hAnsi="Arial"/>
                <w:sz w:val="13"/>
                <w:szCs w:val="13"/>
                <w:color w:val="004E7D"/>
              </w:rPr>
              <w:t>Risk</w:t>
            </w:r>
          </w:p>
        </w:tc>
        <w:tc>
          <w:tcPr>
            <w:tcW w:w="220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Arial" w:cs="Arial" w:eastAsia="Arial" w:hAnsi="Arial"/>
                <w:sz w:val="13"/>
                <w:szCs w:val="13"/>
                <w:color w:val="004E7D"/>
              </w:rPr>
              <w:t>Vacation Ownership &amp;</w:t>
            </w:r>
          </w:p>
        </w:tc>
        <w:tc>
          <w:tcPr>
            <w:tcW w:w="2040" w:type="dxa"/>
            <w:vAlign w:val="bottom"/>
          </w:tcPr>
          <w:p>
            <w:pPr>
              <w:ind w:left="680"/>
              <w:spacing w:after="0"/>
              <w:rPr>
                <w:sz w:val="20"/>
                <w:szCs w:val="20"/>
                <w:color w:val="auto"/>
              </w:rPr>
            </w:pPr>
            <w:r>
              <w:rPr>
                <w:rFonts w:ascii="Arial" w:cs="Arial" w:eastAsia="Arial" w:hAnsi="Arial"/>
                <w:sz w:val="13"/>
                <w:szCs w:val="13"/>
                <w:color w:val="004E7D"/>
              </w:rPr>
              <w:t>Legal, Regulatory &amp;</w:t>
            </w:r>
          </w:p>
        </w:tc>
      </w:tr>
      <w:tr>
        <w:trPr>
          <w:trHeight w:val="175"/>
        </w:trPr>
        <w:tc>
          <w:tcPr>
            <w:tcW w:w="1800" w:type="dxa"/>
            <w:vAlign w:val="bottom"/>
          </w:tcPr>
          <w:p>
            <w:pPr>
              <w:spacing w:after="0"/>
              <w:rPr>
                <w:sz w:val="20"/>
                <w:szCs w:val="20"/>
                <w:color w:val="auto"/>
              </w:rPr>
            </w:pPr>
            <w:r>
              <w:rPr>
                <w:rFonts w:ascii="Arial" w:cs="Arial" w:eastAsia="Arial" w:hAnsi="Arial"/>
                <w:sz w:val="13"/>
                <w:szCs w:val="13"/>
                <w:color w:val="004E7D"/>
              </w:rPr>
              <w:t>Service &amp; Governance</w:t>
            </w:r>
          </w:p>
        </w:tc>
        <w:tc>
          <w:tcPr>
            <w:tcW w:w="2300" w:type="dxa"/>
            <w:vAlign w:val="bottom"/>
          </w:tcPr>
          <w:p>
            <w:pPr>
              <w:ind w:left="500"/>
              <w:spacing w:after="0"/>
              <w:rPr>
                <w:sz w:val="20"/>
                <w:szCs w:val="20"/>
                <w:color w:val="auto"/>
              </w:rPr>
            </w:pPr>
            <w:r>
              <w:rPr>
                <w:rFonts w:ascii="Arial" w:cs="Arial" w:eastAsia="Arial" w:hAnsi="Arial"/>
                <w:sz w:val="13"/>
                <w:szCs w:val="13"/>
                <w:color w:val="004E7D"/>
              </w:rPr>
              <w:t>Management</w:t>
            </w:r>
          </w:p>
        </w:tc>
        <w:tc>
          <w:tcPr>
            <w:tcW w:w="2200" w:type="dxa"/>
            <w:vAlign w:val="bottom"/>
          </w:tcPr>
          <w:p>
            <w:pPr>
              <w:ind w:left="500"/>
              <w:spacing w:after="0"/>
              <w:rPr>
                <w:sz w:val="20"/>
                <w:szCs w:val="20"/>
                <w:color w:val="auto"/>
              </w:rPr>
            </w:pPr>
            <w:r>
              <w:rPr>
                <w:rFonts w:ascii="Arial" w:cs="Arial" w:eastAsia="Arial" w:hAnsi="Arial"/>
                <w:sz w:val="13"/>
                <w:szCs w:val="13"/>
                <w:color w:val="004E7D"/>
              </w:rPr>
              <w:t>Strategic Planning</w:t>
            </w:r>
          </w:p>
        </w:tc>
        <w:tc>
          <w:tcPr>
            <w:tcW w:w="2020" w:type="dxa"/>
            <w:vAlign w:val="bottom"/>
          </w:tcPr>
          <w:p>
            <w:pPr>
              <w:ind w:left="120"/>
              <w:spacing w:after="0"/>
              <w:rPr>
                <w:sz w:val="20"/>
                <w:szCs w:val="20"/>
                <w:color w:val="auto"/>
              </w:rPr>
            </w:pPr>
            <w:r>
              <w:rPr>
                <w:rFonts w:ascii="Arial" w:cs="Arial" w:eastAsia="Arial" w:hAnsi="Arial"/>
                <w:sz w:val="13"/>
                <w:szCs w:val="13"/>
                <w:color w:val="004E7D"/>
              </w:rPr>
              <w:t>Lodging Industry</w:t>
            </w:r>
          </w:p>
        </w:tc>
        <w:tc>
          <w:tcPr>
            <w:tcW w:w="2040" w:type="dxa"/>
            <w:vAlign w:val="bottom"/>
          </w:tcPr>
          <w:p>
            <w:pPr>
              <w:ind w:left="680"/>
              <w:spacing w:after="0"/>
              <w:rPr>
                <w:sz w:val="20"/>
                <w:szCs w:val="20"/>
                <w:color w:val="auto"/>
              </w:rPr>
            </w:pPr>
            <w:r>
              <w:rPr>
                <w:rFonts w:ascii="Arial" w:cs="Arial" w:eastAsia="Arial" w:hAnsi="Arial"/>
                <w:sz w:val="13"/>
                <w:szCs w:val="13"/>
                <w:color w:val="004E7D"/>
              </w:rPr>
              <w:t>Government Relations</w:t>
            </w:r>
          </w:p>
        </w:tc>
      </w:tr>
      <w:tr>
        <w:trPr>
          <w:trHeight w:val="324"/>
        </w:trPr>
        <w:tc>
          <w:tcPr>
            <w:tcW w:w="180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13"/>
                <w:szCs w:val="13"/>
                <w:color w:val="004E7D"/>
              </w:rPr>
              <w:t>Real Estate &amp; Business</w:t>
            </w:r>
          </w:p>
        </w:tc>
        <w:tc>
          <w:tcPr>
            <w:tcW w:w="2200" w:type="dxa"/>
            <w:vAlign w:val="bottom"/>
          </w:tcPr>
          <w:p>
            <w:pPr>
              <w:ind w:left="500"/>
              <w:spacing w:after="0"/>
              <w:rPr>
                <w:sz w:val="20"/>
                <w:szCs w:val="20"/>
                <w:color w:val="auto"/>
              </w:rPr>
            </w:pPr>
            <w:r>
              <w:rPr>
                <w:rFonts w:ascii="Arial" w:cs="Arial" w:eastAsia="Arial" w:hAnsi="Arial"/>
                <w:sz w:val="13"/>
                <w:szCs w:val="13"/>
                <w:color w:val="004E7D"/>
              </w:rPr>
              <w:t>Human Capital, Professional</w:t>
            </w: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5"/>
        </w:trPr>
        <w:tc>
          <w:tcPr>
            <w:tcW w:w="1800" w:type="dxa"/>
            <w:vAlign w:val="bottom"/>
          </w:tcPr>
          <w:p>
            <w:pPr>
              <w:spacing w:after="0"/>
              <w:rPr>
                <w:sz w:val="20"/>
                <w:szCs w:val="20"/>
                <w:color w:val="auto"/>
              </w:rPr>
            </w:pPr>
            <w:r>
              <w:rPr>
                <w:rFonts w:ascii="Arial" w:cs="Arial" w:eastAsia="Arial" w:hAnsi="Arial"/>
                <w:sz w:val="13"/>
                <w:szCs w:val="13"/>
                <w:color w:val="004E7D"/>
              </w:rPr>
              <w:t>Compliance</w:t>
            </w:r>
          </w:p>
        </w:tc>
        <w:tc>
          <w:tcPr>
            <w:tcW w:w="2300" w:type="dxa"/>
            <w:vAlign w:val="bottom"/>
          </w:tcPr>
          <w:p>
            <w:pPr>
              <w:ind w:left="500"/>
              <w:spacing w:after="0"/>
              <w:rPr>
                <w:sz w:val="20"/>
                <w:szCs w:val="20"/>
                <w:color w:val="auto"/>
              </w:rPr>
            </w:pPr>
            <w:r>
              <w:rPr>
                <w:rFonts w:ascii="Arial" w:cs="Arial" w:eastAsia="Arial" w:hAnsi="Arial"/>
                <w:sz w:val="13"/>
                <w:szCs w:val="13"/>
                <w:color w:val="004E7D"/>
              </w:rPr>
              <w:t>Development</w:t>
            </w:r>
          </w:p>
        </w:tc>
        <w:tc>
          <w:tcPr>
            <w:tcW w:w="4220" w:type="dxa"/>
            <w:vAlign w:val="bottom"/>
            <w:gridSpan w:val="2"/>
          </w:tcPr>
          <w:p>
            <w:pPr>
              <w:ind w:left="500"/>
              <w:spacing w:after="0"/>
              <w:rPr>
                <w:sz w:val="20"/>
                <w:szCs w:val="20"/>
                <w:color w:val="auto"/>
              </w:rPr>
            </w:pPr>
            <w:r>
              <w:rPr>
                <w:rFonts w:ascii="Arial" w:cs="Arial" w:eastAsia="Arial" w:hAnsi="Arial"/>
                <w:sz w:val="13"/>
                <w:szCs w:val="13"/>
                <w:color w:val="004E7D"/>
              </w:rPr>
              <w:t>Development &amp; Organizational Culture</w:t>
            </w:r>
          </w:p>
        </w:tc>
        <w:tc>
          <w:tcPr>
            <w:tcW w:w="20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-530225</wp:posOffset>
            </wp:positionV>
            <wp:extent cx="1460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-581660</wp:posOffset>
            </wp:positionV>
            <wp:extent cx="137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-581660</wp:posOffset>
            </wp:positionV>
            <wp:extent cx="137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-530225</wp:posOffset>
            </wp:positionV>
            <wp:extent cx="12890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-581660</wp:posOffset>
            </wp:positionV>
            <wp:extent cx="1371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-247650</wp:posOffset>
            </wp:positionV>
            <wp:extent cx="17970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705" cy="13716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-247650</wp:posOffset>
            </wp:positionV>
            <wp:extent cx="1371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-247650</wp:posOffset>
            </wp:positionV>
            <wp:extent cx="1371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4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WILLIAM J. SHAW, CHAIRMAN</w:t>
            </w:r>
          </w:p>
        </w:tc>
        <w:tc>
          <w:tcPr>
            <w:tcW w:w="7100" w:type="dxa"/>
            <w:vAlign w:val="bottom"/>
            <w:tcBorders>
              <w:top w:val="single" w:sz="8" w:color="004987"/>
            </w:tcBorders>
          </w:tcPr>
          <w:p>
            <w:pPr>
              <w:spacing w:after="0"/>
              <w:rPr>
                <w:sz w:val="20"/>
                <w:szCs w:val="20"/>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Age: 77</w:t>
            </w:r>
          </w:p>
        </w:tc>
        <w:tc>
          <w:tcPr>
            <w:tcW w:w="7100" w:type="dxa"/>
            <w:vAlign w:val="bottom"/>
          </w:tcPr>
          <w:p>
            <w:pPr>
              <w:ind w:left="1740"/>
              <w:spacing w:after="0"/>
              <w:rPr>
                <w:sz w:val="20"/>
                <w:szCs w:val="20"/>
                <w:color w:val="auto"/>
              </w:rPr>
            </w:pPr>
            <w:r>
              <w:rPr>
                <w:rFonts w:ascii="Arial" w:cs="Arial" w:eastAsia="Arial" w:hAnsi="Arial"/>
                <w:sz w:val="16"/>
                <w:szCs w:val="16"/>
                <w:color w:val="auto"/>
              </w:rPr>
              <w:t>Committees:</w:t>
            </w:r>
          </w:p>
        </w:tc>
      </w:tr>
      <w:tr>
        <w:trPr>
          <w:trHeight w:val="175"/>
        </w:trPr>
        <w:tc>
          <w:tcPr>
            <w:tcW w:w="4140" w:type="dxa"/>
            <w:vAlign w:val="bottom"/>
          </w:tcPr>
          <w:p>
            <w:pPr>
              <w:ind w:left="20"/>
              <w:spacing w:after="0" w:line="175" w:lineRule="exact"/>
              <w:rPr>
                <w:sz w:val="20"/>
                <w:szCs w:val="20"/>
                <w:color w:val="auto"/>
              </w:rPr>
            </w:pPr>
            <w:r>
              <w:rPr>
                <w:rFonts w:ascii="Arial" w:cs="Arial" w:eastAsia="Arial" w:hAnsi="Arial"/>
                <w:sz w:val="16"/>
                <w:szCs w:val="16"/>
                <w:color w:val="auto"/>
              </w:rPr>
              <w:t>Director Since: 2011</w:t>
            </w:r>
          </w:p>
        </w:tc>
        <w:tc>
          <w:tcPr>
            <w:tcW w:w="7100" w:type="dxa"/>
            <w:vAlign w:val="bottom"/>
          </w:tcPr>
          <w:p>
            <w:pPr>
              <w:ind w:left="1740"/>
              <w:spacing w:after="0" w:line="175"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None</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100" w:type="dxa"/>
            <w:vAlign w:val="bottom"/>
          </w:tcPr>
          <w:p>
            <w:pPr>
              <w:spacing w:after="0"/>
              <w:rPr>
                <w:sz w:val="18"/>
                <w:szCs w:val="18"/>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Mr. Shaw is Chairman of the Board. He served as Vice Chairman of Marriott International, Inc., the company from which we spun off, from May 2009 until his retirement in March 2011. He previously served as President and Chief Operating Officer of Marriott International from 1997 until May 2009. He joined Marriott International in 1974 and held various positions, including Corporate Controller, Corporate Vice President, Senior Vice President—Finance, Treasurer, Chief Financial Officer, Executive Vice President and President of Marriott Service Group. Mr. Shaw serves on the boards of directors of The Carlyle Group Inc., a publicly traded private equity, alternative asset management and financial services corporation, and DiamondRock Hospitality Company, a publicly traded lodging REIT. He also serves on the Board of Trustees of the University of Notre Dame.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Mr. Shaw brings to the Board extensive management experience with Marriott International, his prominent status in the hospitality industry and a wealth of knowledge in dealing with financial and accounting matters as a result of his prior service in financial and accounting positions at Marriott International, including as its Chief Financial Officer. Mr. Shaw also has experience as a board member of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59055</wp:posOffset>
            </wp:positionV>
            <wp:extent cx="857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59055</wp:posOffset>
            </wp:positionV>
            <wp:extent cx="1625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59055</wp:posOffset>
            </wp:positionV>
            <wp:extent cx="1625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59055</wp:posOffset>
            </wp:positionV>
            <wp:extent cx="137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59055</wp:posOffset>
            </wp:positionV>
            <wp:extent cx="14605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800" w:type="dxa"/>
            <w:vAlign w:val="bottom"/>
          </w:tcPr>
          <w:p>
            <w:pPr>
              <w:spacing w:after="0"/>
              <w:rPr>
                <w:sz w:val="20"/>
                <w:szCs w:val="20"/>
                <w:color w:val="auto"/>
              </w:rPr>
            </w:pPr>
            <w:r>
              <w:rPr>
                <w:rFonts w:ascii="Arial" w:cs="Arial" w:eastAsia="Arial" w:hAnsi="Arial"/>
                <w:sz w:val="13"/>
                <w:szCs w:val="13"/>
                <w:color w:val="004E7D"/>
              </w:rPr>
              <w:t>Corporate</w:t>
            </w:r>
          </w:p>
        </w:tc>
        <w:tc>
          <w:tcPr>
            <w:tcW w:w="2260" w:type="dxa"/>
            <w:vAlign w:val="bottom"/>
          </w:tcPr>
          <w:p>
            <w:pPr>
              <w:spacing w:after="0"/>
              <w:rPr>
                <w:sz w:val="12"/>
                <w:szCs w:val="12"/>
                <w:color w:val="auto"/>
              </w:rPr>
            </w:pPr>
          </w:p>
        </w:tc>
        <w:tc>
          <w:tcPr>
            <w:tcW w:w="2100" w:type="dxa"/>
            <w:vAlign w:val="bottom"/>
          </w:tcPr>
          <w:p>
            <w:pPr>
              <w:ind w:left="420"/>
              <w:spacing w:after="0"/>
              <w:rPr>
                <w:sz w:val="20"/>
                <w:szCs w:val="20"/>
                <w:color w:val="auto"/>
              </w:rPr>
            </w:pPr>
            <w:r>
              <w:rPr>
                <w:rFonts w:ascii="Arial" w:cs="Arial" w:eastAsia="Arial" w:hAnsi="Arial"/>
                <w:sz w:val="13"/>
                <w:szCs w:val="13"/>
                <w:color w:val="004E7D"/>
              </w:rPr>
              <w:t>Financial &amp;</w:t>
            </w:r>
          </w:p>
        </w:tc>
        <w:tc>
          <w:tcPr>
            <w:tcW w:w="1800" w:type="dxa"/>
            <w:vAlign w:val="bottom"/>
          </w:tcPr>
          <w:p>
            <w:pPr>
              <w:ind w:left="100"/>
              <w:spacing w:after="0"/>
              <w:rPr>
                <w:sz w:val="20"/>
                <w:szCs w:val="20"/>
                <w:color w:val="auto"/>
              </w:rPr>
            </w:pPr>
            <w:r>
              <w:rPr>
                <w:rFonts w:ascii="Arial" w:cs="Arial" w:eastAsia="Arial" w:hAnsi="Arial"/>
                <w:sz w:val="13"/>
                <w:szCs w:val="13"/>
                <w:color w:val="004E7D"/>
              </w:rPr>
              <w:t>Accounting &amp;</w:t>
            </w:r>
          </w:p>
        </w:tc>
        <w:tc>
          <w:tcPr>
            <w:tcW w:w="2200" w:type="dxa"/>
            <w:vAlign w:val="bottom"/>
          </w:tcPr>
          <w:p>
            <w:pPr>
              <w:ind w:left="620"/>
              <w:spacing w:after="0"/>
              <w:rPr>
                <w:sz w:val="20"/>
                <w:szCs w:val="20"/>
                <w:color w:val="auto"/>
              </w:rPr>
            </w:pPr>
            <w:r>
              <w:rPr>
                <w:rFonts w:ascii="Arial" w:cs="Arial" w:eastAsia="Arial" w:hAnsi="Arial"/>
                <w:sz w:val="13"/>
                <w:szCs w:val="13"/>
                <w:color w:val="004E7D"/>
              </w:rPr>
              <w:t>Business Development /</w:t>
            </w:r>
          </w:p>
        </w:tc>
      </w:tr>
      <w:tr>
        <w:trPr>
          <w:trHeight w:val="175"/>
        </w:trPr>
        <w:tc>
          <w:tcPr>
            <w:tcW w:w="1800" w:type="dxa"/>
            <w:vAlign w:val="bottom"/>
          </w:tcPr>
          <w:p>
            <w:pPr>
              <w:spacing w:after="0"/>
              <w:rPr>
                <w:sz w:val="20"/>
                <w:szCs w:val="20"/>
                <w:color w:val="auto"/>
              </w:rPr>
            </w:pPr>
            <w:r>
              <w:rPr>
                <w:rFonts w:ascii="Arial" w:cs="Arial" w:eastAsia="Arial" w:hAnsi="Arial"/>
                <w:sz w:val="13"/>
                <w:szCs w:val="13"/>
                <w:color w:val="004E7D"/>
              </w:rPr>
              <w:t>Leadership</w:t>
            </w:r>
          </w:p>
        </w:tc>
        <w:tc>
          <w:tcPr>
            <w:tcW w:w="2260" w:type="dxa"/>
            <w:vAlign w:val="bottom"/>
          </w:tcPr>
          <w:p>
            <w:pPr>
              <w:ind w:left="600"/>
              <w:spacing w:after="0"/>
              <w:rPr>
                <w:sz w:val="20"/>
                <w:szCs w:val="20"/>
                <w:color w:val="auto"/>
              </w:rPr>
            </w:pPr>
            <w:r>
              <w:rPr>
                <w:rFonts w:ascii="Arial" w:cs="Arial" w:eastAsia="Arial" w:hAnsi="Arial"/>
                <w:sz w:val="13"/>
                <w:szCs w:val="13"/>
                <w:color w:val="004E7D"/>
              </w:rPr>
              <w:t>Independence</w:t>
            </w:r>
          </w:p>
        </w:tc>
        <w:tc>
          <w:tcPr>
            <w:tcW w:w="2100" w:type="dxa"/>
            <w:vAlign w:val="bottom"/>
          </w:tcPr>
          <w:p>
            <w:pPr>
              <w:ind w:left="420"/>
              <w:spacing w:after="0"/>
              <w:rPr>
                <w:sz w:val="20"/>
                <w:szCs w:val="20"/>
                <w:color w:val="auto"/>
              </w:rPr>
            </w:pPr>
            <w:r>
              <w:rPr>
                <w:rFonts w:ascii="Arial" w:cs="Arial" w:eastAsia="Arial" w:hAnsi="Arial"/>
                <w:sz w:val="13"/>
                <w:szCs w:val="13"/>
                <w:color w:val="004E7D"/>
              </w:rPr>
              <w:t>Capital Markets</w:t>
            </w:r>
          </w:p>
        </w:tc>
        <w:tc>
          <w:tcPr>
            <w:tcW w:w="1800" w:type="dxa"/>
            <w:vAlign w:val="bottom"/>
          </w:tcPr>
          <w:p>
            <w:pPr>
              <w:ind w:left="100"/>
              <w:spacing w:after="0"/>
              <w:rPr>
                <w:sz w:val="20"/>
                <w:szCs w:val="20"/>
                <w:color w:val="auto"/>
              </w:rPr>
            </w:pPr>
            <w:r>
              <w:rPr>
                <w:rFonts w:ascii="Arial" w:cs="Arial" w:eastAsia="Arial" w:hAnsi="Arial"/>
                <w:sz w:val="13"/>
                <w:szCs w:val="13"/>
                <w:color w:val="004E7D"/>
              </w:rPr>
              <w:t>Financial Reporting</w:t>
            </w:r>
          </w:p>
        </w:tc>
        <w:tc>
          <w:tcPr>
            <w:tcW w:w="2200" w:type="dxa"/>
            <w:vAlign w:val="bottom"/>
          </w:tcPr>
          <w:p>
            <w:pPr>
              <w:ind w:left="620"/>
              <w:spacing w:after="0"/>
              <w:rPr>
                <w:sz w:val="20"/>
                <w:szCs w:val="20"/>
                <w:color w:val="auto"/>
              </w:rPr>
            </w:pPr>
            <w:r>
              <w:rPr>
                <w:rFonts w:ascii="Arial" w:cs="Arial" w:eastAsia="Arial" w:hAnsi="Arial"/>
                <w:sz w:val="13"/>
                <w:szCs w:val="13"/>
                <w:color w:val="004E7D"/>
              </w:rPr>
              <w:t>Mergers &amp; Acquisitions</w:t>
            </w:r>
          </w:p>
        </w:tc>
      </w:tr>
      <w:tr>
        <w:trPr>
          <w:trHeight w:val="311"/>
        </w:trPr>
        <w:tc>
          <w:tcPr>
            <w:tcW w:w="1800" w:type="dxa"/>
            <w:vAlign w:val="bottom"/>
          </w:tcPr>
          <w:p>
            <w:pPr>
              <w:spacing w:after="0"/>
              <w:rPr>
                <w:sz w:val="20"/>
                <w:szCs w:val="20"/>
                <w:color w:val="auto"/>
              </w:rPr>
            </w:pPr>
            <w:r>
              <w:rPr>
                <w:rFonts w:ascii="Arial" w:cs="Arial" w:eastAsia="Arial" w:hAnsi="Arial"/>
                <w:sz w:val="13"/>
                <w:szCs w:val="13"/>
                <w:color w:val="004E7D"/>
              </w:rPr>
              <w:t>Public Company Board</w:t>
            </w:r>
          </w:p>
        </w:tc>
        <w:tc>
          <w:tcPr>
            <w:tcW w:w="2260" w:type="dxa"/>
            <w:vAlign w:val="bottom"/>
          </w:tcPr>
          <w:p>
            <w:pPr>
              <w:ind w:left="540"/>
              <w:spacing w:after="0"/>
              <w:rPr>
                <w:sz w:val="20"/>
                <w:szCs w:val="20"/>
                <w:color w:val="auto"/>
              </w:rPr>
            </w:pPr>
            <w:r>
              <w:rPr>
                <w:rFonts w:ascii="Arial" w:cs="Arial" w:eastAsia="Arial" w:hAnsi="Arial"/>
                <w:sz w:val="13"/>
                <w:szCs w:val="13"/>
                <w:color w:val="004E7D"/>
              </w:rPr>
              <w:t>Risk</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tcPr>
          <w:p>
            <w:pPr>
              <w:ind w:left="620"/>
              <w:spacing w:after="0"/>
              <w:rPr>
                <w:sz w:val="20"/>
                <w:szCs w:val="20"/>
                <w:color w:val="auto"/>
              </w:rPr>
            </w:pPr>
            <w:r>
              <w:rPr>
                <w:rFonts w:ascii="Arial" w:cs="Arial" w:eastAsia="Arial" w:hAnsi="Arial"/>
                <w:sz w:val="13"/>
                <w:szCs w:val="13"/>
                <w:color w:val="004E7D"/>
              </w:rPr>
              <w:t>Vacation Ownership &amp;</w:t>
            </w:r>
          </w:p>
        </w:tc>
      </w:tr>
      <w:tr>
        <w:trPr>
          <w:trHeight w:val="189"/>
        </w:trPr>
        <w:tc>
          <w:tcPr>
            <w:tcW w:w="1800" w:type="dxa"/>
            <w:vAlign w:val="bottom"/>
          </w:tcPr>
          <w:p>
            <w:pPr>
              <w:spacing w:after="0"/>
              <w:rPr>
                <w:sz w:val="20"/>
                <w:szCs w:val="20"/>
                <w:color w:val="auto"/>
              </w:rPr>
            </w:pPr>
            <w:r>
              <w:rPr>
                <w:rFonts w:ascii="Arial" w:cs="Arial" w:eastAsia="Arial" w:hAnsi="Arial"/>
                <w:sz w:val="13"/>
                <w:szCs w:val="13"/>
                <w:color w:val="004E7D"/>
              </w:rPr>
              <w:t>Service &amp; Governance</w:t>
            </w:r>
          </w:p>
        </w:tc>
        <w:tc>
          <w:tcPr>
            <w:tcW w:w="2260" w:type="dxa"/>
            <w:vAlign w:val="bottom"/>
          </w:tcPr>
          <w:p>
            <w:pPr>
              <w:ind w:left="540"/>
              <w:spacing w:after="0"/>
              <w:rPr>
                <w:sz w:val="20"/>
                <w:szCs w:val="20"/>
                <w:color w:val="auto"/>
              </w:rPr>
            </w:pPr>
            <w:r>
              <w:rPr>
                <w:rFonts w:ascii="Arial" w:cs="Arial" w:eastAsia="Arial" w:hAnsi="Arial"/>
                <w:sz w:val="13"/>
                <w:szCs w:val="13"/>
                <w:color w:val="004E7D"/>
              </w:rPr>
              <w:t>Management</w:t>
            </w:r>
          </w:p>
        </w:tc>
        <w:tc>
          <w:tcPr>
            <w:tcW w:w="2100" w:type="dxa"/>
            <w:vAlign w:val="bottom"/>
          </w:tcPr>
          <w:p>
            <w:pPr>
              <w:ind w:left="420"/>
              <w:spacing w:after="0"/>
              <w:rPr>
                <w:sz w:val="20"/>
                <w:szCs w:val="20"/>
                <w:color w:val="auto"/>
              </w:rPr>
            </w:pPr>
            <w:r>
              <w:rPr>
                <w:rFonts w:ascii="Arial" w:cs="Arial" w:eastAsia="Arial" w:hAnsi="Arial"/>
                <w:sz w:val="13"/>
                <w:szCs w:val="13"/>
                <w:color w:val="004E7D"/>
              </w:rPr>
              <w:t>Strategic Planning</w:t>
            </w:r>
          </w:p>
        </w:tc>
        <w:tc>
          <w:tcPr>
            <w:tcW w:w="1800" w:type="dxa"/>
            <w:vAlign w:val="bottom"/>
          </w:tcPr>
          <w:p>
            <w:pPr>
              <w:ind w:left="100"/>
              <w:spacing w:after="0"/>
              <w:rPr>
                <w:sz w:val="20"/>
                <w:szCs w:val="20"/>
                <w:color w:val="auto"/>
              </w:rPr>
            </w:pPr>
            <w:r>
              <w:rPr>
                <w:rFonts w:ascii="Arial" w:cs="Arial" w:eastAsia="Arial" w:hAnsi="Arial"/>
                <w:sz w:val="13"/>
                <w:szCs w:val="13"/>
                <w:color w:val="004E7D"/>
              </w:rPr>
              <w:t>Global Expertise</w:t>
            </w:r>
          </w:p>
        </w:tc>
        <w:tc>
          <w:tcPr>
            <w:tcW w:w="2200" w:type="dxa"/>
            <w:vAlign w:val="bottom"/>
          </w:tcPr>
          <w:p>
            <w:pPr>
              <w:ind w:left="620"/>
              <w:spacing w:after="0"/>
              <w:rPr>
                <w:sz w:val="20"/>
                <w:szCs w:val="20"/>
                <w:color w:val="auto"/>
              </w:rPr>
            </w:pPr>
            <w:r>
              <w:rPr>
                <w:rFonts w:ascii="Arial" w:cs="Arial" w:eastAsia="Arial" w:hAnsi="Arial"/>
                <w:sz w:val="13"/>
                <w:szCs w:val="13"/>
                <w:color w:val="004E7D"/>
              </w:rPr>
              <w:t>Lodging Industry</w:t>
            </w:r>
          </w:p>
        </w:tc>
      </w:tr>
      <w:tr>
        <w:trPr>
          <w:trHeight w:val="325"/>
        </w:trPr>
        <w:tc>
          <w:tcPr>
            <w:tcW w:w="1800" w:type="dxa"/>
            <w:vAlign w:val="bottom"/>
          </w:tcPr>
          <w:p>
            <w:pPr>
              <w:spacing w:after="0"/>
              <w:rPr>
                <w:sz w:val="20"/>
                <w:szCs w:val="20"/>
                <w:color w:val="auto"/>
              </w:rPr>
            </w:pPr>
            <w:r>
              <w:rPr>
                <w:rFonts w:ascii="Arial" w:cs="Arial" w:eastAsia="Arial" w:hAnsi="Arial"/>
                <w:sz w:val="13"/>
                <w:szCs w:val="13"/>
                <w:color w:val="004E7D"/>
              </w:rPr>
              <w:t>Legal, Regulatory &amp;</w:t>
            </w:r>
          </w:p>
        </w:tc>
        <w:tc>
          <w:tcPr>
            <w:tcW w:w="2260" w:type="dxa"/>
            <w:vAlign w:val="bottom"/>
          </w:tcPr>
          <w:p>
            <w:pPr>
              <w:ind w:left="540"/>
              <w:spacing w:after="0"/>
              <w:rPr>
                <w:sz w:val="20"/>
                <w:szCs w:val="20"/>
                <w:color w:val="auto"/>
              </w:rPr>
            </w:pPr>
            <w:r>
              <w:rPr>
                <w:rFonts w:ascii="Arial" w:cs="Arial" w:eastAsia="Arial" w:hAnsi="Arial"/>
                <w:sz w:val="13"/>
                <w:szCs w:val="13"/>
                <w:color w:val="004E7D"/>
              </w:rPr>
              <w:t>Real Estate &amp; Business</w:t>
            </w:r>
          </w:p>
        </w:tc>
        <w:tc>
          <w:tcPr>
            <w:tcW w:w="2100" w:type="dxa"/>
            <w:vAlign w:val="bottom"/>
          </w:tcPr>
          <w:p>
            <w:pPr>
              <w:ind w:left="420"/>
              <w:spacing w:after="0"/>
              <w:rPr>
                <w:sz w:val="20"/>
                <w:szCs w:val="20"/>
                <w:color w:val="auto"/>
              </w:rPr>
            </w:pPr>
            <w:r>
              <w:rPr>
                <w:rFonts w:ascii="Arial" w:cs="Arial" w:eastAsia="Arial" w:hAnsi="Arial"/>
                <w:sz w:val="13"/>
                <w:szCs w:val="13"/>
                <w:color w:val="004E7D"/>
              </w:rPr>
              <w:t>Human Capital, Professional</w:t>
            </w:r>
          </w:p>
        </w:tc>
        <w:tc>
          <w:tcPr>
            <w:tcW w:w="1800" w:type="dxa"/>
            <w:vAlign w:val="bottom"/>
          </w:tcPr>
          <w:p>
            <w:pPr>
              <w:spacing w:after="0"/>
              <w:rPr>
                <w:sz w:val="24"/>
                <w:szCs w:val="24"/>
                <w:color w:val="auto"/>
              </w:rPr>
            </w:pPr>
          </w:p>
        </w:tc>
        <w:tc>
          <w:tcPr>
            <w:tcW w:w="2200" w:type="dxa"/>
            <w:vAlign w:val="bottom"/>
          </w:tcPr>
          <w:p>
            <w:pPr>
              <w:ind w:left="620"/>
              <w:spacing w:after="0"/>
              <w:rPr>
                <w:sz w:val="20"/>
                <w:szCs w:val="20"/>
                <w:color w:val="auto"/>
              </w:rPr>
            </w:pPr>
            <w:r>
              <w:rPr>
                <w:rFonts w:ascii="Arial" w:cs="Arial" w:eastAsia="Arial" w:hAnsi="Arial"/>
                <w:sz w:val="13"/>
                <w:szCs w:val="13"/>
                <w:color w:val="004E7D"/>
                <w:w w:val="93"/>
              </w:rPr>
              <w:t>Technology &amp; Cybersecurity/</w:t>
            </w:r>
          </w:p>
        </w:tc>
      </w:tr>
      <w:tr>
        <w:trPr>
          <w:trHeight w:val="166"/>
        </w:trPr>
        <w:tc>
          <w:tcPr>
            <w:tcW w:w="1800" w:type="dxa"/>
            <w:vAlign w:val="bottom"/>
          </w:tcPr>
          <w:p>
            <w:pPr>
              <w:spacing w:after="0"/>
              <w:rPr>
                <w:sz w:val="20"/>
                <w:szCs w:val="20"/>
                <w:color w:val="auto"/>
              </w:rPr>
            </w:pPr>
            <w:r>
              <w:rPr>
                <w:rFonts w:ascii="Arial" w:cs="Arial" w:eastAsia="Arial" w:hAnsi="Arial"/>
                <w:sz w:val="13"/>
                <w:szCs w:val="13"/>
                <w:color w:val="004E7D"/>
              </w:rPr>
              <w:t>Government Relations</w:t>
            </w:r>
          </w:p>
        </w:tc>
        <w:tc>
          <w:tcPr>
            <w:tcW w:w="2260" w:type="dxa"/>
            <w:vAlign w:val="bottom"/>
          </w:tcPr>
          <w:p>
            <w:pPr>
              <w:ind w:left="540"/>
              <w:spacing w:after="0"/>
              <w:rPr>
                <w:sz w:val="20"/>
                <w:szCs w:val="20"/>
                <w:color w:val="auto"/>
              </w:rPr>
            </w:pPr>
            <w:r>
              <w:rPr>
                <w:rFonts w:ascii="Arial" w:cs="Arial" w:eastAsia="Arial" w:hAnsi="Arial"/>
                <w:sz w:val="13"/>
                <w:szCs w:val="13"/>
                <w:color w:val="004E7D"/>
              </w:rPr>
              <w:t>Development</w:t>
            </w:r>
          </w:p>
        </w:tc>
        <w:tc>
          <w:tcPr>
            <w:tcW w:w="3900" w:type="dxa"/>
            <w:vAlign w:val="bottom"/>
            <w:gridSpan w:val="2"/>
          </w:tcPr>
          <w:p>
            <w:pPr>
              <w:ind w:left="420"/>
              <w:spacing w:after="0"/>
              <w:rPr>
                <w:sz w:val="20"/>
                <w:szCs w:val="20"/>
                <w:color w:val="auto"/>
              </w:rPr>
            </w:pPr>
            <w:r>
              <w:rPr>
                <w:rFonts w:ascii="Arial" w:cs="Arial" w:eastAsia="Arial" w:hAnsi="Arial"/>
                <w:sz w:val="13"/>
                <w:szCs w:val="13"/>
                <w:color w:val="004E7D"/>
              </w:rPr>
              <w:t>Development &amp; Organizational Culture</w:t>
            </w:r>
          </w:p>
        </w:tc>
        <w:tc>
          <w:tcPr>
            <w:tcW w:w="2200" w:type="dxa"/>
            <w:vAlign w:val="bottom"/>
          </w:tcPr>
          <w:p>
            <w:pPr>
              <w:ind w:left="620"/>
              <w:spacing w:after="0"/>
              <w:rPr>
                <w:sz w:val="20"/>
                <w:szCs w:val="20"/>
                <w:color w:val="auto"/>
              </w:rPr>
            </w:pPr>
            <w:r>
              <w:rPr>
                <w:rFonts w:ascii="Arial" w:cs="Arial" w:eastAsia="Arial" w:hAnsi="Arial"/>
                <w:sz w:val="13"/>
                <w:szCs w:val="13"/>
                <w:color w:val="004E7D"/>
              </w:rPr>
              <w:t>Digital &amp; Social Media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-558800</wp:posOffset>
            </wp:positionV>
            <wp:extent cx="14605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-524510</wp:posOffset>
            </wp:positionV>
            <wp:extent cx="137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-558800</wp:posOffset>
            </wp:positionV>
            <wp:extent cx="1371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-558800</wp:posOffset>
            </wp:positionV>
            <wp:extent cx="14605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-524510</wp:posOffset>
            </wp:positionV>
            <wp:extent cx="1289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-241935</wp:posOffset>
            </wp:positionV>
            <wp:extent cx="1371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-207645</wp:posOffset>
            </wp:positionV>
            <wp:extent cx="1371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-241935</wp:posOffset>
            </wp:positionV>
            <wp:extent cx="1371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-207645</wp:posOffset>
            </wp:positionV>
            <wp:extent cx="1371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13</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Directors Remaining in Office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Name</w:t>
            </w:r>
          </w:p>
        </w:tc>
        <w:tc>
          <w:tcPr>
            <w:tcW w:w="8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004E7D"/>
              </w:rPr>
              <w:t>Age</w:t>
            </w:r>
          </w:p>
        </w:tc>
        <w:tc>
          <w:tcPr>
            <w:tcW w:w="4200" w:type="dxa"/>
            <w:vAlign w:val="bottom"/>
            <w:vMerge w:val="restart"/>
          </w:tcPr>
          <w:p>
            <w:pPr>
              <w:ind w:left="200"/>
              <w:spacing w:after="0"/>
              <w:rPr>
                <w:sz w:val="20"/>
                <w:szCs w:val="20"/>
                <w:color w:val="auto"/>
              </w:rPr>
            </w:pPr>
            <w:r>
              <w:rPr>
                <w:rFonts w:ascii="Arial" w:cs="Arial" w:eastAsia="Arial" w:hAnsi="Arial"/>
                <w:sz w:val="14"/>
                <w:szCs w:val="14"/>
                <w:b w:val="1"/>
                <w:bCs w:val="1"/>
                <w:color w:val="004E7D"/>
              </w:rPr>
              <w:t>Position(s) Held in Company</w:t>
            </w:r>
          </w:p>
        </w:tc>
        <w:tc>
          <w:tcPr>
            <w:tcW w:w="1420" w:type="dxa"/>
            <w:vAlign w:val="bottom"/>
          </w:tcPr>
          <w:p>
            <w:pPr>
              <w:jc w:val="center"/>
              <w:ind w:left="261"/>
              <w:spacing w:after="0"/>
              <w:rPr>
                <w:sz w:val="20"/>
                <w:szCs w:val="20"/>
                <w:color w:val="auto"/>
              </w:rPr>
            </w:pPr>
            <w:r>
              <w:rPr>
                <w:rFonts w:ascii="Arial" w:cs="Arial" w:eastAsia="Arial" w:hAnsi="Arial"/>
                <w:sz w:val="14"/>
                <w:szCs w:val="14"/>
                <w:b w:val="1"/>
                <w:bCs w:val="1"/>
                <w:color w:val="004E7D"/>
              </w:rPr>
              <w:t>Director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4E7D"/>
              </w:rPr>
              <w:t>Term to</w:t>
            </w:r>
          </w:p>
        </w:tc>
        <w:tc>
          <w:tcPr>
            <w:tcW w:w="1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004E7D"/>
              </w:rPr>
              <w:t>Independent</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004987"/>
            </w:tcBorders>
            <w:vMerge w:val="continue"/>
          </w:tcPr>
          <w:p>
            <w:pPr>
              <w:spacing w:after="0"/>
              <w:rPr>
                <w:sz w:val="16"/>
                <w:szCs w:val="16"/>
                <w:color w:val="auto"/>
              </w:rPr>
            </w:pPr>
          </w:p>
        </w:tc>
        <w:tc>
          <w:tcPr>
            <w:tcW w:w="820" w:type="dxa"/>
            <w:vAlign w:val="bottom"/>
            <w:tcBorders>
              <w:bottom w:val="single" w:sz="8" w:color="004987"/>
            </w:tcBorders>
            <w:vMerge w:val="continue"/>
          </w:tcPr>
          <w:p>
            <w:pPr>
              <w:spacing w:after="0"/>
              <w:rPr>
                <w:sz w:val="16"/>
                <w:szCs w:val="16"/>
                <w:color w:val="auto"/>
              </w:rPr>
            </w:pPr>
          </w:p>
        </w:tc>
        <w:tc>
          <w:tcPr>
            <w:tcW w:w="4200" w:type="dxa"/>
            <w:vAlign w:val="bottom"/>
            <w:tcBorders>
              <w:bottom w:val="single" w:sz="8" w:color="004987"/>
            </w:tcBorders>
            <w:vMerge w:val="continue"/>
          </w:tcPr>
          <w:p>
            <w:pPr>
              <w:spacing w:after="0"/>
              <w:rPr>
                <w:sz w:val="16"/>
                <w:szCs w:val="16"/>
                <w:color w:val="auto"/>
              </w:rPr>
            </w:pPr>
          </w:p>
        </w:tc>
        <w:tc>
          <w:tcPr>
            <w:tcW w:w="1420" w:type="dxa"/>
            <w:vAlign w:val="bottom"/>
            <w:tcBorders>
              <w:bottom w:val="single" w:sz="8" w:color="004987"/>
            </w:tcBorders>
          </w:tcPr>
          <w:p>
            <w:pPr>
              <w:jc w:val="center"/>
              <w:ind w:left="261"/>
              <w:spacing w:after="0"/>
              <w:rPr>
                <w:sz w:val="20"/>
                <w:szCs w:val="20"/>
                <w:color w:val="auto"/>
              </w:rPr>
            </w:pPr>
            <w:r>
              <w:rPr>
                <w:rFonts w:ascii="Arial" w:cs="Arial" w:eastAsia="Arial" w:hAnsi="Arial"/>
                <w:sz w:val="14"/>
                <w:szCs w:val="14"/>
                <w:b w:val="1"/>
                <w:bCs w:val="1"/>
                <w:color w:val="004E7D"/>
              </w:rPr>
              <w:t>Since</w:t>
            </w:r>
          </w:p>
        </w:tc>
        <w:tc>
          <w:tcPr>
            <w:tcW w:w="11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Expire</w:t>
            </w:r>
          </w:p>
        </w:tc>
        <w:tc>
          <w:tcPr>
            <w:tcW w:w="1620" w:type="dxa"/>
            <w:vAlign w:val="bottom"/>
            <w:tcBorders>
              <w:bottom w:val="single" w:sz="8" w:color="00498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Lizanne Galbreath</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65</w:t>
            </w:r>
          </w:p>
        </w:tc>
        <w:tc>
          <w:tcPr>
            <w:tcW w:w="4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Director</w:t>
            </w:r>
          </w:p>
        </w:tc>
        <w:tc>
          <w:tcPr>
            <w:tcW w:w="14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2018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16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Melquiades R. Martinez</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76</w:t>
            </w:r>
          </w:p>
        </w:tc>
        <w:tc>
          <w:tcPr>
            <w:tcW w:w="4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Director</w:t>
            </w:r>
          </w:p>
        </w:tc>
        <w:tc>
          <w:tcPr>
            <w:tcW w:w="14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2011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16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Stephen R. Quazzo</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63</w:t>
            </w:r>
          </w:p>
        </w:tc>
        <w:tc>
          <w:tcPr>
            <w:tcW w:w="4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Director</w:t>
            </w:r>
          </w:p>
        </w:tc>
        <w:tc>
          <w:tcPr>
            <w:tcW w:w="14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2018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16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Raymond L. Gellein, Jr.</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75</w:t>
            </w:r>
          </w:p>
        </w:tc>
        <w:tc>
          <w:tcPr>
            <w:tcW w:w="4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Director</w:t>
            </w:r>
          </w:p>
        </w:tc>
        <w:tc>
          <w:tcPr>
            <w:tcW w:w="14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2011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16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John E. Geller, Jr.</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w:t>
            </w:r>
          </w:p>
        </w:tc>
        <w:tc>
          <w:tcPr>
            <w:tcW w:w="4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Director, President and Chief Executive Officer</w:t>
            </w:r>
          </w:p>
        </w:tc>
        <w:tc>
          <w:tcPr>
            <w:tcW w:w="14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2023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16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7"/>
              </w:rPr>
              <w:t>No</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Dianna F. Morgan</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71</w:t>
            </w:r>
          </w:p>
        </w:tc>
        <w:tc>
          <w:tcPr>
            <w:tcW w:w="4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Director</w:t>
            </w:r>
          </w:p>
        </w:tc>
        <w:tc>
          <w:tcPr>
            <w:tcW w:w="14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2013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16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217"/>
        </w:trPr>
        <w:tc>
          <w:tcPr>
            <w:tcW w:w="2060" w:type="dxa"/>
            <w:vAlign w:val="bottom"/>
            <w:tcBorders>
              <w:bottom w:val="single" w:sz="8" w:color="005285"/>
            </w:tcBorders>
          </w:tcPr>
          <w:p>
            <w:pPr>
              <w:ind w:left="20"/>
              <w:spacing w:after="0"/>
              <w:rPr>
                <w:sz w:val="20"/>
                <w:szCs w:val="20"/>
                <w:color w:val="auto"/>
              </w:rPr>
            </w:pPr>
            <w:r>
              <w:rPr>
                <w:rFonts w:ascii="Arial" w:cs="Arial" w:eastAsia="Arial" w:hAnsi="Arial"/>
                <w:sz w:val="16"/>
                <w:szCs w:val="16"/>
                <w:color w:val="auto"/>
              </w:rPr>
              <w:t>Jonice Gray Tucker</w:t>
            </w:r>
          </w:p>
        </w:tc>
        <w:tc>
          <w:tcPr>
            <w:tcW w:w="820" w:type="dxa"/>
            <w:vAlign w:val="bottom"/>
            <w:tcBorders>
              <w:bottom w:val="single" w:sz="8" w:color="005285"/>
            </w:tcBorders>
          </w:tcPr>
          <w:p>
            <w:pPr>
              <w:jc w:val="right"/>
              <w:ind w:right="100"/>
              <w:spacing w:after="0"/>
              <w:rPr>
                <w:sz w:val="20"/>
                <w:szCs w:val="20"/>
                <w:color w:val="auto"/>
              </w:rPr>
            </w:pPr>
            <w:r>
              <w:rPr>
                <w:rFonts w:ascii="Arial" w:cs="Arial" w:eastAsia="Arial" w:hAnsi="Arial"/>
                <w:sz w:val="16"/>
                <w:szCs w:val="16"/>
                <w:color w:val="auto"/>
              </w:rPr>
              <w:t>47</w:t>
            </w:r>
          </w:p>
        </w:tc>
        <w:tc>
          <w:tcPr>
            <w:tcW w:w="4200" w:type="dxa"/>
            <w:vAlign w:val="bottom"/>
            <w:tcBorders>
              <w:bottom w:val="single" w:sz="8" w:color="005285"/>
            </w:tcBorders>
          </w:tcPr>
          <w:p>
            <w:pPr>
              <w:ind w:left="260"/>
              <w:spacing w:after="0"/>
              <w:rPr>
                <w:sz w:val="20"/>
                <w:szCs w:val="20"/>
                <w:color w:val="auto"/>
              </w:rPr>
            </w:pPr>
            <w:r>
              <w:rPr>
                <w:rFonts w:ascii="Arial" w:cs="Arial" w:eastAsia="Arial" w:hAnsi="Arial"/>
                <w:sz w:val="16"/>
                <w:szCs w:val="16"/>
                <w:color w:val="auto"/>
              </w:rPr>
              <w:t>Director</w:t>
            </w:r>
          </w:p>
        </w:tc>
        <w:tc>
          <w:tcPr>
            <w:tcW w:w="1420" w:type="dxa"/>
            <w:vAlign w:val="bottom"/>
            <w:tcBorders>
              <w:bottom w:val="single" w:sz="8" w:color="005285"/>
            </w:tcBorders>
          </w:tcPr>
          <w:p>
            <w:pPr>
              <w:jc w:val="center"/>
              <w:ind w:left="261"/>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005285"/>
            </w:tcBorders>
          </w:tcPr>
          <w:p>
            <w:pPr>
              <w:jc w:val="center"/>
              <w:spacing w:after="0"/>
              <w:rPr>
                <w:sz w:val="20"/>
                <w:szCs w:val="20"/>
                <w:color w:val="auto"/>
              </w:rPr>
            </w:pPr>
            <w:r>
              <w:rPr>
                <w:rFonts w:ascii="Arial" w:cs="Arial" w:eastAsia="Arial" w:hAnsi="Arial"/>
                <w:sz w:val="16"/>
                <w:szCs w:val="16"/>
                <w:color w:val="auto"/>
              </w:rPr>
              <w:t>2025</w:t>
            </w:r>
          </w:p>
        </w:tc>
        <w:tc>
          <w:tcPr>
            <w:tcW w:w="1620" w:type="dxa"/>
            <w:vAlign w:val="bottom"/>
            <w:tcBorders>
              <w:bottom w:val="single" w:sz="8" w:color="005285"/>
            </w:tcBorders>
          </w:tcPr>
          <w:p>
            <w:pPr>
              <w:jc w:val="center"/>
              <w:ind w:right="4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4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LIZANNE GALBREATH</w:t>
            </w:r>
          </w:p>
        </w:tc>
        <w:tc>
          <w:tcPr>
            <w:tcW w:w="7400" w:type="dxa"/>
            <w:vAlign w:val="bottom"/>
            <w:tcBorders>
              <w:top w:val="single" w:sz="8" w:color="004987"/>
            </w:tcBorders>
          </w:tcPr>
          <w:p>
            <w:pPr>
              <w:spacing w:after="0"/>
              <w:rPr>
                <w:sz w:val="20"/>
                <w:szCs w:val="20"/>
                <w:color w:val="auto"/>
              </w:rPr>
            </w:pPr>
          </w:p>
        </w:tc>
      </w:tr>
      <w:tr>
        <w:trPr>
          <w:trHeight w:val="236"/>
        </w:trPr>
        <w:tc>
          <w:tcPr>
            <w:tcW w:w="3840" w:type="dxa"/>
            <w:vAlign w:val="bottom"/>
          </w:tcPr>
          <w:p>
            <w:pPr>
              <w:ind w:left="20"/>
              <w:spacing w:after="0"/>
              <w:rPr>
                <w:sz w:val="20"/>
                <w:szCs w:val="20"/>
                <w:color w:val="auto"/>
              </w:rPr>
            </w:pPr>
            <w:r>
              <w:rPr>
                <w:rFonts w:ascii="Arial" w:cs="Arial" w:eastAsia="Arial" w:hAnsi="Arial"/>
                <w:sz w:val="16"/>
                <w:szCs w:val="16"/>
                <w:color w:val="auto"/>
              </w:rPr>
              <w:t>Age: 65</w:t>
            </w:r>
          </w:p>
        </w:tc>
        <w:tc>
          <w:tcPr>
            <w:tcW w:w="7400" w:type="dxa"/>
            <w:vAlign w:val="bottom"/>
          </w:tcPr>
          <w:p>
            <w:pPr>
              <w:ind w:left="2040"/>
              <w:spacing w:after="0"/>
              <w:rPr>
                <w:sz w:val="20"/>
                <w:szCs w:val="20"/>
                <w:color w:val="auto"/>
              </w:rPr>
            </w:pPr>
            <w:r>
              <w:rPr>
                <w:rFonts w:ascii="Arial" w:cs="Arial" w:eastAsia="Arial" w:hAnsi="Arial"/>
                <w:sz w:val="16"/>
                <w:szCs w:val="16"/>
                <w:color w:val="auto"/>
              </w:rPr>
              <w:t>Committees:</w:t>
            </w:r>
          </w:p>
        </w:tc>
      </w:tr>
      <w:tr>
        <w:trPr>
          <w:trHeight w:val="162"/>
        </w:trPr>
        <w:tc>
          <w:tcPr>
            <w:tcW w:w="384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2018</w:t>
            </w:r>
          </w:p>
        </w:tc>
        <w:tc>
          <w:tcPr>
            <w:tcW w:w="7400" w:type="dxa"/>
            <w:vAlign w:val="bottom"/>
          </w:tcPr>
          <w:p>
            <w:pPr>
              <w:ind w:left="2040"/>
              <w:spacing w:after="0" w:line="162"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Compensation Policy</w:t>
            </w:r>
          </w:p>
        </w:tc>
      </w:tr>
      <w:tr>
        <w:trPr>
          <w:trHeight w:val="227"/>
        </w:trPr>
        <w:tc>
          <w:tcPr>
            <w:tcW w:w="384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400" w:type="dxa"/>
            <w:vAlign w:val="bottom"/>
          </w:tcPr>
          <w:p>
            <w:pPr>
              <w:ind w:left="204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Nominating and Corporate Governance</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Ms. Galbreath has been the Managing Partner of Galbreath &amp; Company, a real estate investment firm, since 1999. From April 1997 to 1999, she was Managing Director of LaSalle Partners/Jones Lang LaSalle, a real estate services and investment management firm, where she also served as a director. From 1984 to 1997, Ms. Galbreath served in a variety of leadership positions including as Managing Director, Chairman and Chief Executive Officer of The Galbreath Company, the predecessor of Galbreath &amp; Company. Ms. Galbreath was a director of Paramount Group, Inc., a publicly traded REIT, from 2014 to 2020. She was also a director of Starwood Hotels &amp; Resorts Worldwide, Inc. (“Starwood”), a publicly traded hotel and leisure company, from 2005 to September 2016. She served as a director of ILG, Inc. (“ILG”), a publicly traded vacation ownership company, from May 2016 through August 2018, prior to the Company’s acquisition of ILG.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Ms. Galbreath provides the Board with the benefit of her senior leadership experience as managing partner of Galbreath &amp; Company. The Board also benefits from her real estate investment, development and strategy experience, and management and corporate governance experience, having served as a member of the boards of directors and committees of the boards of directors of other publicly traded companies.</w:t>
      </w:r>
    </w:p>
    <w:p>
      <w:pPr>
        <w:spacing w:after="0" w:line="105"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620" w:type="dxa"/>
            <w:vAlign w:val="bottom"/>
          </w:tcPr>
          <w:p>
            <w:pPr>
              <w:spacing w:after="0"/>
              <w:rPr>
                <w:sz w:val="20"/>
                <w:szCs w:val="20"/>
                <w:color w:val="auto"/>
              </w:rPr>
            </w:pPr>
            <w:r>
              <w:rPr>
                <w:rFonts w:ascii="Arial" w:cs="Arial" w:eastAsia="Arial" w:hAnsi="Arial"/>
                <w:sz w:val="13"/>
                <w:szCs w:val="13"/>
                <w:color w:val="004E7D"/>
              </w:rPr>
              <w:t>Corporate</w:t>
            </w:r>
          </w:p>
        </w:tc>
        <w:tc>
          <w:tcPr>
            <w:tcW w:w="2180" w:type="dxa"/>
            <w:vAlign w:val="bottom"/>
            <w:vMerge w:val="restart"/>
          </w:tcPr>
          <w:p>
            <w:pPr>
              <w:ind w:left="480"/>
              <w:spacing w:after="0"/>
              <w:rPr>
                <w:sz w:val="20"/>
                <w:szCs w:val="20"/>
                <w:color w:val="auto"/>
              </w:rPr>
            </w:pPr>
            <w:r>
              <w:rPr>
                <w:rFonts w:ascii="Arial" w:cs="Arial" w:eastAsia="Arial" w:hAnsi="Arial"/>
                <w:sz w:val="13"/>
                <w:szCs w:val="13"/>
                <w:color w:val="004E7D"/>
              </w:rPr>
              <w:t>Independence</w:t>
            </w:r>
          </w:p>
        </w:tc>
        <w:tc>
          <w:tcPr>
            <w:tcW w:w="1500" w:type="dxa"/>
            <w:vAlign w:val="bottom"/>
            <w:vMerge w:val="restart"/>
          </w:tcPr>
          <w:p>
            <w:pPr>
              <w:ind w:left="400"/>
              <w:spacing w:after="0"/>
              <w:rPr>
                <w:sz w:val="20"/>
                <w:szCs w:val="20"/>
                <w:color w:val="auto"/>
              </w:rPr>
            </w:pPr>
            <w:r>
              <w:rPr>
                <w:rFonts w:ascii="Arial" w:cs="Arial" w:eastAsia="Arial" w:hAnsi="Arial"/>
                <w:sz w:val="13"/>
                <w:szCs w:val="13"/>
                <w:color w:val="004E7D"/>
              </w:rPr>
              <w:t>Diversity</w:t>
            </w:r>
          </w:p>
        </w:tc>
        <w:tc>
          <w:tcPr>
            <w:tcW w:w="2360" w:type="dxa"/>
            <w:vAlign w:val="bottom"/>
          </w:tcPr>
          <w:p>
            <w:pPr>
              <w:ind w:left="620"/>
              <w:spacing w:after="0"/>
              <w:rPr>
                <w:sz w:val="20"/>
                <w:szCs w:val="20"/>
                <w:color w:val="auto"/>
              </w:rPr>
            </w:pPr>
            <w:r>
              <w:rPr>
                <w:rFonts w:ascii="Arial" w:cs="Arial" w:eastAsia="Arial" w:hAnsi="Arial"/>
                <w:sz w:val="13"/>
                <w:szCs w:val="13"/>
                <w:color w:val="004E7D"/>
              </w:rPr>
              <w:t>Public Company Board</w:t>
            </w:r>
          </w:p>
        </w:tc>
        <w:tc>
          <w:tcPr>
            <w:tcW w:w="1480" w:type="dxa"/>
            <w:vAlign w:val="bottom"/>
            <w:vMerge w:val="restart"/>
          </w:tcPr>
          <w:p>
            <w:pPr>
              <w:ind w:left="460"/>
              <w:spacing w:after="0"/>
              <w:rPr>
                <w:sz w:val="20"/>
                <w:szCs w:val="20"/>
                <w:color w:val="auto"/>
              </w:rPr>
            </w:pPr>
            <w:r>
              <w:rPr>
                <w:rFonts w:ascii="Arial" w:cs="Arial" w:eastAsia="Arial" w:hAnsi="Arial"/>
                <w:sz w:val="13"/>
                <w:szCs w:val="13"/>
                <w:color w:val="004E7D"/>
                <w:w w:val="95"/>
              </w:rPr>
              <w:t>Risk Management</w:t>
            </w:r>
          </w:p>
        </w:tc>
        <w:tc>
          <w:tcPr>
            <w:tcW w:w="0" w:type="dxa"/>
            <w:vAlign w:val="bottom"/>
          </w:tcPr>
          <w:p>
            <w:pPr>
              <w:spacing w:after="0"/>
              <w:rPr>
                <w:sz w:val="1"/>
                <w:szCs w:val="1"/>
                <w:color w:val="auto"/>
              </w:rPr>
            </w:pPr>
          </w:p>
        </w:tc>
      </w:tr>
      <w:tr>
        <w:trPr>
          <w:trHeight w:val="166"/>
        </w:trPr>
        <w:tc>
          <w:tcPr>
            <w:tcW w:w="1620" w:type="dxa"/>
            <w:vAlign w:val="bottom"/>
          </w:tcPr>
          <w:p>
            <w:pPr>
              <w:spacing w:after="0"/>
              <w:rPr>
                <w:sz w:val="20"/>
                <w:szCs w:val="20"/>
                <w:color w:val="auto"/>
              </w:rPr>
            </w:pPr>
            <w:r>
              <w:rPr>
                <w:rFonts w:ascii="Arial" w:cs="Arial" w:eastAsia="Arial" w:hAnsi="Arial"/>
                <w:sz w:val="13"/>
                <w:szCs w:val="13"/>
                <w:color w:val="004E7D"/>
              </w:rPr>
              <w:t>Leadership</w:t>
            </w:r>
          </w:p>
        </w:tc>
        <w:tc>
          <w:tcPr>
            <w:tcW w:w="21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360" w:type="dxa"/>
            <w:vAlign w:val="bottom"/>
          </w:tcPr>
          <w:p>
            <w:pPr>
              <w:ind w:left="620"/>
              <w:spacing w:after="0"/>
              <w:rPr>
                <w:sz w:val="20"/>
                <w:szCs w:val="20"/>
                <w:color w:val="auto"/>
              </w:rPr>
            </w:pPr>
            <w:r>
              <w:rPr>
                <w:rFonts w:ascii="Arial" w:cs="Arial" w:eastAsia="Arial" w:hAnsi="Arial"/>
                <w:sz w:val="13"/>
                <w:szCs w:val="13"/>
                <w:color w:val="004E7D"/>
              </w:rPr>
              <w:t>Service &amp; Governance</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620" w:type="dxa"/>
            <w:vAlign w:val="bottom"/>
          </w:tcPr>
          <w:p>
            <w:pPr>
              <w:spacing w:after="0"/>
              <w:rPr>
                <w:sz w:val="20"/>
                <w:szCs w:val="20"/>
                <w:color w:val="auto"/>
              </w:rPr>
            </w:pPr>
            <w:r>
              <w:rPr>
                <w:rFonts w:ascii="Arial" w:cs="Arial" w:eastAsia="Arial" w:hAnsi="Arial"/>
                <w:sz w:val="13"/>
                <w:szCs w:val="13"/>
                <w:color w:val="004E7D"/>
              </w:rPr>
              <w:t>Vacation Ownership</w:t>
            </w:r>
          </w:p>
        </w:tc>
        <w:tc>
          <w:tcPr>
            <w:tcW w:w="2180" w:type="dxa"/>
            <w:vAlign w:val="bottom"/>
          </w:tcPr>
          <w:p>
            <w:pPr>
              <w:ind w:left="480"/>
              <w:spacing w:after="0"/>
              <w:rPr>
                <w:sz w:val="20"/>
                <w:szCs w:val="20"/>
                <w:color w:val="auto"/>
              </w:rPr>
            </w:pPr>
            <w:r>
              <w:rPr>
                <w:rFonts w:ascii="Arial" w:cs="Arial" w:eastAsia="Arial" w:hAnsi="Arial"/>
                <w:sz w:val="13"/>
                <w:szCs w:val="13"/>
                <w:color w:val="004E7D"/>
              </w:rPr>
              <w:t>Real Estate &amp;</w:t>
            </w:r>
          </w:p>
        </w:tc>
        <w:tc>
          <w:tcPr>
            <w:tcW w:w="3860" w:type="dxa"/>
            <w:vAlign w:val="bottom"/>
            <w:gridSpan w:val="2"/>
            <w:vMerge w:val="restart"/>
          </w:tcPr>
          <w:p>
            <w:pPr>
              <w:ind w:left="400"/>
              <w:spacing w:after="0"/>
              <w:rPr>
                <w:sz w:val="20"/>
                <w:szCs w:val="20"/>
                <w:color w:val="auto"/>
              </w:rPr>
            </w:pPr>
            <w:r>
              <w:rPr>
                <w:rFonts w:ascii="Arial" w:cs="Arial" w:eastAsia="Arial" w:hAnsi="Arial"/>
                <w:sz w:val="13"/>
                <w:szCs w:val="13"/>
                <w:color w:val="004E7D"/>
              </w:rPr>
              <w:t>Business Development / Mergers &amp; Acquisitions</w:t>
            </w:r>
          </w:p>
        </w:tc>
        <w:tc>
          <w:tcPr>
            <w:tcW w:w="1480" w:type="dxa"/>
            <w:vAlign w:val="bottom"/>
            <w:vMerge w:val="restart"/>
          </w:tcPr>
          <w:p>
            <w:pPr>
              <w:ind w:left="460"/>
              <w:spacing w:after="0"/>
              <w:rPr>
                <w:sz w:val="20"/>
                <w:szCs w:val="20"/>
                <w:color w:val="auto"/>
              </w:rPr>
            </w:pPr>
            <w:r>
              <w:rPr>
                <w:rFonts w:ascii="Arial" w:cs="Arial" w:eastAsia="Arial" w:hAnsi="Arial"/>
                <w:sz w:val="13"/>
                <w:szCs w:val="13"/>
                <w:color w:val="004E7D"/>
                <w:w w:val="94"/>
              </w:rPr>
              <w:t>Strategic Planning</w:t>
            </w:r>
          </w:p>
        </w:tc>
        <w:tc>
          <w:tcPr>
            <w:tcW w:w="0" w:type="dxa"/>
            <w:vAlign w:val="bottom"/>
          </w:tcPr>
          <w:p>
            <w:pPr>
              <w:spacing w:after="0"/>
              <w:rPr>
                <w:sz w:val="1"/>
                <w:szCs w:val="1"/>
                <w:color w:val="auto"/>
              </w:rPr>
            </w:pPr>
          </w:p>
        </w:tc>
      </w:tr>
      <w:tr>
        <w:trPr>
          <w:trHeight w:val="108"/>
        </w:trPr>
        <w:tc>
          <w:tcPr>
            <w:tcW w:w="1620" w:type="dxa"/>
            <w:vAlign w:val="bottom"/>
            <w:vMerge w:val="restart"/>
          </w:tcPr>
          <w:p>
            <w:pPr>
              <w:spacing w:after="0"/>
              <w:rPr>
                <w:sz w:val="20"/>
                <w:szCs w:val="20"/>
                <w:color w:val="auto"/>
              </w:rPr>
            </w:pPr>
            <w:r>
              <w:rPr>
                <w:rFonts w:ascii="Arial" w:cs="Arial" w:eastAsia="Arial" w:hAnsi="Arial"/>
                <w:sz w:val="13"/>
                <w:szCs w:val="13"/>
                <w:color w:val="004E7D"/>
              </w:rPr>
              <w:t>&amp; Lodging Industry</w:t>
            </w:r>
          </w:p>
        </w:tc>
        <w:tc>
          <w:tcPr>
            <w:tcW w:w="2180" w:type="dxa"/>
            <w:vAlign w:val="bottom"/>
            <w:vMerge w:val="restart"/>
          </w:tcPr>
          <w:p>
            <w:pPr>
              <w:ind w:left="480"/>
              <w:spacing w:after="0"/>
              <w:rPr>
                <w:sz w:val="20"/>
                <w:szCs w:val="20"/>
                <w:color w:val="auto"/>
              </w:rPr>
            </w:pPr>
            <w:r>
              <w:rPr>
                <w:rFonts w:ascii="Arial" w:cs="Arial" w:eastAsia="Arial" w:hAnsi="Arial"/>
                <w:sz w:val="13"/>
                <w:szCs w:val="13"/>
                <w:color w:val="004E7D"/>
              </w:rPr>
              <w:t>Business Development</w:t>
            </w:r>
          </w:p>
        </w:tc>
        <w:tc>
          <w:tcPr>
            <w:tcW w:w="386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20" w:type="dxa"/>
            <w:vAlign w:val="bottom"/>
            <w:vMerge w:val="continue"/>
          </w:tcPr>
          <w:p>
            <w:pPr>
              <w:spacing w:after="0"/>
              <w:rPr>
                <w:sz w:val="5"/>
                <w:szCs w:val="5"/>
                <w:color w:val="auto"/>
              </w:rPr>
            </w:pPr>
          </w:p>
        </w:tc>
        <w:tc>
          <w:tcPr>
            <w:tcW w:w="218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-464820</wp:posOffset>
            </wp:positionV>
            <wp:extent cx="857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-464820</wp:posOffset>
            </wp:positionV>
            <wp:extent cx="1625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-464820</wp:posOffset>
            </wp:positionV>
            <wp:extent cx="1460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-464820</wp:posOffset>
            </wp:positionV>
            <wp:extent cx="14541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-464820</wp:posOffset>
            </wp:positionV>
            <wp:extent cx="1371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-147320</wp:posOffset>
            </wp:positionV>
            <wp:extent cx="12890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-139065</wp:posOffset>
            </wp:positionV>
            <wp:extent cx="1371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-181610</wp:posOffset>
            </wp:positionV>
            <wp:extent cx="14605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-181610</wp:posOffset>
            </wp:positionV>
            <wp:extent cx="137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JOHN E. GELLER, JR.</w:t>
            </w:r>
          </w:p>
        </w:tc>
        <w:tc>
          <w:tcPr>
            <w:tcW w:w="7440" w:type="dxa"/>
            <w:vAlign w:val="bottom"/>
            <w:tcBorders>
              <w:top w:val="single" w:sz="8" w:color="004987"/>
            </w:tcBorders>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6"/>
                <w:szCs w:val="16"/>
                <w:color w:val="auto"/>
              </w:rPr>
              <w:t>Age: 56</w:t>
            </w:r>
          </w:p>
        </w:tc>
        <w:tc>
          <w:tcPr>
            <w:tcW w:w="744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8"/>
        </w:trPr>
        <w:tc>
          <w:tcPr>
            <w:tcW w:w="3800" w:type="dxa"/>
            <w:vAlign w:val="bottom"/>
          </w:tcPr>
          <w:p>
            <w:pPr>
              <w:ind w:left="20"/>
              <w:spacing w:after="0"/>
              <w:rPr>
                <w:sz w:val="20"/>
                <w:szCs w:val="20"/>
                <w:color w:val="auto"/>
              </w:rPr>
            </w:pPr>
            <w:r>
              <w:rPr>
                <w:rFonts w:ascii="Arial" w:cs="Arial" w:eastAsia="Arial" w:hAnsi="Arial"/>
                <w:sz w:val="16"/>
                <w:szCs w:val="16"/>
                <w:color w:val="auto"/>
              </w:rPr>
              <w:t>Director Since: 2023</w:t>
            </w:r>
          </w:p>
        </w:tc>
        <w:tc>
          <w:tcPr>
            <w:tcW w:w="7440" w:type="dxa"/>
            <w:vAlign w:val="bottom"/>
          </w:tcPr>
          <w:p>
            <w:pPr>
              <w:ind w:left="208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None</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Independent: No</w:t>
            </w:r>
          </w:p>
        </w:tc>
        <w:tc>
          <w:tcPr>
            <w:tcW w:w="744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2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John E. Geller, Jr. has served as our President since October 2021 and as our Chief Executive Officer since January 2023. He previously served as our President and Chief Financial Officer from January 2021 to October 2021. Mr. Geller served as our Executive Vice President and Chief Financial and Administrative Officer from January 2018 to January 2021. He also served as our Executive Vice President and Chief Financial Officer from 2009 to January 2018. Mr. Geller joined Marriott International in 2005 as Senior Vice President and Chief Audit Executive and Information Security Officer. In 2008, he led finance and accounting for Marriott International’s North American Lodging Operation’s West region as Chief Financial Officer. Mr. Geller began his professional career at Arthur Andersen, where he was promoted to audit partner in its real estate and hospitality practice in 2000. During 2002 and 2003, he was an audit partner with Ernst &amp; Young in its real estate and hospitality practice. Mr. Geller served as Chief Financial Officer at AutoStar Realty in 2004.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800" w:type="dxa"/>
            <w:vAlign w:val="bottom"/>
          </w:tcPr>
          <w:p>
            <w:pPr>
              <w:spacing w:after="0"/>
              <w:rPr>
                <w:sz w:val="20"/>
                <w:szCs w:val="20"/>
                <w:color w:val="auto"/>
              </w:rPr>
            </w:pPr>
            <w:r>
              <w:rPr>
                <w:rFonts w:ascii="Arial" w:cs="Arial" w:eastAsia="Arial" w:hAnsi="Arial"/>
                <w:sz w:val="13"/>
                <w:szCs w:val="13"/>
                <w:color w:val="004E7D"/>
              </w:rPr>
              <w:t>Corporate</w:t>
            </w:r>
          </w:p>
        </w:tc>
        <w:tc>
          <w:tcPr>
            <w:tcW w:w="2260" w:type="dxa"/>
            <w:vAlign w:val="bottom"/>
            <w:vMerge w:val="restart"/>
          </w:tcPr>
          <w:p>
            <w:pPr>
              <w:ind w:left="540"/>
              <w:spacing w:after="0"/>
              <w:rPr>
                <w:sz w:val="20"/>
                <w:szCs w:val="20"/>
                <w:color w:val="auto"/>
              </w:rPr>
            </w:pPr>
            <w:r>
              <w:rPr>
                <w:rFonts w:ascii="Arial" w:cs="Arial" w:eastAsia="Arial" w:hAnsi="Arial"/>
                <w:sz w:val="13"/>
                <w:szCs w:val="13"/>
                <w:color w:val="004E7D"/>
              </w:rPr>
              <w:t>Compliance</w:t>
            </w:r>
          </w:p>
        </w:tc>
        <w:tc>
          <w:tcPr>
            <w:tcW w:w="2100" w:type="dxa"/>
            <w:vAlign w:val="bottom"/>
          </w:tcPr>
          <w:p>
            <w:pPr>
              <w:ind w:left="400"/>
              <w:spacing w:after="0"/>
              <w:rPr>
                <w:sz w:val="20"/>
                <w:szCs w:val="20"/>
                <w:color w:val="auto"/>
              </w:rPr>
            </w:pPr>
            <w:r>
              <w:rPr>
                <w:rFonts w:ascii="Arial" w:cs="Arial" w:eastAsia="Arial" w:hAnsi="Arial"/>
                <w:sz w:val="13"/>
                <w:szCs w:val="13"/>
                <w:color w:val="004E7D"/>
              </w:rPr>
              <w:t>Financial &amp;</w:t>
            </w:r>
          </w:p>
        </w:tc>
        <w:tc>
          <w:tcPr>
            <w:tcW w:w="1780" w:type="dxa"/>
            <w:vAlign w:val="bottom"/>
          </w:tcPr>
          <w:p>
            <w:pPr>
              <w:ind w:left="100"/>
              <w:spacing w:after="0"/>
              <w:rPr>
                <w:sz w:val="20"/>
                <w:szCs w:val="20"/>
                <w:color w:val="auto"/>
              </w:rPr>
            </w:pPr>
            <w:r>
              <w:rPr>
                <w:rFonts w:ascii="Arial" w:cs="Arial" w:eastAsia="Arial" w:hAnsi="Arial"/>
                <w:sz w:val="13"/>
                <w:szCs w:val="13"/>
                <w:color w:val="004E7D"/>
              </w:rPr>
              <w:t>Accounting &amp;</w:t>
            </w:r>
          </w:p>
        </w:tc>
        <w:tc>
          <w:tcPr>
            <w:tcW w:w="2180" w:type="dxa"/>
            <w:vAlign w:val="bottom"/>
          </w:tcPr>
          <w:p>
            <w:pPr>
              <w:ind w:left="580"/>
              <w:spacing w:after="0"/>
              <w:rPr>
                <w:sz w:val="20"/>
                <w:szCs w:val="20"/>
                <w:color w:val="auto"/>
              </w:rPr>
            </w:pPr>
            <w:r>
              <w:rPr>
                <w:rFonts w:ascii="Arial" w:cs="Arial" w:eastAsia="Arial" w:hAnsi="Arial"/>
                <w:sz w:val="13"/>
                <w:szCs w:val="13"/>
                <w:color w:val="004E7D"/>
              </w:rPr>
              <w:t>Business Development /</w:t>
            </w:r>
          </w:p>
        </w:tc>
        <w:tc>
          <w:tcPr>
            <w:tcW w:w="0" w:type="dxa"/>
            <w:vAlign w:val="bottom"/>
          </w:tcPr>
          <w:p>
            <w:pPr>
              <w:spacing w:after="0"/>
              <w:rPr>
                <w:sz w:val="1"/>
                <w:szCs w:val="1"/>
                <w:color w:val="auto"/>
              </w:rPr>
            </w:pPr>
          </w:p>
        </w:tc>
      </w:tr>
      <w:tr>
        <w:trPr>
          <w:trHeight w:val="166"/>
        </w:trPr>
        <w:tc>
          <w:tcPr>
            <w:tcW w:w="1800" w:type="dxa"/>
            <w:vAlign w:val="bottom"/>
          </w:tcPr>
          <w:p>
            <w:pPr>
              <w:spacing w:after="0"/>
              <w:rPr>
                <w:sz w:val="20"/>
                <w:szCs w:val="20"/>
                <w:color w:val="auto"/>
              </w:rPr>
            </w:pPr>
            <w:r>
              <w:rPr>
                <w:rFonts w:ascii="Arial" w:cs="Arial" w:eastAsia="Arial" w:hAnsi="Arial"/>
                <w:sz w:val="13"/>
                <w:szCs w:val="13"/>
                <w:color w:val="004E7D"/>
              </w:rPr>
              <w:t>Leadership</w:t>
            </w:r>
          </w:p>
        </w:tc>
        <w:tc>
          <w:tcPr>
            <w:tcW w:w="2260" w:type="dxa"/>
            <w:vAlign w:val="bottom"/>
            <w:vMerge w:val="continue"/>
          </w:tcPr>
          <w:p>
            <w:pPr>
              <w:spacing w:after="0"/>
              <w:rPr>
                <w:sz w:val="14"/>
                <w:szCs w:val="14"/>
                <w:color w:val="auto"/>
              </w:rPr>
            </w:pPr>
          </w:p>
        </w:tc>
        <w:tc>
          <w:tcPr>
            <w:tcW w:w="2100" w:type="dxa"/>
            <w:vAlign w:val="bottom"/>
          </w:tcPr>
          <w:p>
            <w:pPr>
              <w:ind w:left="400"/>
              <w:spacing w:after="0"/>
              <w:rPr>
                <w:sz w:val="20"/>
                <w:szCs w:val="20"/>
                <w:color w:val="auto"/>
              </w:rPr>
            </w:pPr>
            <w:r>
              <w:rPr>
                <w:rFonts w:ascii="Arial" w:cs="Arial" w:eastAsia="Arial" w:hAnsi="Arial"/>
                <w:sz w:val="13"/>
                <w:szCs w:val="13"/>
                <w:color w:val="004E7D"/>
              </w:rPr>
              <w:t>Capital Markets</w:t>
            </w:r>
          </w:p>
        </w:tc>
        <w:tc>
          <w:tcPr>
            <w:tcW w:w="1780" w:type="dxa"/>
            <w:vAlign w:val="bottom"/>
          </w:tcPr>
          <w:p>
            <w:pPr>
              <w:ind w:left="100"/>
              <w:spacing w:after="0"/>
              <w:rPr>
                <w:sz w:val="20"/>
                <w:szCs w:val="20"/>
                <w:color w:val="auto"/>
              </w:rPr>
            </w:pPr>
            <w:r>
              <w:rPr>
                <w:rFonts w:ascii="Arial" w:cs="Arial" w:eastAsia="Arial" w:hAnsi="Arial"/>
                <w:sz w:val="13"/>
                <w:szCs w:val="13"/>
                <w:color w:val="004E7D"/>
              </w:rPr>
              <w:t>Financial Reporting</w:t>
            </w:r>
          </w:p>
        </w:tc>
        <w:tc>
          <w:tcPr>
            <w:tcW w:w="2180" w:type="dxa"/>
            <w:vAlign w:val="bottom"/>
          </w:tcPr>
          <w:p>
            <w:pPr>
              <w:ind w:left="580"/>
              <w:spacing w:after="0"/>
              <w:rPr>
                <w:sz w:val="20"/>
                <w:szCs w:val="20"/>
                <w:color w:val="auto"/>
              </w:rPr>
            </w:pPr>
            <w:r>
              <w:rPr>
                <w:rFonts w:ascii="Arial" w:cs="Arial" w:eastAsia="Arial" w:hAnsi="Arial"/>
                <w:sz w:val="13"/>
                <w:szCs w:val="13"/>
                <w:color w:val="004E7D"/>
              </w:rPr>
              <w:t>Mergers &amp; Acquisitions</w:t>
            </w:r>
          </w:p>
        </w:tc>
        <w:tc>
          <w:tcPr>
            <w:tcW w:w="0" w:type="dxa"/>
            <w:vAlign w:val="bottom"/>
          </w:tcPr>
          <w:p>
            <w:pPr>
              <w:spacing w:after="0"/>
              <w:rPr>
                <w:sz w:val="1"/>
                <w:szCs w:val="1"/>
                <w:color w:val="auto"/>
              </w:rPr>
            </w:pPr>
          </w:p>
        </w:tc>
      </w:tr>
      <w:tr>
        <w:trPr>
          <w:trHeight w:val="293"/>
        </w:trPr>
        <w:tc>
          <w:tcPr>
            <w:tcW w:w="1800" w:type="dxa"/>
            <w:vAlign w:val="bottom"/>
          </w:tcPr>
          <w:p>
            <w:pPr>
              <w:spacing w:after="0"/>
              <w:rPr>
                <w:sz w:val="20"/>
                <w:szCs w:val="20"/>
                <w:color w:val="auto"/>
              </w:rPr>
            </w:pPr>
            <w:r>
              <w:rPr>
                <w:rFonts w:ascii="Arial" w:cs="Arial" w:eastAsia="Arial" w:hAnsi="Arial"/>
                <w:sz w:val="13"/>
                <w:szCs w:val="13"/>
                <w:color w:val="004E7D"/>
              </w:rPr>
              <w:t>Sales &amp; Marketing/</w:t>
            </w:r>
          </w:p>
        </w:tc>
        <w:tc>
          <w:tcPr>
            <w:tcW w:w="2260" w:type="dxa"/>
            <w:vAlign w:val="bottom"/>
          </w:tcPr>
          <w:p>
            <w:pPr>
              <w:ind w:left="540"/>
              <w:spacing w:after="0"/>
              <w:rPr>
                <w:sz w:val="20"/>
                <w:szCs w:val="20"/>
                <w:color w:val="auto"/>
              </w:rPr>
            </w:pPr>
            <w:r>
              <w:rPr>
                <w:rFonts w:ascii="Arial" w:cs="Arial" w:eastAsia="Arial" w:hAnsi="Arial"/>
                <w:sz w:val="13"/>
                <w:szCs w:val="13"/>
                <w:color w:val="004E7D"/>
              </w:rPr>
              <w:t>Risk</w:t>
            </w:r>
          </w:p>
        </w:tc>
        <w:tc>
          <w:tcPr>
            <w:tcW w:w="2100" w:type="dxa"/>
            <w:vAlign w:val="bottom"/>
            <w:vMerge w:val="restart"/>
          </w:tcPr>
          <w:p>
            <w:pPr>
              <w:ind w:left="400"/>
              <w:spacing w:after="0"/>
              <w:rPr>
                <w:sz w:val="20"/>
                <w:szCs w:val="20"/>
                <w:color w:val="auto"/>
              </w:rPr>
            </w:pPr>
            <w:r>
              <w:rPr>
                <w:rFonts w:ascii="Arial" w:cs="Arial" w:eastAsia="Arial" w:hAnsi="Arial"/>
                <w:sz w:val="13"/>
                <w:szCs w:val="13"/>
                <w:color w:val="004E7D"/>
              </w:rPr>
              <w:t>Strategic Planning</w:t>
            </w:r>
          </w:p>
        </w:tc>
        <w:tc>
          <w:tcPr>
            <w:tcW w:w="1780" w:type="dxa"/>
            <w:vAlign w:val="bottom"/>
            <w:vMerge w:val="restart"/>
          </w:tcPr>
          <w:p>
            <w:pPr>
              <w:ind w:left="100"/>
              <w:spacing w:after="0"/>
              <w:rPr>
                <w:sz w:val="20"/>
                <w:szCs w:val="20"/>
                <w:color w:val="auto"/>
              </w:rPr>
            </w:pPr>
            <w:r>
              <w:rPr>
                <w:rFonts w:ascii="Arial" w:cs="Arial" w:eastAsia="Arial" w:hAnsi="Arial"/>
                <w:sz w:val="13"/>
                <w:szCs w:val="13"/>
                <w:color w:val="004E7D"/>
              </w:rPr>
              <w:t>Global Expertise</w:t>
            </w:r>
          </w:p>
        </w:tc>
        <w:tc>
          <w:tcPr>
            <w:tcW w:w="2180" w:type="dxa"/>
            <w:vAlign w:val="bottom"/>
          </w:tcPr>
          <w:p>
            <w:pPr>
              <w:ind w:left="580"/>
              <w:spacing w:after="0"/>
              <w:rPr>
                <w:sz w:val="20"/>
                <w:szCs w:val="20"/>
                <w:color w:val="auto"/>
              </w:rPr>
            </w:pPr>
            <w:r>
              <w:rPr>
                <w:rFonts w:ascii="Arial" w:cs="Arial" w:eastAsia="Arial" w:hAnsi="Arial"/>
                <w:sz w:val="13"/>
                <w:szCs w:val="13"/>
                <w:color w:val="004E7D"/>
              </w:rPr>
              <w:t>Vacation Ownership &amp;</w:t>
            </w:r>
          </w:p>
        </w:tc>
        <w:tc>
          <w:tcPr>
            <w:tcW w:w="0" w:type="dxa"/>
            <w:vAlign w:val="bottom"/>
          </w:tcPr>
          <w:p>
            <w:pPr>
              <w:spacing w:after="0"/>
              <w:rPr>
                <w:sz w:val="1"/>
                <w:szCs w:val="1"/>
                <w:color w:val="auto"/>
              </w:rPr>
            </w:pPr>
          </w:p>
        </w:tc>
      </w:tr>
      <w:tr>
        <w:trPr>
          <w:trHeight w:val="108"/>
        </w:trPr>
        <w:tc>
          <w:tcPr>
            <w:tcW w:w="1800" w:type="dxa"/>
            <w:vAlign w:val="bottom"/>
            <w:vMerge w:val="restart"/>
          </w:tcPr>
          <w:p>
            <w:pPr>
              <w:spacing w:after="0"/>
              <w:rPr>
                <w:sz w:val="20"/>
                <w:szCs w:val="20"/>
                <w:color w:val="auto"/>
              </w:rPr>
            </w:pPr>
            <w:r>
              <w:rPr>
                <w:rFonts w:ascii="Arial" w:cs="Arial" w:eastAsia="Arial" w:hAnsi="Arial"/>
                <w:sz w:val="13"/>
                <w:szCs w:val="13"/>
                <w:color w:val="004E7D"/>
              </w:rPr>
              <w:t>Consumer Insights</w:t>
            </w:r>
          </w:p>
        </w:tc>
        <w:tc>
          <w:tcPr>
            <w:tcW w:w="2260" w:type="dxa"/>
            <w:vAlign w:val="bottom"/>
            <w:vMerge w:val="restart"/>
          </w:tcPr>
          <w:p>
            <w:pPr>
              <w:ind w:left="540"/>
              <w:spacing w:after="0"/>
              <w:rPr>
                <w:sz w:val="20"/>
                <w:szCs w:val="20"/>
                <w:color w:val="auto"/>
              </w:rPr>
            </w:pPr>
            <w:r>
              <w:rPr>
                <w:rFonts w:ascii="Arial" w:cs="Arial" w:eastAsia="Arial" w:hAnsi="Arial"/>
                <w:sz w:val="13"/>
                <w:szCs w:val="13"/>
                <w:color w:val="004E7D"/>
              </w:rPr>
              <w:t>Management</w:t>
            </w:r>
          </w:p>
        </w:tc>
        <w:tc>
          <w:tcPr>
            <w:tcW w:w="210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2180" w:type="dxa"/>
            <w:vAlign w:val="bottom"/>
            <w:vMerge w:val="restart"/>
          </w:tcPr>
          <w:p>
            <w:pPr>
              <w:ind w:left="580"/>
              <w:spacing w:after="0"/>
              <w:rPr>
                <w:sz w:val="20"/>
                <w:szCs w:val="20"/>
                <w:color w:val="auto"/>
              </w:rPr>
            </w:pPr>
            <w:r>
              <w:rPr>
                <w:rFonts w:ascii="Arial" w:cs="Arial" w:eastAsia="Arial" w:hAnsi="Arial"/>
                <w:sz w:val="13"/>
                <w:szCs w:val="13"/>
                <w:color w:val="004E7D"/>
              </w:rPr>
              <w:t>Lodging Industry</w:t>
            </w:r>
          </w:p>
        </w:tc>
        <w:tc>
          <w:tcPr>
            <w:tcW w:w="0" w:type="dxa"/>
            <w:vAlign w:val="bottom"/>
          </w:tcPr>
          <w:p>
            <w:pPr>
              <w:spacing w:after="0"/>
              <w:rPr>
                <w:sz w:val="1"/>
                <w:szCs w:val="1"/>
                <w:color w:val="auto"/>
              </w:rPr>
            </w:pPr>
          </w:p>
        </w:tc>
      </w:tr>
      <w:tr>
        <w:trPr>
          <w:trHeight w:val="58"/>
        </w:trPr>
        <w:tc>
          <w:tcPr>
            <w:tcW w:w="1800" w:type="dxa"/>
            <w:vAlign w:val="bottom"/>
            <w:vMerge w:val="continue"/>
          </w:tcPr>
          <w:p>
            <w:pPr>
              <w:spacing w:after="0"/>
              <w:rPr>
                <w:sz w:val="5"/>
                <w:szCs w:val="5"/>
                <w:color w:val="auto"/>
              </w:rPr>
            </w:pPr>
          </w:p>
        </w:tc>
        <w:tc>
          <w:tcPr>
            <w:tcW w:w="2260" w:type="dxa"/>
            <w:vAlign w:val="bottom"/>
            <w:vMerge w:val="continue"/>
          </w:tcPr>
          <w:p>
            <w:pPr>
              <w:spacing w:after="0"/>
              <w:rPr>
                <w:sz w:val="5"/>
                <w:szCs w:val="5"/>
                <w:color w:val="auto"/>
              </w:rPr>
            </w:pPr>
          </w:p>
        </w:tc>
        <w:tc>
          <w:tcPr>
            <w:tcW w:w="2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800" w:type="dxa"/>
            <w:vAlign w:val="bottom"/>
          </w:tcPr>
          <w:p>
            <w:pPr>
              <w:spacing w:after="0"/>
              <w:rPr>
                <w:sz w:val="20"/>
                <w:szCs w:val="20"/>
                <w:color w:val="auto"/>
              </w:rPr>
            </w:pPr>
            <w:r>
              <w:rPr>
                <w:rFonts w:ascii="Arial" w:cs="Arial" w:eastAsia="Arial" w:hAnsi="Arial"/>
                <w:sz w:val="13"/>
                <w:szCs w:val="13"/>
                <w:color w:val="004E7D"/>
              </w:rPr>
              <w:t>Legal, Regulatory &amp;</w:t>
            </w:r>
          </w:p>
        </w:tc>
        <w:tc>
          <w:tcPr>
            <w:tcW w:w="2260" w:type="dxa"/>
            <w:vAlign w:val="bottom"/>
          </w:tcPr>
          <w:p>
            <w:pPr>
              <w:ind w:left="540"/>
              <w:spacing w:after="0"/>
              <w:rPr>
                <w:sz w:val="20"/>
                <w:szCs w:val="20"/>
                <w:color w:val="auto"/>
              </w:rPr>
            </w:pPr>
            <w:r>
              <w:rPr>
                <w:rFonts w:ascii="Arial" w:cs="Arial" w:eastAsia="Arial" w:hAnsi="Arial"/>
                <w:sz w:val="13"/>
                <w:szCs w:val="13"/>
                <w:color w:val="004E7D"/>
              </w:rPr>
              <w:t>Real Estate &amp; Business</w:t>
            </w:r>
          </w:p>
        </w:tc>
        <w:tc>
          <w:tcPr>
            <w:tcW w:w="2100" w:type="dxa"/>
            <w:vAlign w:val="bottom"/>
            <w:vMerge w:val="restart"/>
          </w:tcPr>
          <w:p>
            <w:pPr>
              <w:ind w:left="400"/>
              <w:spacing w:after="0"/>
              <w:rPr>
                <w:sz w:val="20"/>
                <w:szCs w:val="20"/>
                <w:color w:val="auto"/>
              </w:rPr>
            </w:pPr>
            <w:r>
              <w:rPr>
                <w:rFonts w:ascii="Arial" w:cs="Arial" w:eastAsia="Arial" w:hAnsi="Arial"/>
                <w:sz w:val="13"/>
                <w:szCs w:val="13"/>
                <w:color w:val="004E7D"/>
              </w:rPr>
              <w:t>Human Capital, Professional</w:t>
            </w:r>
          </w:p>
        </w:tc>
        <w:tc>
          <w:tcPr>
            <w:tcW w:w="1780" w:type="dxa"/>
            <w:vAlign w:val="bottom"/>
          </w:tcPr>
          <w:p>
            <w:pPr>
              <w:spacing w:after="0"/>
              <w:rPr>
                <w:sz w:val="24"/>
                <w:szCs w:val="24"/>
                <w:color w:val="auto"/>
              </w:rPr>
            </w:pPr>
          </w:p>
        </w:tc>
        <w:tc>
          <w:tcPr>
            <w:tcW w:w="2180" w:type="dxa"/>
            <w:vAlign w:val="bottom"/>
          </w:tcPr>
          <w:p>
            <w:pPr>
              <w:ind w:left="580"/>
              <w:spacing w:after="0"/>
              <w:rPr>
                <w:sz w:val="20"/>
                <w:szCs w:val="20"/>
                <w:color w:val="auto"/>
              </w:rPr>
            </w:pPr>
            <w:r>
              <w:rPr>
                <w:rFonts w:ascii="Arial" w:cs="Arial" w:eastAsia="Arial" w:hAnsi="Arial"/>
                <w:sz w:val="13"/>
                <w:szCs w:val="13"/>
                <w:color w:val="004E7D"/>
                <w:w w:val="95"/>
              </w:rPr>
              <w:t>Technology &amp; Cybersecurity/</w:t>
            </w:r>
          </w:p>
        </w:tc>
        <w:tc>
          <w:tcPr>
            <w:tcW w:w="0" w:type="dxa"/>
            <w:vAlign w:val="bottom"/>
          </w:tcPr>
          <w:p>
            <w:pPr>
              <w:spacing w:after="0"/>
              <w:rPr>
                <w:sz w:val="1"/>
                <w:szCs w:val="1"/>
                <w:color w:val="auto"/>
              </w:rPr>
            </w:pPr>
          </w:p>
        </w:tc>
      </w:tr>
      <w:tr>
        <w:trPr>
          <w:trHeight w:val="122"/>
        </w:trPr>
        <w:tc>
          <w:tcPr>
            <w:tcW w:w="1800" w:type="dxa"/>
            <w:vAlign w:val="bottom"/>
          </w:tcPr>
          <w:p>
            <w:pPr>
              <w:spacing w:after="0" w:line="122" w:lineRule="exact"/>
              <w:rPr>
                <w:sz w:val="20"/>
                <w:szCs w:val="20"/>
                <w:color w:val="auto"/>
              </w:rPr>
            </w:pPr>
            <w:r>
              <w:rPr>
                <w:rFonts w:ascii="Arial" w:cs="Arial" w:eastAsia="Arial" w:hAnsi="Arial"/>
                <w:sz w:val="13"/>
                <w:szCs w:val="13"/>
                <w:color w:val="004E7D"/>
              </w:rPr>
              <w:t>Government Relations</w:t>
            </w:r>
          </w:p>
        </w:tc>
        <w:tc>
          <w:tcPr>
            <w:tcW w:w="2260" w:type="dxa"/>
            <w:vAlign w:val="bottom"/>
          </w:tcPr>
          <w:p>
            <w:pPr>
              <w:ind w:left="540"/>
              <w:spacing w:after="0" w:line="122" w:lineRule="exact"/>
              <w:rPr>
                <w:sz w:val="20"/>
                <w:szCs w:val="20"/>
                <w:color w:val="auto"/>
              </w:rPr>
            </w:pPr>
            <w:r>
              <w:rPr>
                <w:rFonts w:ascii="Arial" w:cs="Arial" w:eastAsia="Arial" w:hAnsi="Arial"/>
                <w:sz w:val="13"/>
                <w:szCs w:val="13"/>
                <w:color w:val="004E7D"/>
              </w:rPr>
              <w:t>Development</w:t>
            </w:r>
          </w:p>
        </w:tc>
        <w:tc>
          <w:tcPr>
            <w:tcW w:w="210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2180" w:type="dxa"/>
            <w:vAlign w:val="bottom"/>
          </w:tcPr>
          <w:p>
            <w:pPr>
              <w:ind w:left="580"/>
              <w:spacing w:after="0" w:line="122" w:lineRule="exact"/>
              <w:rPr>
                <w:sz w:val="20"/>
                <w:szCs w:val="20"/>
                <w:color w:val="auto"/>
              </w:rPr>
            </w:pPr>
            <w:r>
              <w:rPr>
                <w:rFonts w:ascii="Arial" w:cs="Arial" w:eastAsia="Arial" w:hAnsi="Arial"/>
                <w:sz w:val="13"/>
                <w:szCs w:val="13"/>
                <w:color w:val="004E7D"/>
              </w:rPr>
              <w:t>Digital &amp; Social Media</w:t>
            </w: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80" w:type="dxa"/>
            <w:vAlign w:val="bottom"/>
            <w:gridSpan w:val="2"/>
          </w:tcPr>
          <w:p>
            <w:pPr>
              <w:ind w:left="400"/>
              <w:spacing w:after="0"/>
              <w:rPr>
                <w:sz w:val="20"/>
                <w:szCs w:val="20"/>
                <w:color w:val="auto"/>
              </w:rPr>
            </w:pPr>
            <w:r>
              <w:rPr>
                <w:rFonts w:ascii="Arial" w:cs="Arial" w:eastAsia="Arial" w:hAnsi="Arial"/>
                <w:sz w:val="13"/>
                <w:szCs w:val="13"/>
                <w:color w:val="004E7D"/>
              </w:rPr>
              <w:t>Development &amp; Organizational Culture</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-859155</wp:posOffset>
            </wp:positionV>
            <wp:extent cx="857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-842010</wp:posOffset>
            </wp:positionV>
            <wp:extent cx="18034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34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-859155</wp:posOffset>
            </wp:positionV>
            <wp:extent cx="1625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-859155</wp:posOffset>
            </wp:positionV>
            <wp:extent cx="1371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-859155</wp:posOffset>
            </wp:positionV>
            <wp:extent cx="14541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-567690</wp:posOffset>
            </wp:positionV>
            <wp:extent cx="14605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-533400</wp:posOffset>
            </wp:positionV>
            <wp:extent cx="1371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-567690</wp:posOffset>
            </wp:positionV>
            <wp:extent cx="1371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-567690</wp:posOffset>
            </wp:positionV>
            <wp:extent cx="14605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-533400</wp:posOffset>
            </wp:positionV>
            <wp:extent cx="12890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-259080</wp:posOffset>
            </wp:positionV>
            <wp:extent cx="1371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-224790</wp:posOffset>
            </wp:positionV>
            <wp:extent cx="1371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-259080</wp:posOffset>
            </wp:positionV>
            <wp:extent cx="1371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-224790</wp:posOffset>
            </wp:positionV>
            <wp:extent cx="1371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6"/>
        </w:trPr>
        <w:tc>
          <w:tcPr>
            <w:tcW w:w="404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MELQUIADES R. MARTINEZ</w:t>
            </w:r>
          </w:p>
        </w:tc>
        <w:tc>
          <w:tcPr>
            <w:tcW w:w="7200" w:type="dxa"/>
            <w:vAlign w:val="bottom"/>
            <w:tcBorders>
              <w:top w:val="single" w:sz="8" w:color="004987"/>
            </w:tcBorders>
          </w:tcPr>
          <w:p>
            <w:pPr>
              <w:spacing w:after="0"/>
              <w:rPr>
                <w:sz w:val="20"/>
                <w:szCs w:val="20"/>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Age: 76</w:t>
            </w:r>
          </w:p>
        </w:tc>
        <w:tc>
          <w:tcPr>
            <w:tcW w:w="7200" w:type="dxa"/>
            <w:vAlign w:val="bottom"/>
          </w:tcPr>
          <w:p>
            <w:pPr>
              <w:ind w:left="1840"/>
              <w:spacing w:after="0"/>
              <w:rPr>
                <w:sz w:val="20"/>
                <w:szCs w:val="20"/>
                <w:color w:val="auto"/>
              </w:rPr>
            </w:pPr>
            <w:r>
              <w:rPr>
                <w:rFonts w:ascii="Arial" w:cs="Arial" w:eastAsia="Arial" w:hAnsi="Arial"/>
                <w:sz w:val="16"/>
                <w:szCs w:val="16"/>
                <w:color w:val="auto"/>
              </w:rPr>
              <w:t>Committees:</w:t>
            </w:r>
          </w:p>
        </w:tc>
      </w:tr>
      <w:tr>
        <w:trPr>
          <w:trHeight w:val="175"/>
        </w:trPr>
        <w:tc>
          <w:tcPr>
            <w:tcW w:w="4040" w:type="dxa"/>
            <w:vAlign w:val="bottom"/>
          </w:tcPr>
          <w:p>
            <w:pPr>
              <w:ind w:left="20"/>
              <w:spacing w:after="0" w:line="175" w:lineRule="exact"/>
              <w:rPr>
                <w:sz w:val="20"/>
                <w:szCs w:val="20"/>
                <w:color w:val="auto"/>
              </w:rPr>
            </w:pPr>
            <w:r>
              <w:rPr>
                <w:rFonts w:ascii="Arial" w:cs="Arial" w:eastAsia="Arial" w:hAnsi="Arial"/>
                <w:sz w:val="16"/>
                <w:szCs w:val="16"/>
                <w:color w:val="auto"/>
              </w:rPr>
              <w:t>Director Since: 2011</w:t>
            </w:r>
          </w:p>
        </w:tc>
        <w:tc>
          <w:tcPr>
            <w:tcW w:w="7200" w:type="dxa"/>
            <w:vAlign w:val="bottom"/>
          </w:tcPr>
          <w:p>
            <w:pPr>
              <w:ind w:left="1840"/>
              <w:spacing w:after="0" w:line="175"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Nominating and Corporate Governance (Chair)</w:t>
            </w: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20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3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Mr. Martinez served as Chairman of the Southeast U.S. and Latin America, JPMorgan Chase &amp; Co. from July 2010 until his retirement in March 2023. Prior to that, he was a partner in the law firm DLA Piper from September 2009. Mr. Martinez served as a U.S. Senator from Florida from January 2005 through September 2009. He also served as Chairman of the Republican Party from November 2006 through October 2007, as Secretary of the U.S. Department of Housing and Urban Development from 2001 to 2004, and as Mayor of Orange County, Florida from November 1998 to January 2001. Mr. Martinez is a director of NVR Inc., a publicly traded homebuilder. He also serves on the Advisory Board of Securiport LLC, a private company that designs and implements civil aviation security, biometric screening, immigration control and threat assessment systems.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ind w:right="400"/>
        <w:spacing w:after="0" w:line="264" w:lineRule="auto"/>
        <w:rPr>
          <w:sz w:val="20"/>
          <w:szCs w:val="20"/>
          <w:color w:val="auto"/>
        </w:rPr>
      </w:pPr>
      <w:r>
        <w:rPr>
          <w:rFonts w:ascii="Arial" w:cs="Arial" w:eastAsia="Arial" w:hAnsi="Arial"/>
          <w:sz w:val="16"/>
          <w:szCs w:val="16"/>
          <w:color w:val="auto"/>
        </w:rPr>
        <w:t>Mr. Martinez provides our Board with the benefit of his vast experience in the public and private sectors and his in-depth knowledge of and relationships within Florida, where our headquarters are located. The Board also benefits from his legal experience and knowledge of legislative and regulatory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67310</wp:posOffset>
            </wp:positionV>
            <wp:extent cx="857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50165</wp:posOffset>
            </wp:positionV>
            <wp:extent cx="1625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50165</wp:posOffset>
            </wp:positionV>
            <wp:extent cx="1460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50165</wp:posOffset>
            </wp:positionV>
            <wp:extent cx="14541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50165</wp:posOffset>
            </wp:positionV>
            <wp:extent cx="1371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50165</wp:posOffset>
            </wp:positionV>
            <wp:extent cx="13716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85"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040" w:type="dxa"/>
            <w:vAlign w:val="bottom"/>
          </w:tcPr>
          <w:p>
            <w:pPr>
              <w:spacing w:after="0"/>
              <w:rPr>
                <w:sz w:val="20"/>
                <w:szCs w:val="20"/>
                <w:color w:val="auto"/>
              </w:rPr>
            </w:pPr>
            <w:r>
              <w:rPr>
                <w:rFonts w:ascii="Arial" w:cs="Arial" w:eastAsia="Arial" w:hAnsi="Arial"/>
                <w:sz w:val="13"/>
                <w:szCs w:val="13"/>
                <w:color w:val="004E7D"/>
              </w:rPr>
              <w:t>Corporate</w:t>
            </w:r>
          </w:p>
        </w:tc>
        <w:tc>
          <w:tcPr>
            <w:tcW w:w="2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60" w:type="dxa"/>
            <w:vAlign w:val="bottom"/>
          </w:tcPr>
          <w:p>
            <w:pPr>
              <w:ind w:left="660"/>
              <w:spacing w:after="0"/>
              <w:rPr>
                <w:sz w:val="20"/>
                <w:szCs w:val="20"/>
                <w:color w:val="auto"/>
              </w:rPr>
            </w:pPr>
            <w:r>
              <w:rPr>
                <w:rFonts w:ascii="Arial" w:cs="Arial" w:eastAsia="Arial" w:hAnsi="Arial"/>
                <w:sz w:val="13"/>
                <w:szCs w:val="13"/>
                <w:color w:val="004E7D"/>
              </w:rPr>
              <w:t>Public Company Board</w:t>
            </w:r>
          </w:p>
        </w:tc>
        <w:tc>
          <w:tcPr>
            <w:tcW w:w="1480" w:type="dxa"/>
            <w:vAlign w:val="bottom"/>
          </w:tcPr>
          <w:p>
            <w:pPr>
              <w:ind w:left="240"/>
              <w:spacing w:after="0"/>
              <w:rPr>
                <w:sz w:val="20"/>
                <w:szCs w:val="20"/>
                <w:color w:val="auto"/>
              </w:rPr>
            </w:pPr>
            <w:r>
              <w:rPr>
                <w:rFonts w:ascii="Arial" w:cs="Arial" w:eastAsia="Arial" w:hAnsi="Arial"/>
                <w:sz w:val="13"/>
                <w:szCs w:val="13"/>
                <w:color w:val="004E7D"/>
              </w:rPr>
              <w:t>Risk</w:t>
            </w:r>
          </w:p>
        </w:tc>
        <w:tc>
          <w:tcPr>
            <w:tcW w:w="980" w:type="dxa"/>
            <w:vAlign w:val="bottom"/>
          </w:tcPr>
          <w:p>
            <w:pPr>
              <w:ind w:left="480"/>
              <w:spacing w:after="0"/>
              <w:rPr>
                <w:sz w:val="20"/>
                <w:szCs w:val="20"/>
                <w:color w:val="auto"/>
              </w:rPr>
            </w:pPr>
            <w:r>
              <w:rPr>
                <w:rFonts w:ascii="Arial" w:cs="Arial" w:eastAsia="Arial" w:hAnsi="Arial"/>
                <w:sz w:val="13"/>
                <w:szCs w:val="13"/>
                <w:color w:val="004E7D"/>
                <w:w w:val="93"/>
              </w:rPr>
              <w:t>Strategic</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3"/>
                <w:szCs w:val="13"/>
                <w:color w:val="004E7D"/>
              </w:rPr>
              <w:t>Leadership</w:t>
            </w:r>
          </w:p>
        </w:tc>
        <w:tc>
          <w:tcPr>
            <w:tcW w:w="2140" w:type="dxa"/>
            <w:vAlign w:val="bottom"/>
          </w:tcPr>
          <w:p>
            <w:pPr>
              <w:ind w:left="400"/>
              <w:spacing w:after="0"/>
              <w:rPr>
                <w:sz w:val="20"/>
                <w:szCs w:val="20"/>
                <w:color w:val="auto"/>
              </w:rPr>
            </w:pPr>
            <w:r>
              <w:rPr>
                <w:rFonts w:ascii="Arial" w:cs="Arial" w:eastAsia="Arial" w:hAnsi="Arial"/>
                <w:sz w:val="13"/>
                <w:szCs w:val="13"/>
                <w:color w:val="004E7D"/>
              </w:rPr>
              <w:t>Independence</w:t>
            </w:r>
          </w:p>
        </w:tc>
        <w:tc>
          <w:tcPr>
            <w:tcW w:w="1800" w:type="dxa"/>
            <w:vAlign w:val="bottom"/>
          </w:tcPr>
          <w:p>
            <w:pPr>
              <w:ind w:left="500"/>
              <w:spacing w:after="0"/>
              <w:rPr>
                <w:sz w:val="20"/>
                <w:szCs w:val="20"/>
                <w:color w:val="auto"/>
              </w:rPr>
            </w:pPr>
            <w:r>
              <w:rPr>
                <w:rFonts w:ascii="Arial" w:cs="Arial" w:eastAsia="Arial" w:hAnsi="Arial"/>
                <w:sz w:val="13"/>
                <w:szCs w:val="13"/>
                <w:color w:val="004E7D"/>
              </w:rPr>
              <w:t>Diversity</w:t>
            </w:r>
          </w:p>
        </w:tc>
        <w:tc>
          <w:tcPr>
            <w:tcW w:w="3060" w:type="dxa"/>
            <w:vAlign w:val="bottom"/>
          </w:tcPr>
          <w:p>
            <w:pPr>
              <w:ind w:left="660"/>
              <w:spacing w:after="0"/>
              <w:rPr>
                <w:sz w:val="20"/>
                <w:szCs w:val="20"/>
                <w:color w:val="auto"/>
              </w:rPr>
            </w:pPr>
            <w:r>
              <w:rPr>
                <w:rFonts w:ascii="Arial" w:cs="Arial" w:eastAsia="Arial" w:hAnsi="Arial"/>
                <w:sz w:val="13"/>
                <w:szCs w:val="13"/>
                <w:color w:val="004E7D"/>
              </w:rPr>
              <w:t>Service &amp; Governance</w:t>
            </w:r>
          </w:p>
        </w:tc>
        <w:tc>
          <w:tcPr>
            <w:tcW w:w="1480" w:type="dxa"/>
            <w:vAlign w:val="bottom"/>
          </w:tcPr>
          <w:p>
            <w:pPr>
              <w:ind w:left="240"/>
              <w:spacing w:after="0"/>
              <w:rPr>
                <w:sz w:val="20"/>
                <w:szCs w:val="20"/>
                <w:color w:val="auto"/>
              </w:rPr>
            </w:pPr>
            <w:r>
              <w:rPr>
                <w:rFonts w:ascii="Arial" w:cs="Arial" w:eastAsia="Arial" w:hAnsi="Arial"/>
                <w:sz w:val="13"/>
                <w:szCs w:val="13"/>
                <w:color w:val="004E7D"/>
              </w:rPr>
              <w:t>Management</w:t>
            </w:r>
          </w:p>
        </w:tc>
        <w:tc>
          <w:tcPr>
            <w:tcW w:w="980" w:type="dxa"/>
            <w:vAlign w:val="bottom"/>
          </w:tcPr>
          <w:p>
            <w:pPr>
              <w:ind w:left="480"/>
              <w:spacing w:after="0"/>
              <w:rPr>
                <w:sz w:val="20"/>
                <w:szCs w:val="20"/>
                <w:color w:val="auto"/>
              </w:rPr>
            </w:pPr>
            <w:r>
              <w:rPr>
                <w:rFonts w:ascii="Arial" w:cs="Arial" w:eastAsia="Arial" w:hAnsi="Arial"/>
                <w:sz w:val="13"/>
                <w:szCs w:val="13"/>
                <w:color w:val="004E7D"/>
                <w:w w:val="94"/>
              </w:rPr>
              <w:t>Planning</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3"/>
                <w:szCs w:val="13"/>
                <w:color w:val="004E7D"/>
              </w:rPr>
              <w:t>Global</w:t>
            </w:r>
          </w:p>
        </w:tc>
        <w:tc>
          <w:tcPr>
            <w:tcW w:w="2140" w:type="dxa"/>
            <w:vAlign w:val="bottom"/>
          </w:tcPr>
          <w:p>
            <w:pPr>
              <w:ind w:left="400"/>
              <w:spacing w:after="0"/>
              <w:rPr>
                <w:sz w:val="20"/>
                <w:szCs w:val="20"/>
                <w:color w:val="auto"/>
              </w:rPr>
            </w:pPr>
            <w:r>
              <w:rPr>
                <w:rFonts w:ascii="Arial" w:cs="Arial" w:eastAsia="Arial" w:hAnsi="Arial"/>
                <w:sz w:val="13"/>
                <w:szCs w:val="13"/>
                <w:color w:val="004E7D"/>
              </w:rPr>
              <w:t>Legal, Regulatory &amp;</w:t>
            </w:r>
          </w:p>
        </w:tc>
        <w:tc>
          <w:tcPr>
            <w:tcW w:w="1800" w:type="dxa"/>
            <w:vAlign w:val="bottom"/>
            <w:vMerge w:val="restart"/>
          </w:tcPr>
          <w:p>
            <w:pPr>
              <w:ind w:left="500"/>
              <w:spacing w:after="0"/>
              <w:rPr>
                <w:sz w:val="20"/>
                <w:szCs w:val="20"/>
                <w:color w:val="auto"/>
              </w:rPr>
            </w:pPr>
            <w:r>
              <w:rPr>
                <w:rFonts w:ascii="Arial" w:cs="Arial" w:eastAsia="Arial" w:hAnsi="Arial"/>
                <w:sz w:val="13"/>
                <w:szCs w:val="13"/>
                <w:color w:val="004E7D"/>
              </w:rPr>
              <w:t>Compliance</w:t>
            </w:r>
          </w:p>
        </w:tc>
        <w:tc>
          <w:tcPr>
            <w:tcW w:w="3060" w:type="dxa"/>
            <w:vAlign w:val="bottom"/>
          </w:tcPr>
          <w:p>
            <w:pPr>
              <w:ind w:left="660"/>
              <w:spacing w:after="0"/>
              <w:rPr>
                <w:sz w:val="20"/>
                <w:szCs w:val="20"/>
                <w:color w:val="auto"/>
              </w:rPr>
            </w:pPr>
            <w:r>
              <w:rPr>
                <w:rFonts w:ascii="Arial" w:cs="Arial" w:eastAsia="Arial" w:hAnsi="Arial"/>
                <w:sz w:val="13"/>
                <w:szCs w:val="13"/>
                <w:color w:val="004E7D"/>
              </w:rPr>
              <w:t>Human Capital, Professional</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Arial" w:cs="Arial" w:eastAsia="Arial" w:hAnsi="Arial"/>
                <w:sz w:val="13"/>
                <w:szCs w:val="13"/>
                <w:color w:val="004E7D"/>
              </w:rPr>
              <w:t>Expertise</w:t>
            </w:r>
          </w:p>
        </w:tc>
        <w:tc>
          <w:tcPr>
            <w:tcW w:w="2140" w:type="dxa"/>
            <w:vAlign w:val="bottom"/>
          </w:tcPr>
          <w:p>
            <w:pPr>
              <w:ind w:left="400"/>
              <w:spacing w:after="0"/>
              <w:rPr>
                <w:sz w:val="20"/>
                <w:szCs w:val="20"/>
                <w:color w:val="auto"/>
              </w:rPr>
            </w:pPr>
            <w:r>
              <w:rPr>
                <w:rFonts w:ascii="Arial" w:cs="Arial" w:eastAsia="Arial" w:hAnsi="Arial"/>
                <w:sz w:val="13"/>
                <w:szCs w:val="13"/>
                <w:color w:val="004E7D"/>
              </w:rPr>
              <w:t>Government Relations</w:t>
            </w:r>
          </w:p>
        </w:tc>
        <w:tc>
          <w:tcPr>
            <w:tcW w:w="1800" w:type="dxa"/>
            <w:vAlign w:val="bottom"/>
            <w:vMerge w:val="continue"/>
          </w:tcPr>
          <w:p>
            <w:pPr>
              <w:spacing w:after="0"/>
              <w:rPr>
                <w:sz w:val="14"/>
                <w:szCs w:val="14"/>
                <w:color w:val="auto"/>
              </w:rPr>
            </w:pPr>
          </w:p>
        </w:tc>
        <w:tc>
          <w:tcPr>
            <w:tcW w:w="3060" w:type="dxa"/>
            <w:vAlign w:val="bottom"/>
          </w:tcPr>
          <w:p>
            <w:pPr>
              <w:ind w:left="660"/>
              <w:spacing w:after="0"/>
              <w:rPr>
                <w:sz w:val="20"/>
                <w:szCs w:val="20"/>
                <w:color w:val="auto"/>
              </w:rPr>
            </w:pPr>
            <w:r>
              <w:rPr>
                <w:rFonts w:ascii="Arial" w:cs="Arial" w:eastAsia="Arial" w:hAnsi="Arial"/>
                <w:sz w:val="13"/>
                <w:szCs w:val="13"/>
                <w:color w:val="004E7D"/>
              </w:rPr>
              <w:t>Development &amp; Organizational Culture</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-199390</wp:posOffset>
            </wp:positionV>
            <wp:extent cx="14541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-199390</wp:posOffset>
            </wp:positionV>
            <wp:extent cx="1371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-199390</wp:posOffset>
            </wp:positionV>
            <wp:extent cx="18034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34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-199390</wp:posOffset>
            </wp:positionV>
            <wp:extent cx="137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STEPHEN R. QUAZZO</w:t>
            </w:r>
          </w:p>
        </w:tc>
        <w:tc>
          <w:tcPr>
            <w:tcW w:w="7440" w:type="dxa"/>
            <w:vAlign w:val="bottom"/>
            <w:tcBorders>
              <w:top w:val="single" w:sz="8" w:color="004987"/>
            </w:tcBorders>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6"/>
                <w:szCs w:val="16"/>
                <w:color w:val="auto"/>
              </w:rPr>
              <w:t>Age: 63</w:t>
            </w:r>
          </w:p>
        </w:tc>
        <w:tc>
          <w:tcPr>
            <w:tcW w:w="744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62"/>
        </w:trPr>
        <w:tc>
          <w:tcPr>
            <w:tcW w:w="380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2018</w:t>
            </w:r>
          </w:p>
        </w:tc>
        <w:tc>
          <w:tcPr>
            <w:tcW w:w="7440" w:type="dxa"/>
            <w:vAlign w:val="bottom"/>
          </w:tcPr>
          <w:p>
            <w:pPr>
              <w:ind w:left="2080"/>
              <w:spacing w:after="0" w:line="162"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Audit</w:t>
            </w:r>
          </w:p>
        </w:tc>
      </w:tr>
      <w:tr>
        <w:trPr>
          <w:trHeight w:val="241"/>
        </w:trPr>
        <w:tc>
          <w:tcPr>
            <w:tcW w:w="380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440" w:type="dxa"/>
            <w:vAlign w:val="bottom"/>
          </w:tcPr>
          <w:p>
            <w:pPr>
              <w:ind w:left="208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Compensation Policy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Mr. Quazzo is the Chief Executive Officer, and has been the Managing Director and co-founder, of Pearlmark Real Estate, LLC, a real estate principal investment firm, since March 1996. From April 1991 to March 1996, Mr. Quazzo was President of Equity Institutional Investors, Inc., a private investment firm and a subsidiary of Equity Group Investments, Inc. He is currently a director of Phillips Edison &amp; Company, Inc., a publicly traded REIT, and was a director of Starwood from 1995 to September 2016. Mr. Quazzo is a member and trustee of the Urban Land Institute, ULI Foundation, a member of the Pension Real Estate Association, and a licensed real estate broker in Illinois. He was a director of ILG from May 2016 through August 2018, prior to the Company’s acquisition of ILG.</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Mr. Quazzo provides the Board with the benefit of his extensive experience in real estate, investment and development and strategy experience as Chief Executive Officer of Pearlmark Real Estate, as well as his senior leadership experience. He also has broad experience in corporate governance, having served as a board member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67310</wp:posOffset>
            </wp:positionV>
            <wp:extent cx="8572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41910</wp:posOffset>
            </wp:positionV>
            <wp:extent cx="16256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41910</wp:posOffset>
            </wp:positionV>
            <wp:extent cx="1625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41910</wp:posOffset>
            </wp:positionV>
            <wp:extent cx="137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41910</wp:posOffset>
            </wp:positionV>
            <wp:extent cx="14605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41910</wp:posOffset>
            </wp:positionV>
            <wp:extent cx="137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85"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060" w:type="dxa"/>
            <w:vAlign w:val="bottom"/>
          </w:tcPr>
          <w:p>
            <w:pPr>
              <w:spacing w:after="0"/>
              <w:rPr>
                <w:sz w:val="20"/>
                <w:szCs w:val="20"/>
                <w:color w:val="auto"/>
              </w:rPr>
            </w:pPr>
            <w:r>
              <w:rPr>
                <w:rFonts w:ascii="Arial" w:cs="Arial" w:eastAsia="Arial" w:hAnsi="Arial"/>
                <w:sz w:val="13"/>
                <w:szCs w:val="13"/>
                <w:color w:val="004E7D"/>
              </w:rPr>
              <w:t>Corporate</w:t>
            </w:r>
          </w:p>
        </w:tc>
        <w:tc>
          <w:tcPr>
            <w:tcW w:w="1940" w:type="dxa"/>
            <w:vAlign w:val="bottom"/>
          </w:tcPr>
          <w:p>
            <w:pPr>
              <w:spacing w:after="0"/>
              <w:rPr>
                <w:sz w:val="12"/>
                <w:szCs w:val="12"/>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004E7D"/>
              </w:rPr>
              <w:t>Financial &amp;</w:t>
            </w:r>
          </w:p>
        </w:tc>
        <w:tc>
          <w:tcPr>
            <w:tcW w:w="1880" w:type="dxa"/>
            <w:vAlign w:val="bottom"/>
          </w:tcPr>
          <w:p>
            <w:pPr>
              <w:ind w:left="260"/>
              <w:spacing w:after="0"/>
              <w:rPr>
                <w:sz w:val="20"/>
                <w:szCs w:val="20"/>
                <w:color w:val="auto"/>
              </w:rPr>
            </w:pPr>
            <w:r>
              <w:rPr>
                <w:rFonts w:ascii="Arial" w:cs="Arial" w:eastAsia="Arial" w:hAnsi="Arial"/>
                <w:sz w:val="13"/>
                <w:szCs w:val="13"/>
                <w:color w:val="004E7D"/>
              </w:rPr>
              <w:t>Accounting &amp;</w:t>
            </w:r>
          </w:p>
        </w:tc>
        <w:tc>
          <w:tcPr>
            <w:tcW w:w="2380" w:type="dxa"/>
            <w:vAlign w:val="bottom"/>
          </w:tcPr>
          <w:p>
            <w:pPr>
              <w:ind w:left="520"/>
              <w:spacing w:after="0"/>
              <w:rPr>
                <w:sz w:val="20"/>
                <w:szCs w:val="20"/>
                <w:color w:val="auto"/>
              </w:rPr>
            </w:pPr>
            <w:r>
              <w:rPr>
                <w:rFonts w:ascii="Arial" w:cs="Arial" w:eastAsia="Arial" w:hAnsi="Arial"/>
                <w:sz w:val="13"/>
                <w:szCs w:val="13"/>
                <w:color w:val="004E7D"/>
              </w:rPr>
              <w:t>Public Company Board</w:t>
            </w:r>
          </w:p>
        </w:tc>
        <w:tc>
          <w:tcPr>
            <w:tcW w:w="1300" w:type="dxa"/>
            <w:vAlign w:val="bottom"/>
          </w:tcPr>
          <w:p>
            <w:pPr>
              <w:ind w:left="560"/>
              <w:spacing w:after="0"/>
              <w:rPr>
                <w:sz w:val="20"/>
                <w:szCs w:val="20"/>
                <w:color w:val="auto"/>
              </w:rPr>
            </w:pPr>
            <w:r>
              <w:rPr>
                <w:rFonts w:ascii="Arial" w:cs="Arial" w:eastAsia="Arial" w:hAnsi="Arial"/>
                <w:sz w:val="13"/>
                <w:szCs w:val="13"/>
                <w:color w:val="004E7D"/>
              </w:rPr>
              <w:t>Risk</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20"/>
                <w:szCs w:val="20"/>
                <w:color w:val="auto"/>
              </w:rPr>
            </w:pPr>
            <w:r>
              <w:rPr>
                <w:rFonts w:ascii="Arial" w:cs="Arial" w:eastAsia="Arial" w:hAnsi="Arial"/>
                <w:sz w:val="13"/>
                <w:szCs w:val="13"/>
                <w:color w:val="004E7D"/>
              </w:rPr>
              <w:t>Leadership</w:t>
            </w:r>
          </w:p>
        </w:tc>
        <w:tc>
          <w:tcPr>
            <w:tcW w:w="1940" w:type="dxa"/>
            <w:vAlign w:val="bottom"/>
          </w:tcPr>
          <w:p>
            <w:pPr>
              <w:ind w:left="420"/>
              <w:spacing w:after="0"/>
              <w:rPr>
                <w:sz w:val="20"/>
                <w:szCs w:val="20"/>
                <w:color w:val="auto"/>
              </w:rPr>
            </w:pPr>
            <w:r>
              <w:rPr>
                <w:rFonts w:ascii="Arial" w:cs="Arial" w:eastAsia="Arial" w:hAnsi="Arial"/>
                <w:sz w:val="13"/>
                <w:szCs w:val="13"/>
                <w:color w:val="004E7D"/>
              </w:rPr>
              <w:t>Independence</w:t>
            </w:r>
          </w:p>
        </w:tc>
        <w:tc>
          <w:tcPr>
            <w:tcW w:w="1940" w:type="dxa"/>
            <w:vAlign w:val="bottom"/>
          </w:tcPr>
          <w:p>
            <w:pPr>
              <w:ind w:left="400"/>
              <w:spacing w:after="0"/>
              <w:rPr>
                <w:sz w:val="20"/>
                <w:szCs w:val="20"/>
                <w:color w:val="auto"/>
              </w:rPr>
            </w:pPr>
            <w:r>
              <w:rPr>
                <w:rFonts w:ascii="Arial" w:cs="Arial" w:eastAsia="Arial" w:hAnsi="Arial"/>
                <w:sz w:val="13"/>
                <w:szCs w:val="13"/>
                <w:color w:val="004E7D"/>
              </w:rPr>
              <w:t>Capital Markets</w:t>
            </w:r>
          </w:p>
        </w:tc>
        <w:tc>
          <w:tcPr>
            <w:tcW w:w="1880" w:type="dxa"/>
            <w:vAlign w:val="bottom"/>
          </w:tcPr>
          <w:p>
            <w:pPr>
              <w:ind w:left="260"/>
              <w:spacing w:after="0"/>
              <w:rPr>
                <w:sz w:val="20"/>
                <w:szCs w:val="20"/>
                <w:color w:val="auto"/>
              </w:rPr>
            </w:pPr>
            <w:r>
              <w:rPr>
                <w:rFonts w:ascii="Arial" w:cs="Arial" w:eastAsia="Arial" w:hAnsi="Arial"/>
                <w:sz w:val="13"/>
                <w:szCs w:val="13"/>
                <w:color w:val="004E7D"/>
              </w:rPr>
              <w:t>Financial Reporting</w:t>
            </w:r>
          </w:p>
        </w:tc>
        <w:tc>
          <w:tcPr>
            <w:tcW w:w="2380" w:type="dxa"/>
            <w:vAlign w:val="bottom"/>
          </w:tcPr>
          <w:p>
            <w:pPr>
              <w:ind w:left="520"/>
              <w:spacing w:after="0"/>
              <w:rPr>
                <w:sz w:val="20"/>
                <w:szCs w:val="20"/>
                <w:color w:val="auto"/>
              </w:rPr>
            </w:pPr>
            <w:r>
              <w:rPr>
                <w:rFonts w:ascii="Arial" w:cs="Arial" w:eastAsia="Arial" w:hAnsi="Arial"/>
                <w:sz w:val="13"/>
                <w:szCs w:val="13"/>
                <w:color w:val="004E7D"/>
              </w:rPr>
              <w:t>Service &amp; Governance</w:t>
            </w:r>
          </w:p>
        </w:tc>
        <w:tc>
          <w:tcPr>
            <w:tcW w:w="1300" w:type="dxa"/>
            <w:vAlign w:val="bottom"/>
          </w:tcPr>
          <w:p>
            <w:pPr>
              <w:ind w:left="560"/>
              <w:spacing w:after="0"/>
              <w:rPr>
                <w:sz w:val="20"/>
                <w:szCs w:val="20"/>
                <w:color w:val="auto"/>
              </w:rPr>
            </w:pPr>
            <w:r>
              <w:rPr>
                <w:rFonts w:ascii="Arial" w:cs="Arial" w:eastAsia="Arial" w:hAnsi="Arial"/>
                <w:sz w:val="13"/>
                <w:szCs w:val="13"/>
                <w:color w:val="004E7D"/>
                <w:w w:val="94"/>
              </w:rPr>
              <w:t>Management</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0"/>
                <w:szCs w:val="20"/>
                <w:color w:val="auto"/>
              </w:rPr>
            </w:pPr>
            <w:r>
              <w:rPr>
                <w:rFonts w:ascii="Arial" w:cs="Arial" w:eastAsia="Arial" w:hAnsi="Arial"/>
                <w:sz w:val="13"/>
                <w:szCs w:val="13"/>
                <w:color w:val="004E7D"/>
              </w:rPr>
              <w:t>Strategic</w:t>
            </w:r>
          </w:p>
        </w:tc>
        <w:tc>
          <w:tcPr>
            <w:tcW w:w="1940" w:type="dxa"/>
            <w:vAlign w:val="bottom"/>
            <w:vMerge w:val="restart"/>
          </w:tcPr>
          <w:p>
            <w:pPr>
              <w:ind w:left="420"/>
              <w:spacing w:after="0"/>
              <w:rPr>
                <w:sz w:val="20"/>
                <w:szCs w:val="20"/>
                <w:color w:val="auto"/>
              </w:rPr>
            </w:pPr>
            <w:r>
              <w:rPr>
                <w:rFonts w:ascii="Arial" w:cs="Arial" w:eastAsia="Arial" w:hAnsi="Arial"/>
                <w:sz w:val="13"/>
                <w:szCs w:val="13"/>
                <w:color w:val="004E7D"/>
              </w:rPr>
              <w:t>Vacation Ownership</w:t>
            </w:r>
          </w:p>
        </w:tc>
        <w:tc>
          <w:tcPr>
            <w:tcW w:w="1940" w:type="dxa"/>
            <w:vAlign w:val="bottom"/>
            <w:vMerge w:val="restart"/>
          </w:tcPr>
          <w:p>
            <w:pPr>
              <w:ind w:left="400"/>
              <w:spacing w:after="0"/>
              <w:rPr>
                <w:sz w:val="20"/>
                <w:szCs w:val="20"/>
                <w:color w:val="auto"/>
              </w:rPr>
            </w:pPr>
            <w:r>
              <w:rPr>
                <w:rFonts w:ascii="Arial" w:cs="Arial" w:eastAsia="Arial" w:hAnsi="Arial"/>
                <w:sz w:val="13"/>
                <w:szCs w:val="13"/>
                <w:color w:val="004E7D"/>
              </w:rPr>
              <w:t>Real Estate &amp;</w:t>
            </w:r>
          </w:p>
        </w:tc>
        <w:tc>
          <w:tcPr>
            <w:tcW w:w="18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060" w:type="dxa"/>
            <w:vAlign w:val="bottom"/>
            <w:vMerge w:val="restart"/>
          </w:tcPr>
          <w:p>
            <w:pPr>
              <w:spacing w:after="0"/>
              <w:rPr>
                <w:sz w:val="20"/>
                <w:szCs w:val="20"/>
                <w:color w:val="auto"/>
              </w:rPr>
            </w:pPr>
            <w:r>
              <w:rPr>
                <w:rFonts w:ascii="Arial" w:cs="Arial" w:eastAsia="Arial" w:hAnsi="Arial"/>
                <w:sz w:val="13"/>
                <w:szCs w:val="13"/>
                <w:color w:val="004E7D"/>
              </w:rPr>
              <w:t>Planning</w:t>
            </w:r>
          </w:p>
        </w:tc>
        <w:tc>
          <w:tcPr>
            <w:tcW w:w="194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060" w:type="dxa"/>
            <w:vAlign w:val="bottom"/>
            <w:vMerge w:val="continue"/>
          </w:tcPr>
          <w:p>
            <w:pPr>
              <w:spacing w:after="0"/>
              <w:rPr>
                <w:sz w:val="8"/>
                <w:szCs w:val="8"/>
                <w:color w:val="auto"/>
              </w:rPr>
            </w:pPr>
          </w:p>
        </w:tc>
        <w:tc>
          <w:tcPr>
            <w:tcW w:w="1940" w:type="dxa"/>
            <w:vAlign w:val="bottom"/>
            <w:vMerge w:val="restart"/>
          </w:tcPr>
          <w:p>
            <w:pPr>
              <w:ind w:left="420"/>
              <w:spacing w:after="0"/>
              <w:rPr>
                <w:sz w:val="20"/>
                <w:szCs w:val="20"/>
                <w:color w:val="auto"/>
              </w:rPr>
            </w:pPr>
            <w:r>
              <w:rPr>
                <w:rFonts w:ascii="Arial" w:cs="Arial" w:eastAsia="Arial" w:hAnsi="Arial"/>
                <w:sz w:val="13"/>
                <w:szCs w:val="13"/>
                <w:color w:val="004E7D"/>
              </w:rPr>
              <w:t>&amp; Lodging Industry</w:t>
            </w:r>
          </w:p>
        </w:tc>
        <w:tc>
          <w:tcPr>
            <w:tcW w:w="1940" w:type="dxa"/>
            <w:vAlign w:val="bottom"/>
            <w:vMerge w:val="restart"/>
          </w:tcPr>
          <w:p>
            <w:pPr>
              <w:ind w:left="400"/>
              <w:spacing w:after="0"/>
              <w:rPr>
                <w:sz w:val="20"/>
                <w:szCs w:val="20"/>
                <w:color w:val="auto"/>
              </w:rPr>
            </w:pPr>
            <w:r>
              <w:rPr>
                <w:rFonts w:ascii="Arial" w:cs="Arial" w:eastAsia="Arial" w:hAnsi="Arial"/>
                <w:sz w:val="13"/>
                <w:szCs w:val="13"/>
                <w:color w:val="004E7D"/>
              </w:rPr>
              <w:t>Business Development</w:t>
            </w:r>
          </w:p>
        </w:tc>
        <w:tc>
          <w:tcPr>
            <w:tcW w:w="1880" w:type="dxa"/>
            <w:vAlign w:val="bottom"/>
          </w:tcPr>
          <w:p>
            <w:pPr>
              <w:spacing w:after="0"/>
              <w:rPr>
                <w:sz w:val="8"/>
                <w:szCs w:val="8"/>
                <w:color w:val="auto"/>
              </w:rPr>
            </w:pPr>
          </w:p>
        </w:tc>
        <w:tc>
          <w:tcPr>
            <w:tcW w:w="3680" w:type="dxa"/>
            <w:vAlign w:val="bottom"/>
            <w:gridSpan w:val="2"/>
            <w:vMerge w:val="restart"/>
          </w:tcPr>
          <w:p>
            <w:pPr>
              <w:ind w:left="520"/>
              <w:spacing w:after="0"/>
              <w:rPr>
                <w:sz w:val="20"/>
                <w:szCs w:val="20"/>
                <w:color w:val="auto"/>
              </w:rPr>
            </w:pPr>
            <w:r>
              <w:rPr>
                <w:rFonts w:ascii="Arial" w:cs="Arial" w:eastAsia="Arial" w:hAnsi="Arial"/>
                <w:sz w:val="13"/>
                <w:szCs w:val="13"/>
                <w:color w:val="004E7D"/>
              </w:rPr>
              <w:t>Business Development / Mergers &amp; Acquisitions</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-230505</wp:posOffset>
            </wp:positionV>
            <wp:extent cx="1371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-213360</wp:posOffset>
            </wp:positionV>
            <wp:extent cx="12890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-247650</wp:posOffset>
            </wp:positionV>
            <wp:extent cx="1371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-247650</wp:posOffset>
            </wp:positionV>
            <wp:extent cx="14605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15</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6"/>
        </w:trPr>
        <w:tc>
          <w:tcPr>
            <w:tcW w:w="400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RAYMOND L. GELLEIN, JR.</w:t>
            </w:r>
          </w:p>
        </w:tc>
        <w:tc>
          <w:tcPr>
            <w:tcW w:w="7240" w:type="dxa"/>
            <w:vAlign w:val="bottom"/>
            <w:tcBorders>
              <w:top w:val="single" w:sz="8" w:color="004987"/>
            </w:tcBorders>
          </w:tcPr>
          <w:p>
            <w:pPr>
              <w:spacing w:after="0"/>
              <w:rPr>
                <w:sz w:val="20"/>
                <w:szCs w:val="20"/>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6"/>
                <w:szCs w:val="16"/>
                <w:color w:val="auto"/>
              </w:rPr>
              <w:t>Age: 75</w:t>
            </w:r>
          </w:p>
        </w:tc>
        <w:tc>
          <w:tcPr>
            <w:tcW w:w="7240" w:type="dxa"/>
            <w:vAlign w:val="bottom"/>
          </w:tcPr>
          <w:p>
            <w:pPr>
              <w:ind w:left="1880"/>
              <w:spacing w:after="0"/>
              <w:rPr>
                <w:sz w:val="20"/>
                <w:szCs w:val="20"/>
                <w:color w:val="auto"/>
              </w:rPr>
            </w:pPr>
            <w:r>
              <w:rPr>
                <w:rFonts w:ascii="Arial" w:cs="Arial" w:eastAsia="Arial" w:hAnsi="Arial"/>
                <w:sz w:val="16"/>
                <w:szCs w:val="16"/>
                <w:color w:val="auto"/>
              </w:rPr>
              <w:t>Committees:</w:t>
            </w: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2011</w:t>
            </w:r>
          </w:p>
        </w:tc>
        <w:tc>
          <w:tcPr>
            <w:tcW w:w="7240" w:type="dxa"/>
            <w:vAlign w:val="bottom"/>
          </w:tcPr>
          <w:p>
            <w:pPr>
              <w:ind w:left="1880"/>
              <w:spacing w:after="0" w:line="162"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Audit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240" w:type="dxa"/>
            <w:vAlign w:val="bottom"/>
          </w:tcPr>
          <w:p>
            <w:pPr>
              <w:ind w:left="188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Compensation Policy</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From November 2012 until his retirement in December 2015, Mr. Gellein served as Chairman of the Board, Chief Executive Officer and President of Strategic Hotels &amp; Resorts, Inc., a publicly traded real estate investment trust (“REIT”) with a portfolio of luxury hotels. From August 2010 to November 2012, he served as Strategic Hotels &amp; Resorts’ non-executive Chairman, and from August 2009 to December 2015, as a director. He served as President of the Global Development Group of Starwood from July 2006 through March 2008, and as Chairman and Chief Executive Officer of Starwood Vacation Ownership, Inc., a subsidiary of Starwood, from October 1999 to July 2006. Mr. Gellein is also a past Chairman of the American Resort Development Association, and previously served as Vice Chairman of Mind and Life Institute.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Based on his past roles with Strategic Hotels &amp; Resorts and Starwood, Mr. Gellein brings to the Board vast leadership experience in the hospitality and lodging industries with particular expertise in the vacation ownership sector. As a result of these roles, Mr. Gellein also has experience as an executive officer and board member of publicly traded companies. As a past Chairman of the Board of Directors of the American Resort Development Association, he also has extensive knowledge of the legislative and regulatory issues related to the vacation ownership business.</w:t>
      </w:r>
    </w:p>
    <w:p>
      <w:pPr>
        <w:spacing w:after="0" w:line="133"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Arial" w:cs="Arial" w:eastAsia="Arial" w:hAnsi="Arial"/>
                <w:sz w:val="13"/>
                <w:szCs w:val="13"/>
                <w:color w:val="004E7D"/>
              </w:rPr>
              <w:t>Corporate</w:t>
            </w:r>
          </w:p>
        </w:tc>
        <w:tc>
          <w:tcPr>
            <w:tcW w:w="2300" w:type="dxa"/>
            <w:vAlign w:val="bottom"/>
            <w:vMerge w:val="restart"/>
          </w:tcPr>
          <w:p>
            <w:pPr>
              <w:ind w:left="480"/>
              <w:spacing w:after="0"/>
              <w:rPr>
                <w:sz w:val="20"/>
                <w:szCs w:val="20"/>
                <w:color w:val="auto"/>
              </w:rPr>
            </w:pPr>
            <w:r>
              <w:rPr>
                <w:rFonts w:ascii="Arial" w:cs="Arial" w:eastAsia="Arial" w:hAnsi="Arial"/>
                <w:sz w:val="13"/>
                <w:szCs w:val="13"/>
                <w:color w:val="004E7D"/>
              </w:rPr>
              <w:t>Independence</w:t>
            </w:r>
          </w:p>
        </w:tc>
        <w:tc>
          <w:tcPr>
            <w:tcW w:w="2220" w:type="dxa"/>
            <w:vAlign w:val="bottom"/>
          </w:tcPr>
          <w:p>
            <w:pPr>
              <w:ind w:left="520"/>
              <w:spacing w:after="0"/>
              <w:rPr>
                <w:sz w:val="20"/>
                <w:szCs w:val="20"/>
                <w:color w:val="auto"/>
              </w:rPr>
            </w:pPr>
            <w:r>
              <w:rPr>
                <w:rFonts w:ascii="Arial" w:cs="Arial" w:eastAsia="Arial" w:hAnsi="Arial"/>
                <w:sz w:val="13"/>
                <w:szCs w:val="13"/>
                <w:color w:val="004E7D"/>
              </w:rPr>
              <w:t>Financial &amp;</w:t>
            </w:r>
          </w:p>
        </w:tc>
        <w:tc>
          <w:tcPr>
            <w:tcW w:w="2200" w:type="dxa"/>
            <w:vAlign w:val="bottom"/>
          </w:tcPr>
          <w:p>
            <w:pPr>
              <w:ind w:left="120"/>
              <w:spacing w:after="0"/>
              <w:rPr>
                <w:sz w:val="20"/>
                <w:szCs w:val="20"/>
                <w:color w:val="auto"/>
              </w:rPr>
            </w:pPr>
            <w:r>
              <w:rPr>
                <w:rFonts w:ascii="Arial" w:cs="Arial" w:eastAsia="Arial" w:hAnsi="Arial"/>
                <w:sz w:val="13"/>
                <w:szCs w:val="13"/>
                <w:color w:val="004E7D"/>
              </w:rPr>
              <w:t>Business Development /</w:t>
            </w:r>
          </w:p>
        </w:tc>
        <w:tc>
          <w:tcPr>
            <w:tcW w:w="2020" w:type="dxa"/>
            <w:vAlign w:val="bottom"/>
          </w:tcPr>
          <w:p>
            <w:pPr>
              <w:ind w:left="720"/>
              <w:spacing w:after="0"/>
              <w:rPr>
                <w:sz w:val="20"/>
                <w:szCs w:val="20"/>
                <w:color w:val="auto"/>
              </w:rPr>
            </w:pPr>
            <w:r>
              <w:rPr>
                <w:rFonts w:ascii="Arial" w:cs="Arial" w:eastAsia="Arial" w:hAnsi="Arial"/>
                <w:sz w:val="13"/>
                <w:szCs w:val="13"/>
                <w:color w:val="004E7D"/>
                <w:w w:val="96"/>
              </w:rPr>
              <w:t>Public Company Board</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20"/>
                <w:szCs w:val="20"/>
                <w:color w:val="auto"/>
              </w:rPr>
            </w:pPr>
            <w:r>
              <w:rPr>
                <w:rFonts w:ascii="Arial" w:cs="Arial" w:eastAsia="Arial" w:hAnsi="Arial"/>
                <w:sz w:val="13"/>
                <w:szCs w:val="13"/>
                <w:color w:val="004E7D"/>
              </w:rPr>
              <w:t>Leadership</w:t>
            </w:r>
          </w:p>
        </w:tc>
        <w:tc>
          <w:tcPr>
            <w:tcW w:w="2300" w:type="dxa"/>
            <w:vAlign w:val="bottom"/>
            <w:vMerge w:val="continue"/>
          </w:tcPr>
          <w:p>
            <w:pPr>
              <w:spacing w:after="0"/>
              <w:rPr>
                <w:sz w:val="14"/>
                <w:szCs w:val="14"/>
                <w:color w:val="auto"/>
              </w:rPr>
            </w:pPr>
          </w:p>
        </w:tc>
        <w:tc>
          <w:tcPr>
            <w:tcW w:w="2220" w:type="dxa"/>
            <w:vAlign w:val="bottom"/>
          </w:tcPr>
          <w:p>
            <w:pPr>
              <w:ind w:left="520"/>
              <w:spacing w:after="0"/>
              <w:rPr>
                <w:sz w:val="20"/>
                <w:szCs w:val="20"/>
                <w:color w:val="auto"/>
              </w:rPr>
            </w:pPr>
            <w:r>
              <w:rPr>
                <w:rFonts w:ascii="Arial" w:cs="Arial" w:eastAsia="Arial" w:hAnsi="Arial"/>
                <w:sz w:val="13"/>
                <w:szCs w:val="13"/>
                <w:color w:val="004E7D"/>
              </w:rPr>
              <w:t>Capital Markets</w:t>
            </w:r>
          </w:p>
        </w:tc>
        <w:tc>
          <w:tcPr>
            <w:tcW w:w="2200" w:type="dxa"/>
            <w:vAlign w:val="bottom"/>
          </w:tcPr>
          <w:p>
            <w:pPr>
              <w:ind w:left="120"/>
              <w:spacing w:after="0"/>
              <w:rPr>
                <w:sz w:val="20"/>
                <w:szCs w:val="20"/>
                <w:color w:val="auto"/>
              </w:rPr>
            </w:pPr>
            <w:r>
              <w:rPr>
                <w:rFonts w:ascii="Arial" w:cs="Arial" w:eastAsia="Arial" w:hAnsi="Arial"/>
                <w:sz w:val="13"/>
                <w:szCs w:val="13"/>
                <w:color w:val="004E7D"/>
              </w:rPr>
              <w:t>Mergers &amp; Acquisitions</w:t>
            </w:r>
          </w:p>
        </w:tc>
        <w:tc>
          <w:tcPr>
            <w:tcW w:w="2020" w:type="dxa"/>
            <w:vAlign w:val="bottom"/>
          </w:tcPr>
          <w:p>
            <w:pPr>
              <w:ind w:left="720"/>
              <w:spacing w:after="0"/>
              <w:rPr>
                <w:sz w:val="20"/>
                <w:szCs w:val="20"/>
                <w:color w:val="auto"/>
              </w:rPr>
            </w:pPr>
            <w:r>
              <w:rPr>
                <w:rFonts w:ascii="Arial" w:cs="Arial" w:eastAsia="Arial" w:hAnsi="Arial"/>
                <w:sz w:val="13"/>
                <w:szCs w:val="13"/>
                <w:color w:val="004E7D"/>
                <w:w w:val="98"/>
              </w:rPr>
              <w:t>Service &amp; Governance</w:t>
            </w:r>
          </w:p>
        </w:tc>
        <w:tc>
          <w:tcPr>
            <w:tcW w:w="0" w:type="dxa"/>
            <w:vAlign w:val="bottom"/>
          </w:tcPr>
          <w:p>
            <w:pPr>
              <w:spacing w:after="0"/>
              <w:rPr>
                <w:sz w:val="1"/>
                <w:szCs w:val="1"/>
                <w:color w:val="auto"/>
              </w:rPr>
            </w:pPr>
          </w:p>
        </w:tc>
      </w:tr>
      <w:tr>
        <w:trPr>
          <w:trHeight w:val="307"/>
        </w:trPr>
        <w:tc>
          <w:tcPr>
            <w:tcW w:w="1540" w:type="dxa"/>
            <w:vAlign w:val="bottom"/>
          </w:tcPr>
          <w:p>
            <w:pPr>
              <w:spacing w:after="0"/>
              <w:rPr>
                <w:sz w:val="20"/>
                <w:szCs w:val="20"/>
                <w:color w:val="auto"/>
              </w:rPr>
            </w:pPr>
            <w:r>
              <w:rPr>
                <w:rFonts w:ascii="Arial" w:cs="Arial" w:eastAsia="Arial" w:hAnsi="Arial"/>
                <w:sz w:val="13"/>
                <w:szCs w:val="13"/>
                <w:color w:val="004E7D"/>
              </w:rPr>
              <w:t>Risk</w:t>
            </w:r>
          </w:p>
        </w:tc>
        <w:tc>
          <w:tcPr>
            <w:tcW w:w="2300" w:type="dxa"/>
            <w:vAlign w:val="bottom"/>
            <w:vMerge w:val="restart"/>
          </w:tcPr>
          <w:p>
            <w:pPr>
              <w:ind w:left="480"/>
              <w:spacing w:after="0"/>
              <w:rPr>
                <w:sz w:val="20"/>
                <w:szCs w:val="20"/>
                <w:color w:val="auto"/>
              </w:rPr>
            </w:pPr>
            <w:r>
              <w:rPr>
                <w:rFonts w:ascii="Arial" w:cs="Arial" w:eastAsia="Arial" w:hAnsi="Arial"/>
                <w:sz w:val="13"/>
                <w:szCs w:val="13"/>
                <w:color w:val="004E7D"/>
              </w:rPr>
              <w:t>Strategic Planning</w:t>
            </w:r>
          </w:p>
        </w:tc>
        <w:tc>
          <w:tcPr>
            <w:tcW w:w="2220" w:type="dxa"/>
            <w:vAlign w:val="bottom"/>
          </w:tcPr>
          <w:p>
            <w:pPr>
              <w:ind w:left="520"/>
              <w:spacing w:after="0"/>
              <w:rPr>
                <w:sz w:val="20"/>
                <w:szCs w:val="20"/>
                <w:color w:val="auto"/>
              </w:rPr>
            </w:pPr>
            <w:r>
              <w:rPr>
                <w:rFonts w:ascii="Arial" w:cs="Arial" w:eastAsia="Arial" w:hAnsi="Arial"/>
                <w:sz w:val="13"/>
                <w:szCs w:val="13"/>
                <w:color w:val="004E7D"/>
              </w:rPr>
              <w:t>Global</w:t>
            </w:r>
          </w:p>
        </w:tc>
        <w:tc>
          <w:tcPr>
            <w:tcW w:w="2200" w:type="dxa"/>
            <w:vAlign w:val="bottom"/>
          </w:tcPr>
          <w:p>
            <w:pPr>
              <w:ind w:left="120"/>
              <w:spacing w:after="0"/>
              <w:rPr>
                <w:sz w:val="20"/>
                <w:szCs w:val="20"/>
                <w:color w:val="auto"/>
              </w:rPr>
            </w:pPr>
            <w:r>
              <w:rPr>
                <w:rFonts w:ascii="Arial" w:cs="Arial" w:eastAsia="Arial" w:hAnsi="Arial"/>
                <w:sz w:val="13"/>
                <w:szCs w:val="13"/>
                <w:color w:val="004E7D"/>
              </w:rPr>
              <w:t>Vacation Ownership &amp;</w:t>
            </w:r>
          </w:p>
        </w:tc>
        <w:tc>
          <w:tcPr>
            <w:tcW w:w="2020" w:type="dxa"/>
            <w:vAlign w:val="bottom"/>
          </w:tcPr>
          <w:p>
            <w:pPr>
              <w:ind w:left="720"/>
              <w:spacing w:after="0"/>
              <w:rPr>
                <w:sz w:val="20"/>
                <w:szCs w:val="20"/>
                <w:color w:val="auto"/>
              </w:rPr>
            </w:pPr>
            <w:r>
              <w:rPr>
                <w:rFonts w:ascii="Arial" w:cs="Arial" w:eastAsia="Arial" w:hAnsi="Arial"/>
                <w:sz w:val="13"/>
                <w:szCs w:val="13"/>
                <w:color w:val="004E7D"/>
              </w:rPr>
              <w:t>Legal, Regulatory &amp;</w:t>
            </w:r>
          </w:p>
        </w:tc>
        <w:tc>
          <w:tcPr>
            <w:tcW w:w="0" w:type="dxa"/>
            <w:vAlign w:val="bottom"/>
          </w:tcPr>
          <w:p>
            <w:pPr>
              <w:spacing w:after="0"/>
              <w:rPr>
                <w:sz w:val="1"/>
                <w:szCs w:val="1"/>
                <w:color w:val="auto"/>
              </w:rPr>
            </w:pPr>
          </w:p>
        </w:tc>
      </w:tr>
      <w:tr>
        <w:trPr>
          <w:trHeight w:val="108"/>
        </w:trPr>
        <w:tc>
          <w:tcPr>
            <w:tcW w:w="1540" w:type="dxa"/>
            <w:vAlign w:val="bottom"/>
            <w:vMerge w:val="restart"/>
          </w:tcPr>
          <w:p>
            <w:pPr>
              <w:spacing w:after="0"/>
              <w:rPr>
                <w:sz w:val="20"/>
                <w:szCs w:val="20"/>
                <w:color w:val="auto"/>
              </w:rPr>
            </w:pPr>
            <w:r>
              <w:rPr>
                <w:rFonts w:ascii="Arial" w:cs="Arial" w:eastAsia="Arial" w:hAnsi="Arial"/>
                <w:sz w:val="13"/>
                <w:szCs w:val="13"/>
                <w:color w:val="004E7D"/>
              </w:rPr>
              <w:t>Management</w:t>
            </w:r>
          </w:p>
        </w:tc>
        <w:tc>
          <w:tcPr>
            <w:tcW w:w="2300" w:type="dxa"/>
            <w:vAlign w:val="bottom"/>
            <w:vMerge w:val="continue"/>
          </w:tcPr>
          <w:p>
            <w:pPr>
              <w:spacing w:after="0"/>
              <w:rPr>
                <w:sz w:val="9"/>
                <w:szCs w:val="9"/>
                <w:color w:val="auto"/>
              </w:rPr>
            </w:pPr>
          </w:p>
        </w:tc>
        <w:tc>
          <w:tcPr>
            <w:tcW w:w="2220" w:type="dxa"/>
            <w:vAlign w:val="bottom"/>
            <w:vMerge w:val="restart"/>
          </w:tcPr>
          <w:p>
            <w:pPr>
              <w:ind w:left="520"/>
              <w:spacing w:after="0"/>
              <w:rPr>
                <w:sz w:val="20"/>
                <w:szCs w:val="20"/>
                <w:color w:val="auto"/>
              </w:rPr>
            </w:pPr>
            <w:r>
              <w:rPr>
                <w:rFonts w:ascii="Arial" w:cs="Arial" w:eastAsia="Arial" w:hAnsi="Arial"/>
                <w:sz w:val="13"/>
                <w:szCs w:val="13"/>
                <w:color w:val="004E7D"/>
              </w:rPr>
              <w:t>Expertise</w:t>
            </w:r>
          </w:p>
        </w:tc>
        <w:tc>
          <w:tcPr>
            <w:tcW w:w="2200" w:type="dxa"/>
            <w:vAlign w:val="bottom"/>
            <w:vMerge w:val="restart"/>
          </w:tcPr>
          <w:p>
            <w:pPr>
              <w:ind w:left="120"/>
              <w:spacing w:after="0"/>
              <w:rPr>
                <w:sz w:val="20"/>
                <w:szCs w:val="20"/>
                <w:color w:val="auto"/>
              </w:rPr>
            </w:pPr>
            <w:r>
              <w:rPr>
                <w:rFonts w:ascii="Arial" w:cs="Arial" w:eastAsia="Arial" w:hAnsi="Arial"/>
                <w:sz w:val="13"/>
                <w:szCs w:val="13"/>
                <w:color w:val="004E7D"/>
              </w:rPr>
              <w:t>Lodging Industry</w:t>
            </w:r>
          </w:p>
        </w:tc>
        <w:tc>
          <w:tcPr>
            <w:tcW w:w="2020" w:type="dxa"/>
            <w:vAlign w:val="bottom"/>
            <w:vMerge w:val="restart"/>
          </w:tcPr>
          <w:p>
            <w:pPr>
              <w:ind w:left="720"/>
              <w:spacing w:after="0"/>
              <w:rPr>
                <w:sz w:val="20"/>
                <w:szCs w:val="20"/>
                <w:color w:val="auto"/>
              </w:rPr>
            </w:pPr>
            <w:r>
              <w:rPr>
                <w:rFonts w:ascii="Arial" w:cs="Arial" w:eastAsia="Arial" w:hAnsi="Arial"/>
                <w:sz w:val="13"/>
                <w:szCs w:val="13"/>
                <w:color w:val="004E7D"/>
                <w:w w:val="98"/>
              </w:rPr>
              <w:t>Government Relations</w:t>
            </w:r>
          </w:p>
        </w:tc>
        <w:tc>
          <w:tcPr>
            <w:tcW w:w="0" w:type="dxa"/>
            <w:vAlign w:val="bottom"/>
          </w:tcPr>
          <w:p>
            <w:pPr>
              <w:spacing w:after="0"/>
              <w:rPr>
                <w:sz w:val="1"/>
                <w:szCs w:val="1"/>
                <w:color w:val="auto"/>
              </w:rPr>
            </w:pPr>
          </w:p>
        </w:tc>
      </w:tr>
      <w:tr>
        <w:trPr>
          <w:trHeight w:val="58"/>
        </w:trPr>
        <w:tc>
          <w:tcPr>
            <w:tcW w:w="154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1"/>
        </w:trPr>
        <w:tc>
          <w:tcPr>
            <w:tcW w:w="1540" w:type="dxa"/>
            <w:vAlign w:val="bottom"/>
          </w:tcPr>
          <w:p>
            <w:pPr>
              <w:spacing w:after="0"/>
              <w:rPr>
                <w:sz w:val="20"/>
                <w:szCs w:val="20"/>
                <w:color w:val="auto"/>
              </w:rPr>
            </w:pPr>
            <w:r>
              <w:rPr>
                <w:rFonts w:ascii="Arial" w:cs="Arial" w:eastAsia="Arial" w:hAnsi="Arial"/>
                <w:sz w:val="13"/>
                <w:szCs w:val="13"/>
                <w:color w:val="004E7D"/>
              </w:rPr>
              <w:t>Sales &amp; Marketing/</w:t>
            </w:r>
          </w:p>
        </w:tc>
        <w:tc>
          <w:tcPr>
            <w:tcW w:w="2300" w:type="dxa"/>
            <w:vAlign w:val="bottom"/>
          </w:tcPr>
          <w:p>
            <w:pPr>
              <w:ind w:left="480"/>
              <w:spacing w:after="0"/>
              <w:rPr>
                <w:sz w:val="20"/>
                <w:szCs w:val="20"/>
                <w:color w:val="auto"/>
              </w:rPr>
            </w:pPr>
            <w:r>
              <w:rPr>
                <w:rFonts w:ascii="Arial" w:cs="Arial" w:eastAsia="Arial" w:hAnsi="Arial"/>
                <w:sz w:val="13"/>
                <w:szCs w:val="13"/>
                <w:color w:val="004E7D"/>
              </w:rPr>
              <w:t>Real Estate &amp; Business</w:t>
            </w:r>
          </w:p>
        </w:tc>
        <w:tc>
          <w:tcPr>
            <w:tcW w:w="2220" w:type="dxa"/>
            <w:vAlign w:val="bottom"/>
          </w:tcPr>
          <w:p>
            <w:pPr>
              <w:ind w:left="520"/>
              <w:spacing w:after="0"/>
              <w:rPr>
                <w:sz w:val="20"/>
                <w:szCs w:val="20"/>
                <w:color w:val="auto"/>
              </w:rPr>
            </w:pPr>
            <w:r>
              <w:rPr>
                <w:rFonts w:ascii="Arial" w:cs="Arial" w:eastAsia="Arial" w:hAnsi="Arial"/>
                <w:sz w:val="13"/>
                <w:szCs w:val="13"/>
                <w:color w:val="004E7D"/>
              </w:rPr>
              <w:t>Human Capital, Professional</w:t>
            </w:r>
          </w:p>
        </w:tc>
        <w:tc>
          <w:tcPr>
            <w:tcW w:w="2200" w:type="dxa"/>
            <w:vAlign w:val="bottom"/>
          </w:tcPr>
          <w:p>
            <w:pPr>
              <w:spacing w:after="0"/>
              <w:rPr>
                <w:sz w:val="24"/>
                <w:szCs w:val="24"/>
                <w:color w:val="auto"/>
              </w:rPr>
            </w:pPr>
          </w:p>
        </w:tc>
        <w:tc>
          <w:tcPr>
            <w:tcW w:w="2020" w:type="dxa"/>
            <w:vAlign w:val="bottom"/>
          </w:tcPr>
          <w:p>
            <w:pPr>
              <w:ind w:left="720"/>
              <w:spacing w:after="0"/>
              <w:rPr>
                <w:sz w:val="20"/>
                <w:szCs w:val="20"/>
                <w:color w:val="auto"/>
              </w:rPr>
            </w:pPr>
            <w:r>
              <w:rPr>
                <w:rFonts w:ascii="Arial" w:cs="Arial" w:eastAsia="Arial" w:hAnsi="Arial"/>
                <w:sz w:val="13"/>
                <w:szCs w:val="13"/>
                <w:color w:val="004E7D"/>
              </w:rPr>
              <w:t>Accounting &amp;</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20"/>
                <w:szCs w:val="20"/>
                <w:color w:val="auto"/>
              </w:rPr>
            </w:pPr>
            <w:r>
              <w:rPr>
                <w:rFonts w:ascii="Arial" w:cs="Arial" w:eastAsia="Arial" w:hAnsi="Arial"/>
                <w:sz w:val="13"/>
                <w:szCs w:val="13"/>
                <w:color w:val="004E7D"/>
              </w:rPr>
              <w:t>Consumer Insights</w:t>
            </w:r>
          </w:p>
        </w:tc>
        <w:tc>
          <w:tcPr>
            <w:tcW w:w="2300" w:type="dxa"/>
            <w:vAlign w:val="bottom"/>
          </w:tcPr>
          <w:p>
            <w:pPr>
              <w:ind w:left="480"/>
              <w:spacing w:after="0"/>
              <w:rPr>
                <w:sz w:val="20"/>
                <w:szCs w:val="20"/>
                <w:color w:val="auto"/>
              </w:rPr>
            </w:pPr>
            <w:r>
              <w:rPr>
                <w:rFonts w:ascii="Arial" w:cs="Arial" w:eastAsia="Arial" w:hAnsi="Arial"/>
                <w:sz w:val="13"/>
                <w:szCs w:val="13"/>
                <w:color w:val="004E7D"/>
              </w:rPr>
              <w:t>Development</w:t>
            </w:r>
          </w:p>
        </w:tc>
        <w:tc>
          <w:tcPr>
            <w:tcW w:w="4420" w:type="dxa"/>
            <w:vAlign w:val="bottom"/>
            <w:gridSpan w:val="2"/>
          </w:tcPr>
          <w:p>
            <w:pPr>
              <w:ind w:left="520"/>
              <w:spacing w:after="0"/>
              <w:rPr>
                <w:sz w:val="20"/>
                <w:szCs w:val="20"/>
                <w:color w:val="auto"/>
              </w:rPr>
            </w:pPr>
            <w:r>
              <w:rPr>
                <w:rFonts w:ascii="Arial" w:cs="Arial" w:eastAsia="Arial" w:hAnsi="Arial"/>
                <w:sz w:val="13"/>
                <w:szCs w:val="13"/>
                <w:color w:val="004E7D"/>
              </w:rPr>
              <w:t>Development &amp; Organizational Culture</w:t>
            </w:r>
          </w:p>
        </w:tc>
        <w:tc>
          <w:tcPr>
            <w:tcW w:w="2020" w:type="dxa"/>
            <w:vAlign w:val="bottom"/>
          </w:tcPr>
          <w:p>
            <w:pPr>
              <w:ind w:left="720"/>
              <w:spacing w:after="0"/>
              <w:rPr>
                <w:sz w:val="20"/>
                <w:szCs w:val="20"/>
                <w:color w:val="auto"/>
              </w:rPr>
            </w:pPr>
            <w:r>
              <w:rPr>
                <w:rFonts w:ascii="Arial" w:cs="Arial" w:eastAsia="Arial" w:hAnsi="Arial"/>
                <w:sz w:val="13"/>
                <w:szCs w:val="13"/>
                <w:color w:val="004E7D"/>
              </w:rPr>
              <w:t>Financial Reporting</w:t>
            </w:r>
          </w:p>
        </w:tc>
        <w:tc>
          <w:tcPr>
            <w:tcW w:w="0" w:type="dxa"/>
            <w:vAlign w:val="bottom"/>
          </w:tcPr>
          <w:p>
            <w:pPr>
              <w:spacing w:after="0"/>
              <w:rPr>
                <w:sz w:val="1"/>
                <w:szCs w:val="1"/>
                <w:color w:val="auto"/>
              </w:rPr>
            </w:pPr>
          </w:p>
        </w:tc>
      </w:tr>
      <w:tr>
        <w:trPr>
          <w:trHeight w:val="374"/>
        </w:trPr>
        <w:tc>
          <w:tcPr>
            <w:tcW w:w="1540" w:type="dxa"/>
            <w:vAlign w:val="bottom"/>
          </w:tcPr>
          <w:p>
            <w:pPr>
              <w:spacing w:after="0"/>
              <w:rPr>
                <w:sz w:val="20"/>
                <w:szCs w:val="20"/>
                <w:color w:val="auto"/>
              </w:rPr>
            </w:pPr>
            <w:r>
              <w:rPr>
                <w:rFonts w:ascii="Arial" w:cs="Arial" w:eastAsia="Arial" w:hAnsi="Arial"/>
                <w:sz w:val="13"/>
                <w:szCs w:val="13"/>
                <w:color w:val="004E7D"/>
              </w:rPr>
              <w:t>Compliance</w:t>
            </w:r>
          </w:p>
        </w:tc>
        <w:tc>
          <w:tcPr>
            <w:tcW w:w="2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-1079500</wp:posOffset>
            </wp:positionV>
            <wp:extent cx="8572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-1079500</wp:posOffset>
            </wp:positionV>
            <wp:extent cx="16256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-1079500</wp:posOffset>
            </wp:positionV>
            <wp:extent cx="1625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-1079500</wp:posOffset>
            </wp:positionV>
            <wp:extent cx="14541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-1079500</wp:posOffset>
            </wp:positionV>
            <wp:extent cx="14541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-710565</wp:posOffset>
            </wp:positionV>
            <wp:extent cx="13716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-779145</wp:posOffset>
            </wp:positionV>
            <wp:extent cx="1371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-779145</wp:posOffset>
            </wp:positionV>
            <wp:extent cx="14605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-710565</wp:posOffset>
            </wp:positionV>
            <wp:extent cx="12890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-779145</wp:posOffset>
            </wp:positionV>
            <wp:extent cx="13716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-367665</wp:posOffset>
            </wp:positionV>
            <wp:extent cx="14605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-419100</wp:posOffset>
            </wp:positionV>
            <wp:extent cx="1371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-367665</wp:posOffset>
            </wp:positionV>
            <wp:extent cx="1371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-419100</wp:posOffset>
            </wp:positionV>
            <wp:extent cx="1371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-144780</wp:posOffset>
            </wp:positionV>
            <wp:extent cx="17970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9705" cy="1371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4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DIANNA F. MORGAN</w:t>
            </w:r>
          </w:p>
        </w:tc>
        <w:tc>
          <w:tcPr>
            <w:tcW w:w="7500" w:type="dxa"/>
            <w:vAlign w:val="bottom"/>
            <w:tcBorders>
              <w:top w:val="single" w:sz="8" w:color="004987"/>
            </w:tcBorders>
          </w:tcPr>
          <w:p>
            <w:pPr>
              <w:spacing w:after="0"/>
              <w:rPr>
                <w:sz w:val="20"/>
                <w:szCs w:val="20"/>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16"/>
                <w:szCs w:val="16"/>
                <w:color w:val="auto"/>
              </w:rPr>
              <w:t>Age: 71</w:t>
            </w:r>
          </w:p>
        </w:tc>
        <w:tc>
          <w:tcPr>
            <w:tcW w:w="7500" w:type="dxa"/>
            <w:vAlign w:val="bottom"/>
          </w:tcPr>
          <w:p>
            <w:pPr>
              <w:ind w:left="2140"/>
              <w:spacing w:after="0"/>
              <w:rPr>
                <w:sz w:val="20"/>
                <w:szCs w:val="20"/>
                <w:color w:val="auto"/>
              </w:rPr>
            </w:pPr>
            <w:r>
              <w:rPr>
                <w:rFonts w:ascii="Arial" w:cs="Arial" w:eastAsia="Arial" w:hAnsi="Arial"/>
                <w:sz w:val="16"/>
                <w:szCs w:val="16"/>
                <w:color w:val="auto"/>
              </w:rPr>
              <w:t>Committees:</w:t>
            </w:r>
          </w:p>
        </w:tc>
      </w:tr>
      <w:tr>
        <w:trPr>
          <w:trHeight w:val="162"/>
        </w:trPr>
        <w:tc>
          <w:tcPr>
            <w:tcW w:w="374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2013</w:t>
            </w:r>
          </w:p>
        </w:tc>
        <w:tc>
          <w:tcPr>
            <w:tcW w:w="7500" w:type="dxa"/>
            <w:vAlign w:val="bottom"/>
          </w:tcPr>
          <w:p>
            <w:pPr>
              <w:ind w:left="2140"/>
              <w:spacing w:after="0" w:line="162" w:lineRule="exact"/>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Compensation Policy (Chair)</w:t>
            </w:r>
          </w:p>
        </w:tc>
      </w:tr>
      <w:tr>
        <w:trPr>
          <w:trHeight w:val="228"/>
        </w:trPr>
        <w:tc>
          <w:tcPr>
            <w:tcW w:w="374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500" w:type="dxa"/>
            <w:vAlign w:val="bottom"/>
          </w:tcPr>
          <w:p>
            <w:pPr>
              <w:ind w:left="2140"/>
              <w:spacing w:after="0"/>
              <w:rPr>
                <w:sz w:val="20"/>
                <w:szCs w:val="20"/>
                <w:color w:val="auto"/>
              </w:rPr>
            </w:pPr>
            <w:r>
              <w:rPr>
                <w:rFonts w:ascii="Arial" w:cs="Arial" w:eastAsia="Arial" w:hAnsi="Arial"/>
                <w:sz w:val="16"/>
                <w:szCs w:val="16"/>
                <w:color w:val="004E7D"/>
              </w:rPr>
              <w:t xml:space="preserve">• </w:t>
            </w:r>
            <w:r>
              <w:rPr>
                <w:rFonts w:ascii="Arial" w:cs="Arial" w:eastAsia="Arial" w:hAnsi="Arial"/>
                <w:sz w:val="16"/>
                <w:szCs w:val="16"/>
                <w:color w:val="000000"/>
              </w:rPr>
              <w:t>Nominating and Corporate Governance</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2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Ms. Morgan retired in 2001 from a 30-year career with Walt Disney World Company, a subsidiary of The Walt Disney Company, a publicly traded entertainment company, where she served most recently as Senior Vice President of Public Affairs and Senior Vice President of Human Resources. During her tenure at Walt Disney World Company, she oversaw the Disney Institute, a recognized leader in experiential training, leadership development, benchmarking and cultural change for business professionals around the world. Ms. Morgan currently serves on the Board of Directors of Chesapeake Utilities Corporation, a publicly traded diversified energy corporation, and the Board of Trustees of Hersha Hospitality Trust, a publicly traded REIT. Within the last five years, she served on the Board of Directors of CNL Health Care Properties II, a publicly traded REIT.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an accomplished senior manager at Walt Disney World Company in various areas, Ms. Morgan brings to the Board best practice expertise in human capital and the customer experience. Ms. Morgan’s previous experience overseeing the Disney Institute, which provides leading professional development programs, and serving as Senior Vice President of Human Resources for Walt Disney World Company have provided her with extensive knowledge of leadership development programs and organizational culture. In addition, Ms. Morgan’s experience as Senior Vice President of Public Affairs for Walt Disney World Company has provided her with a solid foundation in media relations and government relations. She also has extensive experience as a board member of publicly traded and private companies.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80" w:type="dxa"/>
            <w:vAlign w:val="bottom"/>
          </w:tcPr>
          <w:p>
            <w:pPr>
              <w:spacing w:after="0"/>
              <w:rPr>
                <w:sz w:val="20"/>
                <w:szCs w:val="20"/>
                <w:color w:val="auto"/>
              </w:rPr>
            </w:pPr>
            <w:r>
              <w:rPr>
                <w:rFonts w:ascii="Arial" w:cs="Arial" w:eastAsia="Arial" w:hAnsi="Arial"/>
                <w:sz w:val="13"/>
                <w:szCs w:val="13"/>
                <w:color w:val="004E7D"/>
              </w:rPr>
              <w:t>Corporate</w:t>
            </w:r>
          </w:p>
        </w:tc>
        <w:tc>
          <w:tcPr>
            <w:tcW w:w="2240" w:type="dxa"/>
            <w:vAlign w:val="bottom"/>
            <w:vMerge w:val="restart"/>
          </w:tcPr>
          <w:p>
            <w:pPr>
              <w:ind w:left="460"/>
              <w:spacing w:after="0"/>
              <w:rPr>
                <w:sz w:val="20"/>
                <w:szCs w:val="20"/>
                <w:color w:val="auto"/>
              </w:rPr>
            </w:pPr>
            <w:r>
              <w:rPr>
                <w:rFonts w:ascii="Arial" w:cs="Arial" w:eastAsia="Arial" w:hAnsi="Arial"/>
                <w:sz w:val="13"/>
                <w:szCs w:val="13"/>
                <w:color w:val="004E7D"/>
              </w:rPr>
              <w:t>Independence</w:t>
            </w:r>
          </w:p>
        </w:tc>
        <w:tc>
          <w:tcPr>
            <w:tcW w:w="2300" w:type="dxa"/>
            <w:vAlign w:val="bottom"/>
            <w:vMerge w:val="restart"/>
          </w:tcPr>
          <w:p>
            <w:pPr>
              <w:ind w:left="460"/>
              <w:spacing w:after="0"/>
              <w:rPr>
                <w:sz w:val="20"/>
                <w:szCs w:val="20"/>
                <w:color w:val="auto"/>
              </w:rPr>
            </w:pPr>
            <w:r>
              <w:rPr>
                <w:rFonts w:ascii="Arial" w:cs="Arial" w:eastAsia="Arial" w:hAnsi="Arial"/>
                <w:sz w:val="13"/>
                <w:szCs w:val="13"/>
                <w:color w:val="004E7D"/>
              </w:rPr>
              <w:t>Diversity</w:t>
            </w:r>
          </w:p>
        </w:tc>
        <w:tc>
          <w:tcPr>
            <w:tcW w:w="2100" w:type="dxa"/>
            <w:vAlign w:val="bottom"/>
          </w:tcPr>
          <w:p>
            <w:pPr>
              <w:ind w:left="260"/>
              <w:spacing w:after="0"/>
              <w:rPr>
                <w:sz w:val="20"/>
                <w:szCs w:val="20"/>
                <w:color w:val="auto"/>
              </w:rPr>
            </w:pPr>
            <w:r>
              <w:rPr>
                <w:rFonts w:ascii="Arial" w:cs="Arial" w:eastAsia="Arial" w:hAnsi="Arial"/>
                <w:sz w:val="13"/>
                <w:szCs w:val="13"/>
                <w:color w:val="004E7D"/>
              </w:rPr>
              <w:t>Public Company Board</w:t>
            </w:r>
          </w:p>
        </w:tc>
        <w:tc>
          <w:tcPr>
            <w:tcW w:w="1200" w:type="dxa"/>
            <w:vAlign w:val="bottom"/>
          </w:tcPr>
          <w:p>
            <w:pPr>
              <w:ind w:left="460"/>
              <w:spacing w:after="0"/>
              <w:rPr>
                <w:sz w:val="20"/>
                <w:szCs w:val="20"/>
                <w:color w:val="auto"/>
              </w:rPr>
            </w:pPr>
            <w:r>
              <w:rPr>
                <w:rFonts w:ascii="Arial" w:cs="Arial" w:eastAsia="Arial" w:hAnsi="Arial"/>
                <w:sz w:val="13"/>
                <w:szCs w:val="13"/>
                <w:color w:val="004E7D"/>
              </w:rPr>
              <w:t>Risk</w:t>
            </w:r>
          </w:p>
        </w:tc>
        <w:tc>
          <w:tcPr>
            <w:tcW w:w="0" w:type="dxa"/>
            <w:vAlign w:val="bottom"/>
          </w:tcPr>
          <w:p>
            <w:pPr>
              <w:spacing w:after="0"/>
              <w:rPr>
                <w:sz w:val="1"/>
                <w:szCs w:val="1"/>
                <w:color w:val="auto"/>
              </w:rPr>
            </w:pPr>
          </w:p>
        </w:tc>
      </w:tr>
      <w:tr>
        <w:trPr>
          <w:trHeight w:val="98"/>
        </w:trPr>
        <w:tc>
          <w:tcPr>
            <w:tcW w:w="1680" w:type="dxa"/>
            <w:vAlign w:val="bottom"/>
            <w:vMerge w:val="restart"/>
          </w:tcPr>
          <w:p>
            <w:pPr>
              <w:spacing w:after="0"/>
              <w:rPr>
                <w:sz w:val="20"/>
                <w:szCs w:val="20"/>
                <w:color w:val="auto"/>
              </w:rPr>
            </w:pPr>
            <w:r>
              <w:rPr>
                <w:rFonts w:ascii="Arial" w:cs="Arial" w:eastAsia="Arial" w:hAnsi="Arial"/>
                <w:sz w:val="13"/>
                <w:szCs w:val="13"/>
                <w:color w:val="004E7D"/>
              </w:rPr>
              <w:t>Leadership</w:t>
            </w:r>
          </w:p>
        </w:tc>
        <w:tc>
          <w:tcPr>
            <w:tcW w:w="224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2100" w:type="dxa"/>
            <w:vAlign w:val="bottom"/>
            <w:vMerge w:val="restart"/>
          </w:tcPr>
          <w:p>
            <w:pPr>
              <w:ind w:left="260"/>
              <w:spacing w:after="0"/>
              <w:rPr>
                <w:sz w:val="20"/>
                <w:szCs w:val="20"/>
                <w:color w:val="auto"/>
              </w:rPr>
            </w:pPr>
            <w:r>
              <w:rPr>
                <w:rFonts w:ascii="Arial" w:cs="Arial" w:eastAsia="Arial" w:hAnsi="Arial"/>
                <w:sz w:val="13"/>
                <w:szCs w:val="13"/>
                <w:color w:val="004E7D"/>
              </w:rPr>
              <w:t>Service &amp; Governance</w:t>
            </w:r>
          </w:p>
        </w:tc>
        <w:tc>
          <w:tcPr>
            <w:tcW w:w="1200" w:type="dxa"/>
            <w:vAlign w:val="bottom"/>
            <w:vMerge w:val="restart"/>
          </w:tcPr>
          <w:p>
            <w:pPr>
              <w:ind w:left="460"/>
              <w:spacing w:after="0"/>
              <w:rPr>
                <w:sz w:val="20"/>
                <w:szCs w:val="20"/>
                <w:color w:val="auto"/>
              </w:rPr>
            </w:pPr>
            <w:r>
              <w:rPr>
                <w:rFonts w:ascii="Arial" w:cs="Arial" w:eastAsia="Arial" w:hAnsi="Arial"/>
                <w:sz w:val="13"/>
                <w:szCs w:val="13"/>
                <w:color w:val="004E7D"/>
                <w:w w:val="94"/>
              </w:rPr>
              <w:t>Management</w:t>
            </w:r>
          </w:p>
        </w:tc>
        <w:tc>
          <w:tcPr>
            <w:tcW w:w="0" w:type="dxa"/>
            <w:vAlign w:val="bottom"/>
          </w:tcPr>
          <w:p>
            <w:pPr>
              <w:spacing w:after="0"/>
              <w:rPr>
                <w:sz w:val="1"/>
                <w:szCs w:val="1"/>
                <w:color w:val="auto"/>
              </w:rPr>
            </w:pPr>
          </w:p>
        </w:tc>
      </w:tr>
      <w:tr>
        <w:trPr>
          <w:trHeight w:val="68"/>
        </w:trPr>
        <w:tc>
          <w:tcPr>
            <w:tcW w:w="1680" w:type="dxa"/>
            <w:vAlign w:val="bottom"/>
            <w:vMerge w:val="continue"/>
          </w:tcPr>
          <w:p>
            <w:pPr>
              <w:spacing w:after="0"/>
              <w:rPr>
                <w:sz w:val="5"/>
                <w:szCs w:val="5"/>
                <w:color w:val="auto"/>
              </w:rPr>
            </w:pPr>
          </w:p>
        </w:tc>
        <w:tc>
          <w:tcPr>
            <w:tcW w:w="22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r>
              <w:rPr>
                <w:rFonts w:ascii="Arial" w:cs="Arial" w:eastAsia="Arial" w:hAnsi="Arial"/>
                <w:sz w:val="13"/>
                <w:szCs w:val="13"/>
                <w:color w:val="004E7D"/>
              </w:rPr>
              <w:t>Vacation Ownership &amp;</w:t>
            </w:r>
          </w:p>
        </w:tc>
        <w:tc>
          <w:tcPr>
            <w:tcW w:w="2240" w:type="dxa"/>
            <w:vAlign w:val="bottom"/>
          </w:tcPr>
          <w:p>
            <w:pPr>
              <w:ind w:left="460"/>
              <w:spacing w:after="0"/>
              <w:rPr>
                <w:sz w:val="20"/>
                <w:szCs w:val="20"/>
                <w:color w:val="auto"/>
              </w:rPr>
            </w:pPr>
            <w:r>
              <w:rPr>
                <w:rFonts w:ascii="Arial" w:cs="Arial" w:eastAsia="Arial" w:hAnsi="Arial"/>
                <w:sz w:val="13"/>
                <w:szCs w:val="13"/>
                <w:color w:val="004E7D"/>
              </w:rPr>
              <w:t>Legal, Regulatory &amp;</w:t>
            </w:r>
          </w:p>
        </w:tc>
        <w:tc>
          <w:tcPr>
            <w:tcW w:w="2300" w:type="dxa"/>
            <w:vAlign w:val="bottom"/>
          </w:tcPr>
          <w:p>
            <w:pPr>
              <w:ind w:left="460"/>
              <w:spacing w:after="0"/>
              <w:rPr>
                <w:sz w:val="20"/>
                <w:szCs w:val="20"/>
                <w:color w:val="auto"/>
              </w:rPr>
            </w:pPr>
            <w:r>
              <w:rPr>
                <w:rFonts w:ascii="Arial" w:cs="Arial" w:eastAsia="Arial" w:hAnsi="Arial"/>
                <w:sz w:val="13"/>
                <w:szCs w:val="13"/>
                <w:color w:val="004E7D"/>
              </w:rPr>
              <w:t>Sales &amp; Marketing/</w:t>
            </w:r>
          </w:p>
        </w:tc>
        <w:tc>
          <w:tcPr>
            <w:tcW w:w="2100" w:type="dxa"/>
            <w:vAlign w:val="bottom"/>
          </w:tcPr>
          <w:p>
            <w:pPr>
              <w:ind w:left="260"/>
              <w:spacing w:after="0"/>
              <w:rPr>
                <w:sz w:val="20"/>
                <w:szCs w:val="20"/>
                <w:color w:val="auto"/>
              </w:rPr>
            </w:pPr>
            <w:r>
              <w:rPr>
                <w:rFonts w:ascii="Arial" w:cs="Arial" w:eastAsia="Arial" w:hAnsi="Arial"/>
                <w:sz w:val="13"/>
                <w:szCs w:val="13"/>
                <w:color w:val="004E7D"/>
              </w:rPr>
              <w:t>Business Development /</w:t>
            </w:r>
          </w:p>
        </w:tc>
        <w:tc>
          <w:tcPr>
            <w:tcW w:w="1200" w:type="dxa"/>
            <w:vAlign w:val="bottom"/>
          </w:tcPr>
          <w:p>
            <w:pPr>
              <w:ind w:left="460"/>
              <w:spacing w:after="0"/>
              <w:rPr>
                <w:sz w:val="20"/>
                <w:szCs w:val="20"/>
                <w:color w:val="auto"/>
              </w:rPr>
            </w:pPr>
            <w:r>
              <w:rPr>
                <w:rFonts w:ascii="Arial" w:cs="Arial" w:eastAsia="Arial" w:hAnsi="Arial"/>
                <w:sz w:val="13"/>
                <w:szCs w:val="13"/>
                <w:color w:val="004E7D"/>
              </w:rPr>
              <w:t>Strategic</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20"/>
                <w:szCs w:val="20"/>
                <w:color w:val="auto"/>
              </w:rPr>
            </w:pPr>
            <w:r>
              <w:rPr>
                <w:rFonts w:ascii="Arial" w:cs="Arial" w:eastAsia="Arial" w:hAnsi="Arial"/>
                <w:sz w:val="13"/>
                <w:szCs w:val="13"/>
                <w:color w:val="004E7D"/>
              </w:rPr>
              <w:t>Lodging Industry</w:t>
            </w:r>
          </w:p>
        </w:tc>
        <w:tc>
          <w:tcPr>
            <w:tcW w:w="2240" w:type="dxa"/>
            <w:vAlign w:val="bottom"/>
          </w:tcPr>
          <w:p>
            <w:pPr>
              <w:ind w:left="460"/>
              <w:spacing w:after="0"/>
              <w:rPr>
                <w:sz w:val="20"/>
                <w:szCs w:val="20"/>
                <w:color w:val="auto"/>
              </w:rPr>
            </w:pPr>
            <w:r>
              <w:rPr>
                <w:rFonts w:ascii="Arial" w:cs="Arial" w:eastAsia="Arial" w:hAnsi="Arial"/>
                <w:sz w:val="13"/>
                <w:szCs w:val="13"/>
                <w:color w:val="004E7D"/>
              </w:rPr>
              <w:t>Government Relations</w:t>
            </w:r>
          </w:p>
        </w:tc>
        <w:tc>
          <w:tcPr>
            <w:tcW w:w="2300" w:type="dxa"/>
            <w:vAlign w:val="bottom"/>
          </w:tcPr>
          <w:p>
            <w:pPr>
              <w:ind w:left="460"/>
              <w:spacing w:after="0"/>
              <w:rPr>
                <w:sz w:val="20"/>
                <w:szCs w:val="20"/>
                <w:color w:val="auto"/>
              </w:rPr>
            </w:pPr>
            <w:r>
              <w:rPr>
                <w:rFonts w:ascii="Arial" w:cs="Arial" w:eastAsia="Arial" w:hAnsi="Arial"/>
                <w:sz w:val="13"/>
                <w:szCs w:val="13"/>
                <w:color w:val="004E7D"/>
              </w:rPr>
              <w:t>Consumer Insights</w:t>
            </w:r>
          </w:p>
        </w:tc>
        <w:tc>
          <w:tcPr>
            <w:tcW w:w="2100" w:type="dxa"/>
            <w:vAlign w:val="bottom"/>
          </w:tcPr>
          <w:p>
            <w:pPr>
              <w:ind w:left="260"/>
              <w:spacing w:after="0"/>
              <w:rPr>
                <w:sz w:val="20"/>
                <w:szCs w:val="20"/>
                <w:color w:val="auto"/>
              </w:rPr>
            </w:pPr>
            <w:r>
              <w:rPr>
                <w:rFonts w:ascii="Arial" w:cs="Arial" w:eastAsia="Arial" w:hAnsi="Arial"/>
                <w:sz w:val="13"/>
                <w:szCs w:val="13"/>
                <w:color w:val="004E7D"/>
              </w:rPr>
              <w:t>Mergers &amp; Acquisitions</w:t>
            </w:r>
          </w:p>
        </w:tc>
        <w:tc>
          <w:tcPr>
            <w:tcW w:w="1200" w:type="dxa"/>
            <w:vAlign w:val="bottom"/>
          </w:tcPr>
          <w:p>
            <w:pPr>
              <w:ind w:left="460"/>
              <w:spacing w:after="0"/>
              <w:rPr>
                <w:sz w:val="20"/>
                <w:szCs w:val="20"/>
                <w:color w:val="auto"/>
              </w:rPr>
            </w:pPr>
            <w:r>
              <w:rPr>
                <w:rFonts w:ascii="Arial" w:cs="Arial" w:eastAsia="Arial" w:hAnsi="Arial"/>
                <w:sz w:val="13"/>
                <w:szCs w:val="13"/>
                <w:color w:val="004E7D"/>
              </w:rPr>
              <w:t>Planning</w:t>
            </w:r>
          </w:p>
        </w:tc>
        <w:tc>
          <w:tcPr>
            <w:tcW w:w="0" w:type="dxa"/>
            <w:vAlign w:val="bottom"/>
          </w:tcPr>
          <w:p>
            <w:pPr>
              <w:spacing w:after="0"/>
              <w:rPr>
                <w:sz w:val="1"/>
                <w:szCs w:val="1"/>
                <w:color w:val="auto"/>
              </w:rPr>
            </w:pPr>
          </w:p>
        </w:tc>
      </w:tr>
      <w:tr>
        <w:trPr>
          <w:trHeight w:val="239"/>
        </w:trPr>
        <w:tc>
          <w:tcPr>
            <w:tcW w:w="1680" w:type="dxa"/>
            <w:vAlign w:val="bottom"/>
            <w:vMerge w:val="restart"/>
          </w:tcPr>
          <w:p>
            <w:pPr>
              <w:spacing w:after="0"/>
              <w:rPr>
                <w:sz w:val="20"/>
                <w:szCs w:val="20"/>
                <w:color w:val="auto"/>
              </w:rPr>
            </w:pPr>
            <w:r>
              <w:rPr>
                <w:rFonts w:ascii="Arial" w:cs="Arial" w:eastAsia="Arial" w:hAnsi="Arial"/>
                <w:sz w:val="13"/>
                <w:szCs w:val="13"/>
                <w:color w:val="004E7D"/>
              </w:rPr>
              <w:t>Compliance</w:t>
            </w:r>
          </w:p>
        </w:tc>
        <w:tc>
          <w:tcPr>
            <w:tcW w:w="2240" w:type="dxa"/>
            <w:vAlign w:val="bottom"/>
          </w:tcPr>
          <w:p>
            <w:pPr>
              <w:ind w:left="460"/>
              <w:spacing w:after="0"/>
              <w:rPr>
                <w:sz w:val="20"/>
                <w:szCs w:val="20"/>
                <w:color w:val="auto"/>
              </w:rPr>
            </w:pPr>
            <w:r>
              <w:rPr>
                <w:rFonts w:ascii="Arial" w:cs="Arial" w:eastAsia="Arial" w:hAnsi="Arial"/>
                <w:sz w:val="13"/>
                <w:szCs w:val="13"/>
                <w:color w:val="004E7D"/>
              </w:rPr>
              <w:t>Real Estate &amp; Business</w:t>
            </w:r>
          </w:p>
        </w:tc>
        <w:tc>
          <w:tcPr>
            <w:tcW w:w="2300" w:type="dxa"/>
            <w:vAlign w:val="bottom"/>
          </w:tcPr>
          <w:p>
            <w:pPr>
              <w:ind w:left="460"/>
              <w:spacing w:after="0"/>
              <w:rPr>
                <w:sz w:val="20"/>
                <w:szCs w:val="20"/>
                <w:color w:val="auto"/>
              </w:rPr>
            </w:pPr>
            <w:r>
              <w:rPr>
                <w:rFonts w:ascii="Arial" w:cs="Arial" w:eastAsia="Arial" w:hAnsi="Arial"/>
                <w:sz w:val="13"/>
                <w:szCs w:val="13"/>
                <w:color w:val="004E7D"/>
              </w:rPr>
              <w:t>Human Capital, Professional</w:t>
            </w: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2240" w:type="dxa"/>
            <w:vAlign w:val="bottom"/>
            <w:vMerge w:val="restart"/>
          </w:tcPr>
          <w:p>
            <w:pPr>
              <w:ind w:left="460"/>
              <w:spacing w:after="0"/>
              <w:rPr>
                <w:sz w:val="20"/>
                <w:szCs w:val="20"/>
                <w:color w:val="auto"/>
              </w:rPr>
            </w:pPr>
            <w:r>
              <w:rPr>
                <w:rFonts w:ascii="Arial" w:cs="Arial" w:eastAsia="Arial" w:hAnsi="Arial"/>
                <w:sz w:val="13"/>
                <w:szCs w:val="13"/>
                <w:color w:val="004E7D"/>
              </w:rPr>
              <w:t>Development</w:t>
            </w:r>
          </w:p>
        </w:tc>
        <w:tc>
          <w:tcPr>
            <w:tcW w:w="4400" w:type="dxa"/>
            <w:vAlign w:val="bottom"/>
            <w:gridSpan w:val="2"/>
            <w:vMerge w:val="restart"/>
          </w:tcPr>
          <w:p>
            <w:pPr>
              <w:ind w:left="460"/>
              <w:spacing w:after="0"/>
              <w:rPr>
                <w:sz w:val="20"/>
                <w:szCs w:val="20"/>
                <w:color w:val="auto"/>
              </w:rPr>
            </w:pPr>
            <w:r>
              <w:rPr>
                <w:rFonts w:ascii="Arial" w:cs="Arial" w:eastAsia="Arial" w:hAnsi="Arial"/>
                <w:sz w:val="13"/>
                <w:szCs w:val="13"/>
                <w:color w:val="004E7D"/>
              </w:rPr>
              <w:t>Development &amp; Organizational Culture</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440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-702310</wp:posOffset>
            </wp:positionV>
            <wp:extent cx="8572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-702310</wp:posOffset>
            </wp:positionV>
            <wp:extent cx="16319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-702310</wp:posOffset>
            </wp:positionV>
            <wp:extent cx="14541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-702310</wp:posOffset>
            </wp:positionV>
            <wp:extent cx="14605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-702310</wp:posOffset>
            </wp:positionV>
            <wp:extent cx="13716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-410845</wp:posOffset>
            </wp:positionV>
            <wp:extent cx="12827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-445135</wp:posOffset>
            </wp:positionV>
            <wp:extent cx="13716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-445135</wp:posOffset>
            </wp:positionV>
            <wp:extent cx="14541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-445135</wp:posOffset>
            </wp:positionV>
            <wp:extent cx="14605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-445135</wp:posOffset>
            </wp:positionV>
            <wp:extent cx="1371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-187960</wp:posOffset>
            </wp:positionV>
            <wp:extent cx="17970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9705" cy="13716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-187960</wp:posOffset>
            </wp:positionV>
            <wp:extent cx="1371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-187960</wp:posOffset>
            </wp:positionV>
            <wp:extent cx="137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16</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6"/>
        </w:trPr>
        <w:tc>
          <w:tcPr>
            <w:tcW w:w="386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JONICE GRAY TUCKER</w:t>
            </w:r>
          </w:p>
        </w:tc>
        <w:tc>
          <w:tcPr>
            <w:tcW w:w="7380" w:type="dxa"/>
            <w:vAlign w:val="bottom"/>
            <w:tcBorders>
              <w:top w:val="single" w:sz="8" w:color="004987"/>
            </w:tcBorders>
          </w:tcPr>
          <w:p>
            <w:pPr>
              <w:spacing w:after="0"/>
              <w:rPr>
                <w:sz w:val="20"/>
                <w:szCs w:val="20"/>
                <w:color w:val="auto"/>
              </w:rPr>
            </w:pPr>
          </w:p>
        </w:tc>
      </w:tr>
      <w:tr>
        <w:trPr>
          <w:trHeight w:val="263"/>
        </w:trPr>
        <w:tc>
          <w:tcPr>
            <w:tcW w:w="3860" w:type="dxa"/>
            <w:vAlign w:val="bottom"/>
          </w:tcPr>
          <w:p>
            <w:pPr>
              <w:ind w:left="20"/>
              <w:spacing w:after="0"/>
              <w:rPr>
                <w:sz w:val="20"/>
                <w:szCs w:val="20"/>
                <w:color w:val="auto"/>
              </w:rPr>
            </w:pPr>
            <w:r>
              <w:rPr>
                <w:rFonts w:ascii="Arial" w:cs="Arial" w:eastAsia="Arial" w:hAnsi="Arial"/>
                <w:sz w:val="16"/>
                <w:szCs w:val="16"/>
                <w:color w:val="auto"/>
              </w:rPr>
              <w:t>Age: 47</w:t>
            </w:r>
          </w:p>
        </w:tc>
        <w:tc>
          <w:tcPr>
            <w:tcW w:w="7380" w:type="dxa"/>
            <w:vAlign w:val="bottom"/>
          </w:tcPr>
          <w:p>
            <w:pPr>
              <w:ind w:left="2020"/>
              <w:spacing w:after="0"/>
              <w:rPr>
                <w:sz w:val="20"/>
                <w:szCs w:val="20"/>
                <w:color w:val="auto"/>
              </w:rPr>
            </w:pPr>
            <w:r>
              <w:rPr>
                <w:rFonts w:ascii="Arial" w:cs="Arial" w:eastAsia="Arial" w:hAnsi="Arial"/>
                <w:sz w:val="16"/>
                <w:szCs w:val="16"/>
                <w:color w:val="auto"/>
              </w:rPr>
              <w:t>Committees:</w:t>
            </w:r>
          </w:p>
        </w:tc>
      </w:tr>
      <w:tr>
        <w:trPr>
          <w:trHeight w:val="162"/>
        </w:trPr>
        <w:tc>
          <w:tcPr>
            <w:tcW w:w="3860" w:type="dxa"/>
            <w:vAlign w:val="bottom"/>
          </w:tcPr>
          <w:p>
            <w:pPr>
              <w:ind w:left="20"/>
              <w:spacing w:after="0" w:line="162" w:lineRule="exact"/>
              <w:rPr>
                <w:sz w:val="20"/>
                <w:szCs w:val="20"/>
                <w:color w:val="auto"/>
              </w:rPr>
            </w:pPr>
            <w:r>
              <w:rPr>
                <w:rFonts w:ascii="Arial" w:cs="Arial" w:eastAsia="Arial" w:hAnsi="Arial"/>
                <w:sz w:val="16"/>
                <w:szCs w:val="16"/>
                <w:color w:val="auto"/>
              </w:rPr>
              <w:t>Director Since: 2021</w:t>
            </w:r>
          </w:p>
        </w:tc>
        <w:tc>
          <w:tcPr>
            <w:tcW w:w="7380" w:type="dxa"/>
            <w:vAlign w:val="bottom"/>
          </w:tcPr>
          <w:p>
            <w:pPr>
              <w:ind w:left="2020"/>
              <w:spacing w:after="0" w:line="162" w:lineRule="exact"/>
              <w:rPr>
                <w:sz w:val="20"/>
                <w:szCs w:val="20"/>
                <w:color w:val="auto"/>
              </w:rPr>
            </w:pPr>
            <w:r>
              <w:rPr>
                <w:rFonts w:ascii="Arial" w:cs="Arial" w:eastAsia="Arial" w:hAnsi="Arial"/>
                <w:sz w:val="16"/>
                <w:szCs w:val="16"/>
                <w:color w:val="004E7D"/>
              </w:rPr>
              <w:t>• Audit</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Independent: Yes</w:t>
            </w:r>
          </w:p>
        </w:tc>
        <w:tc>
          <w:tcPr>
            <w:tcW w:w="7380" w:type="dxa"/>
            <w:vAlign w:val="bottom"/>
          </w:tcPr>
          <w:p>
            <w:pPr>
              <w:ind w:left="2020"/>
              <w:spacing w:after="0"/>
              <w:rPr>
                <w:sz w:val="20"/>
                <w:szCs w:val="20"/>
                <w:color w:val="auto"/>
              </w:rPr>
            </w:pPr>
            <w:r>
              <w:rPr>
                <w:rFonts w:ascii="Arial" w:cs="Arial" w:eastAsia="Arial" w:hAnsi="Arial"/>
                <w:sz w:val="16"/>
                <w:szCs w:val="16"/>
                <w:color w:val="004E7D"/>
              </w:rPr>
              <w:t>•  Nominating &amp; Corporate Governance</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Experience</w:t>
      </w:r>
    </w:p>
    <w:p>
      <w:pPr>
        <w:spacing w:after="0" w:line="35"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Ms. Gray Tucker is a Partner with Paul Hastings, practicing in the Financial Services - Investigations, Regulation, and Litigation Group. Throughout her professional career, Ms. Gray Tucker has specialized in work with banks, non-bank financial institutions, and other companies providing financial products and services. She works with some of the largest bank and non-bank financial institutions, emerging companies such as fintechs, and retailers whose business operations include consumer and commercial finance. Ms. Gray Tucker’s work is focused on representing corporate clients in high-stakes legal proceedings, including matters initiated by federal and state regulators, private civil litigation, and internal investigations. Ms. Gray Tucker’s work includes particularized focus on matters related to consumer protection and corporate compliance. Ms. Gray Tucker routinely provides strategic advice to senior corporate leaders, including Boards of Directors, as they navigate complex, and often unexpected, business and legal challenges. In view of the nature of her practice, this work often involves crisis management.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04E7D"/>
        </w:rPr>
        <w:t>Skills and Experience</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Ms. Gray Tucker has been deeply professionally engaged as a leader in her industry. She is the Immediate Past Chair of the American Bar Association’s Banking Law Committee, which had over 2,000 members during her three-year term. She now sits on the Leadership Council for the American Bar Association’s Business Law Section. She has delivered over 200 speeches and authored more than 20 articles in the past few years. Outside of her professional work, Ms. Gray Tucker has served as a Director and as a senior leader for numerous non-profit organizations. Her current affiliations include serving as the Vice President of the Board of Directors for The Legal Aid Society of the District of Columbia and on the Advisory Board for the Ron Brown Scholars Program. Prior to joining Paul Hastings, Ms. Gray Tucker was a Founding Partner and Governing Board Member of Buckley LLP. She holds a BA from the University of Virginia (Phi Beta Kappa) and a JD from Yale Law School. Ms. Gray Tucker brings to the Board a fresh and unique perspective in the areas of financial and capital markets, regulatory affairs, consumer protection, risk and crisis management, and technology. These attributes will be an asset to the Company as it continues to make investments designed to drive continued, sustainable future growth.</w:t>
      </w:r>
    </w:p>
    <w:p>
      <w:pPr>
        <w:spacing w:after="0" w:line="101"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1220" w:type="dxa"/>
            <w:vAlign w:val="bottom"/>
          </w:tcPr>
          <w:p>
            <w:pPr>
              <w:spacing w:after="0"/>
              <w:rPr>
                <w:sz w:val="20"/>
                <w:szCs w:val="20"/>
                <w:color w:val="auto"/>
              </w:rPr>
            </w:pPr>
            <w:r>
              <w:rPr>
                <w:rFonts w:ascii="Arial" w:cs="Arial" w:eastAsia="Arial" w:hAnsi="Arial"/>
                <w:sz w:val="13"/>
                <w:szCs w:val="13"/>
                <w:color w:val="004E7D"/>
              </w:rPr>
              <w:t>Corporate</w:t>
            </w:r>
          </w:p>
        </w:tc>
        <w:tc>
          <w:tcPr>
            <w:tcW w:w="2140" w:type="dxa"/>
            <w:vAlign w:val="bottom"/>
            <w:vMerge w:val="restart"/>
          </w:tcPr>
          <w:p>
            <w:pPr>
              <w:ind w:left="560"/>
              <w:spacing w:after="0"/>
              <w:rPr>
                <w:sz w:val="20"/>
                <w:szCs w:val="20"/>
                <w:color w:val="auto"/>
              </w:rPr>
            </w:pPr>
            <w:r>
              <w:rPr>
                <w:rFonts w:ascii="Arial" w:cs="Arial" w:eastAsia="Arial" w:hAnsi="Arial"/>
                <w:sz w:val="13"/>
                <w:szCs w:val="13"/>
                <w:color w:val="004E7D"/>
              </w:rPr>
              <w:t>Independence</w:t>
            </w:r>
          </w:p>
        </w:tc>
        <w:tc>
          <w:tcPr>
            <w:tcW w:w="1900" w:type="dxa"/>
            <w:vAlign w:val="bottom"/>
            <w:vMerge w:val="restart"/>
          </w:tcPr>
          <w:p>
            <w:pPr>
              <w:ind w:left="540"/>
              <w:spacing w:after="0"/>
              <w:rPr>
                <w:sz w:val="20"/>
                <w:szCs w:val="20"/>
                <w:color w:val="auto"/>
              </w:rPr>
            </w:pPr>
            <w:r>
              <w:rPr>
                <w:rFonts w:ascii="Arial" w:cs="Arial" w:eastAsia="Arial" w:hAnsi="Arial"/>
                <w:sz w:val="13"/>
                <w:szCs w:val="13"/>
                <w:color w:val="004E7D"/>
              </w:rPr>
              <w:t>Diversity</w:t>
            </w:r>
          </w:p>
        </w:tc>
        <w:tc>
          <w:tcPr>
            <w:tcW w:w="1520" w:type="dxa"/>
            <w:vAlign w:val="bottom"/>
          </w:tcPr>
          <w:p>
            <w:pPr>
              <w:ind w:left="140"/>
              <w:spacing w:after="0"/>
              <w:rPr>
                <w:sz w:val="20"/>
                <w:szCs w:val="20"/>
                <w:color w:val="auto"/>
              </w:rPr>
            </w:pPr>
            <w:r>
              <w:rPr>
                <w:rFonts w:ascii="Arial" w:cs="Arial" w:eastAsia="Arial" w:hAnsi="Arial"/>
                <w:sz w:val="13"/>
                <w:szCs w:val="13"/>
                <w:color w:val="004E7D"/>
              </w:rPr>
              <w:t>Risk</w:t>
            </w:r>
          </w:p>
        </w:tc>
        <w:tc>
          <w:tcPr>
            <w:tcW w:w="1880" w:type="dxa"/>
            <w:vAlign w:val="bottom"/>
          </w:tcPr>
          <w:p>
            <w:pPr>
              <w:ind w:left="640"/>
              <w:spacing w:after="0"/>
              <w:rPr>
                <w:sz w:val="20"/>
                <w:szCs w:val="20"/>
                <w:color w:val="auto"/>
              </w:rPr>
            </w:pPr>
            <w:r>
              <w:rPr>
                <w:rFonts w:ascii="Arial" w:cs="Arial" w:eastAsia="Arial" w:hAnsi="Arial"/>
                <w:sz w:val="13"/>
                <w:szCs w:val="13"/>
                <w:color w:val="004E7D"/>
              </w:rPr>
              <w:t>Strategic</w:t>
            </w:r>
          </w:p>
        </w:tc>
        <w:tc>
          <w:tcPr>
            <w:tcW w:w="0" w:type="dxa"/>
            <w:vAlign w:val="bottom"/>
          </w:tcPr>
          <w:p>
            <w:pPr>
              <w:spacing w:after="0"/>
              <w:rPr>
                <w:sz w:val="1"/>
                <w:szCs w:val="1"/>
                <w:color w:val="auto"/>
              </w:rPr>
            </w:pPr>
          </w:p>
        </w:tc>
      </w:tr>
      <w:tr>
        <w:trPr>
          <w:trHeight w:val="108"/>
        </w:trPr>
        <w:tc>
          <w:tcPr>
            <w:tcW w:w="1220" w:type="dxa"/>
            <w:vAlign w:val="bottom"/>
            <w:vMerge w:val="restart"/>
          </w:tcPr>
          <w:p>
            <w:pPr>
              <w:spacing w:after="0"/>
              <w:rPr>
                <w:sz w:val="20"/>
                <w:szCs w:val="20"/>
                <w:color w:val="auto"/>
              </w:rPr>
            </w:pPr>
            <w:r>
              <w:rPr>
                <w:rFonts w:ascii="Arial" w:cs="Arial" w:eastAsia="Arial" w:hAnsi="Arial"/>
                <w:sz w:val="13"/>
                <w:szCs w:val="13"/>
                <w:color w:val="004E7D"/>
              </w:rPr>
              <w:t>Leadership</w:t>
            </w:r>
          </w:p>
        </w:tc>
        <w:tc>
          <w:tcPr>
            <w:tcW w:w="214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520" w:type="dxa"/>
            <w:vAlign w:val="bottom"/>
            <w:vMerge w:val="restart"/>
          </w:tcPr>
          <w:p>
            <w:pPr>
              <w:ind w:left="140"/>
              <w:spacing w:after="0"/>
              <w:rPr>
                <w:sz w:val="20"/>
                <w:szCs w:val="20"/>
                <w:color w:val="auto"/>
              </w:rPr>
            </w:pPr>
            <w:r>
              <w:rPr>
                <w:rFonts w:ascii="Arial" w:cs="Arial" w:eastAsia="Arial" w:hAnsi="Arial"/>
                <w:sz w:val="13"/>
                <w:szCs w:val="13"/>
                <w:color w:val="004E7D"/>
              </w:rPr>
              <w:t>Management</w:t>
            </w:r>
          </w:p>
        </w:tc>
        <w:tc>
          <w:tcPr>
            <w:tcW w:w="1880" w:type="dxa"/>
            <w:vAlign w:val="bottom"/>
            <w:vMerge w:val="restart"/>
          </w:tcPr>
          <w:p>
            <w:pPr>
              <w:ind w:left="640"/>
              <w:spacing w:after="0"/>
              <w:rPr>
                <w:sz w:val="20"/>
                <w:szCs w:val="20"/>
                <w:color w:val="auto"/>
              </w:rPr>
            </w:pPr>
            <w:r>
              <w:rPr>
                <w:rFonts w:ascii="Arial" w:cs="Arial" w:eastAsia="Arial" w:hAnsi="Arial"/>
                <w:sz w:val="13"/>
                <w:szCs w:val="13"/>
                <w:color w:val="004E7D"/>
              </w:rPr>
              <w:t>Planning</w:t>
            </w:r>
          </w:p>
        </w:tc>
        <w:tc>
          <w:tcPr>
            <w:tcW w:w="0" w:type="dxa"/>
            <w:vAlign w:val="bottom"/>
          </w:tcPr>
          <w:p>
            <w:pPr>
              <w:spacing w:after="0"/>
              <w:rPr>
                <w:sz w:val="1"/>
                <w:szCs w:val="1"/>
                <w:color w:val="auto"/>
              </w:rPr>
            </w:pPr>
          </w:p>
        </w:tc>
      </w:tr>
      <w:tr>
        <w:trPr>
          <w:trHeight w:val="58"/>
        </w:trPr>
        <w:tc>
          <w:tcPr>
            <w:tcW w:w="1220" w:type="dxa"/>
            <w:vAlign w:val="bottom"/>
            <w:vMerge w:val="continue"/>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2140" w:type="dxa"/>
            <w:vAlign w:val="bottom"/>
            <w:vMerge w:val="restart"/>
          </w:tcPr>
          <w:p>
            <w:pPr>
              <w:ind w:left="560"/>
              <w:spacing w:after="0"/>
              <w:rPr>
                <w:sz w:val="20"/>
                <w:szCs w:val="20"/>
                <w:color w:val="auto"/>
              </w:rPr>
            </w:pPr>
            <w:r>
              <w:rPr>
                <w:rFonts w:ascii="Arial" w:cs="Arial" w:eastAsia="Arial" w:hAnsi="Arial"/>
                <w:sz w:val="13"/>
                <w:szCs w:val="13"/>
                <w:color w:val="004E7D"/>
              </w:rPr>
              <w:t>Sales &amp; Marketing/</w:t>
            </w:r>
          </w:p>
        </w:tc>
        <w:tc>
          <w:tcPr>
            <w:tcW w:w="3420" w:type="dxa"/>
            <w:vAlign w:val="bottom"/>
            <w:gridSpan w:val="2"/>
            <w:vMerge w:val="restart"/>
          </w:tcPr>
          <w:p>
            <w:pPr>
              <w:ind w:left="540"/>
              <w:spacing w:after="0"/>
              <w:rPr>
                <w:sz w:val="20"/>
                <w:szCs w:val="20"/>
                <w:color w:val="auto"/>
              </w:rPr>
            </w:pPr>
            <w:r>
              <w:rPr>
                <w:rFonts w:ascii="Arial" w:cs="Arial" w:eastAsia="Arial" w:hAnsi="Arial"/>
                <w:sz w:val="13"/>
                <w:szCs w:val="13"/>
                <w:color w:val="004E7D"/>
              </w:rPr>
              <w:t>Technology &amp; Cybersecurity/</w:t>
            </w:r>
          </w:p>
        </w:tc>
        <w:tc>
          <w:tcPr>
            <w:tcW w:w="1880" w:type="dxa"/>
            <w:vAlign w:val="bottom"/>
          </w:tcPr>
          <w:p>
            <w:pPr>
              <w:ind w:left="640"/>
              <w:spacing w:after="0"/>
              <w:rPr>
                <w:sz w:val="20"/>
                <w:szCs w:val="20"/>
                <w:color w:val="auto"/>
              </w:rPr>
            </w:pPr>
            <w:r>
              <w:rPr>
                <w:rFonts w:ascii="Arial" w:cs="Arial" w:eastAsia="Arial" w:hAnsi="Arial"/>
                <w:sz w:val="13"/>
                <w:szCs w:val="13"/>
                <w:color w:val="004E7D"/>
              </w:rPr>
              <w:t>Legal, Regulatory &amp;</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Arial" w:cs="Arial" w:eastAsia="Arial" w:hAnsi="Arial"/>
                <w:sz w:val="13"/>
                <w:szCs w:val="13"/>
                <w:color w:val="004E7D"/>
              </w:rPr>
              <w:t>Compliance</w:t>
            </w:r>
          </w:p>
        </w:tc>
        <w:tc>
          <w:tcPr>
            <w:tcW w:w="2140" w:type="dxa"/>
            <w:vAlign w:val="bottom"/>
            <w:vMerge w:val="continue"/>
          </w:tcPr>
          <w:p>
            <w:pPr>
              <w:spacing w:after="0"/>
              <w:rPr>
                <w:sz w:val="10"/>
                <w:szCs w:val="10"/>
                <w:color w:val="auto"/>
              </w:rPr>
            </w:pPr>
          </w:p>
        </w:tc>
        <w:tc>
          <w:tcPr>
            <w:tcW w:w="3420" w:type="dxa"/>
            <w:vAlign w:val="bottom"/>
            <w:gridSpan w:val="2"/>
            <w:vMerge w:val="continue"/>
          </w:tcPr>
          <w:p>
            <w:pPr>
              <w:spacing w:after="0"/>
              <w:rPr>
                <w:sz w:val="10"/>
                <w:szCs w:val="10"/>
                <w:color w:val="auto"/>
              </w:rPr>
            </w:pPr>
          </w:p>
        </w:tc>
        <w:tc>
          <w:tcPr>
            <w:tcW w:w="1880" w:type="dxa"/>
            <w:vAlign w:val="bottom"/>
          </w:tcPr>
          <w:p>
            <w:pPr>
              <w:ind w:left="640"/>
              <w:spacing w:after="0" w:line="122" w:lineRule="exact"/>
              <w:rPr>
                <w:sz w:val="20"/>
                <w:szCs w:val="20"/>
                <w:color w:val="auto"/>
              </w:rPr>
            </w:pPr>
            <w:r>
              <w:rPr>
                <w:rFonts w:ascii="Arial" w:cs="Arial" w:eastAsia="Arial" w:hAnsi="Arial"/>
                <w:sz w:val="13"/>
                <w:szCs w:val="13"/>
                <w:color w:val="004E7D"/>
                <w:w w:val="94"/>
              </w:rPr>
              <w:t>Government Relations</w:t>
            </w:r>
          </w:p>
        </w:tc>
        <w:tc>
          <w:tcPr>
            <w:tcW w:w="0" w:type="dxa"/>
            <w:vAlign w:val="bottom"/>
          </w:tcPr>
          <w:p>
            <w:pPr>
              <w:spacing w:after="0"/>
              <w:rPr>
                <w:sz w:val="1"/>
                <w:szCs w:val="1"/>
                <w:color w:val="auto"/>
              </w:rPr>
            </w:pPr>
          </w:p>
        </w:tc>
      </w:tr>
      <w:tr>
        <w:trPr>
          <w:trHeight w:val="166"/>
        </w:trPr>
        <w:tc>
          <w:tcPr>
            <w:tcW w:w="1220" w:type="dxa"/>
            <w:vAlign w:val="bottom"/>
            <w:vMerge w:val="continue"/>
          </w:tcPr>
          <w:p>
            <w:pPr>
              <w:spacing w:after="0"/>
              <w:rPr>
                <w:sz w:val="14"/>
                <w:szCs w:val="14"/>
                <w:color w:val="auto"/>
              </w:rPr>
            </w:pPr>
          </w:p>
        </w:tc>
        <w:tc>
          <w:tcPr>
            <w:tcW w:w="2140" w:type="dxa"/>
            <w:vAlign w:val="bottom"/>
          </w:tcPr>
          <w:p>
            <w:pPr>
              <w:ind w:left="560"/>
              <w:spacing w:after="0"/>
              <w:rPr>
                <w:sz w:val="20"/>
                <w:szCs w:val="20"/>
                <w:color w:val="auto"/>
              </w:rPr>
            </w:pPr>
            <w:r>
              <w:rPr>
                <w:rFonts w:ascii="Arial" w:cs="Arial" w:eastAsia="Arial" w:hAnsi="Arial"/>
                <w:sz w:val="13"/>
                <w:szCs w:val="13"/>
                <w:color w:val="004E7D"/>
              </w:rPr>
              <w:t>Consumer Insights</w:t>
            </w:r>
          </w:p>
        </w:tc>
        <w:tc>
          <w:tcPr>
            <w:tcW w:w="1900" w:type="dxa"/>
            <w:vAlign w:val="bottom"/>
          </w:tcPr>
          <w:p>
            <w:pPr>
              <w:ind w:left="540"/>
              <w:spacing w:after="0"/>
              <w:rPr>
                <w:sz w:val="20"/>
                <w:szCs w:val="20"/>
                <w:color w:val="auto"/>
              </w:rPr>
            </w:pPr>
            <w:r>
              <w:rPr>
                <w:rFonts w:ascii="Arial" w:cs="Arial" w:eastAsia="Arial" w:hAnsi="Arial"/>
                <w:sz w:val="13"/>
                <w:szCs w:val="13"/>
                <w:color w:val="004E7D"/>
              </w:rPr>
              <w:t>Digital &amp; Social Media</w:t>
            </w: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-516255</wp:posOffset>
            </wp:positionV>
            <wp:extent cx="8572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-516255</wp:posOffset>
            </wp:positionV>
            <wp:extent cx="16256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-516255</wp:posOffset>
            </wp:positionV>
            <wp:extent cx="14541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-516255</wp:posOffset>
            </wp:positionV>
            <wp:extent cx="13716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-516255</wp:posOffset>
            </wp:positionV>
            <wp:extent cx="13716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-259080</wp:posOffset>
            </wp:positionV>
            <wp:extent cx="17970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9705" cy="13716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-259080</wp:posOffset>
            </wp:positionV>
            <wp:extent cx="14541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-224790</wp:posOffset>
            </wp:positionV>
            <wp:extent cx="13716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-259080</wp:posOffset>
            </wp:positionV>
            <wp:extent cx="13716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17</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SUMMARY OF DIRECTOR ATTRIBUTES AND SKILLS</w:t>
      </w:r>
    </w:p>
    <w:p>
      <w:pPr>
        <w:spacing w:after="0" w:line="5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Board members have a diversity of experience and bring a wide variety of skills, qualifications and viewpoints that strengthen the Board’s oversight role on behalf of our stockholders. The following highlights certain key characteristics of our directors. Additional information can be found in their biographies.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 w:type="dxa"/>
            <w:vAlign w:val="bottom"/>
            <w:tcBorders>
              <w:bottom w:val="single" w:sz="8" w:color="004E7D"/>
            </w:tcBorders>
          </w:tcPr>
          <w:p>
            <w:pPr>
              <w:spacing w:after="0"/>
              <w:rPr>
                <w:sz w:val="15"/>
                <w:szCs w:val="15"/>
                <w:color w:val="auto"/>
              </w:rPr>
            </w:pPr>
          </w:p>
        </w:tc>
        <w:tc>
          <w:tcPr>
            <w:tcW w:w="3080" w:type="dxa"/>
            <w:vAlign w:val="bottom"/>
            <w:tcBorders>
              <w:bottom w:val="single" w:sz="8" w:color="004E7D"/>
            </w:tcBorders>
          </w:tcPr>
          <w:p>
            <w:pPr>
              <w:spacing w:after="0"/>
              <w:rPr>
                <w:sz w:val="15"/>
                <w:szCs w:val="15"/>
                <w:color w:val="auto"/>
              </w:rPr>
            </w:pPr>
          </w:p>
        </w:tc>
        <w:tc>
          <w:tcPr>
            <w:tcW w:w="520" w:type="dxa"/>
            <w:vAlign w:val="bottom"/>
            <w:tcBorders>
              <w:bottom w:val="single" w:sz="8" w:color="004E7D"/>
            </w:tcBorders>
          </w:tcPr>
          <w:p>
            <w:pPr>
              <w:jc w:val="right"/>
              <w:ind w:right="56"/>
              <w:spacing w:after="0"/>
              <w:rPr>
                <w:sz w:val="20"/>
                <w:szCs w:val="20"/>
                <w:color w:val="auto"/>
              </w:rPr>
            </w:pPr>
            <w:r>
              <w:rPr>
                <w:rFonts w:ascii="Arial" w:cs="Arial" w:eastAsia="Arial" w:hAnsi="Arial"/>
                <w:sz w:val="13"/>
                <w:szCs w:val="13"/>
                <w:b w:val="1"/>
                <w:bCs w:val="1"/>
                <w:color w:val="004E7D"/>
              </w:rPr>
              <w:t>Shaw</w:t>
            </w:r>
          </w:p>
        </w:tc>
        <w:tc>
          <w:tcPr>
            <w:tcW w:w="820" w:type="dxa"/>
            <w:vAlign w:val="bottom"/>
            <w:tcBorders>
              <w:bottom w:val="single" w:sz="8" w:color="004E7D"/>
            </w:tcBorders>
          </w:tcPr>
          <w:p>
            <w:pPr>
              <w:jc w:val="right"/>
              <w:ind w:right="76"/>
              <w:spacing w:after="0"/>
              <w:rPr>
                <w:sz w:val="20"/>
                <w:szCs w:val="20"/>
                <w:color w:val="auto"/>
              </w:rPr>
            </w:pPr>
            <w:r>
              <w:rPr>
                <w:rFonts w:ascii="Arial" w:cs="Arial" w:eastAsia="Arial" w:hAnsi="Arial"/>
                <w:sz w:val="13"/>
                <w:szCs w:val="13"/>
                <w:b w:val="1"/>
                <w:bCs w:val="1"/>
                <w:color w:val="004E7D"/>
              </w:rPr>
              <w:t>Andrews</w:t>
            </w:r>
          </w:p>
        </w:tc>
        <w:tc>
          <w:tcPr>
            <w:tcW w:w="880" w:type="dxa"/>
            <w:vAlign w:val="bottom"/>
            <w:tcBorders>
              <w:bottom w:val="single" w:sz="8" w:color="004E7D"/>
            </w:tcBorders>
          </w:tcPr>
          <w:p>
            <w:pPr>
              <w:ind w:left="140"/>
              <w:spacing w:after="0"/>
              <w:rPr>
                <w:sz w:val="20"/>
                <w:szCs w:val="20"/>
                <w:color w:val="auto"/>
              </w:rPr>
            </w:pPr>
            <w:r>
              <w:rPr>
                <w:rFonts w:ascii="Arial" w:cs="Arial" w:eastAsia="Arial" w:hAnsi="Arial"/>
                <w:sz w:val="13"/>
                <w:szCs w:val="13"/>
                <w:b w:val="1"/>
                <w:bCs w:val="1"/>
                <w:color w:val="004E7D"/>
              </w:rPr>
              <w:t>Galbreath</w:t>
            </w:r>
          </w:p>
        </w:tc>
        <w:tc>
          <w:tcPr>
            <w:tcW w:w="72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rPr>
              <w:t>Gellein</w:t>
            </w:r>
          </w:p>
        </w:tc>
        <w:tc>
          <w:tcPr>
            <w:tcW w:w="660" w:type="dxa"/>
            <w:vAlign w:val="bottom"/>
            <w:tcBorders>
              <w:bottom w:val="single" w:sz="8" w:color="004E7D"/>
            </w:tcBorders>
          </w:tcPr>
          <w:p>
            <w:pPr>
              <w:jc w:val="right"/>
              <w:ind w:right="76"/>
              <w:spacing w:after="0"/>
              <w:rPr>
                <w:sz w:val="20"/>
                <w:szCs w:val="20"/>
                <w:color w:val="auto"/>
              </w:rPr>
            </w:pPr>
            <w:r>
              <w:rPr>
                <w:rFonts w:ascii="Arial" w:cs="Arial" w:eastAsia="Arial" w:hAnsi="Arial"/>
                <w:sz w:val="13"/>
                <w:szCs w:val="13"/>
                <w:b w:val="1"/>
                <w:bCs w:val="1"/>
                <w:color w:val="004E7D"/>
              </w:rPr>
              <w:t>Geller</w:t>
            </w:r>
          </w:p>
        </w:tc>
        <w:tc>
          <w:tcPr>
            <w:tcW w:w="82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rPr>
              <w:t>Martinez</w:t>
            </w:r>
          </w:p>
        </w:tc>
        <w:tc>
          <w:tcPr>
            <w:tcW w:w="88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rPr>
              <w:t>McCarten</w:t>
            </w:r>
          </w:p>
        </w:tc>
        <w:tc>
          <w:tcPr>
            <w:tcW w:w="74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7"/>
              </w:rPr>
              <w:t>Morgan</w:t>
            </w:r>
          </w:p>
        </w:tc>
        <w:tc>
          <w:tcPr>
            <w:tcW w:w="1020" w:type="dxa"/>
            <w:vAlign w:val="bottom"/>
            <w:tcBorders>
              <w:bottom w:val="single" w:sz="8" w:color="004E7D"/>
            </w:tcBorders>
          </w:tcPr>
          <w:p>
            <w:pPr>
              <w:jc w:val="center"/>
              <w:ind w:right="214"/>
              <w:spacing w:after="0"/>
              <w:rPr>
                <w:sz w:val="20"/>
                <w:szCs w:val="20"/>
                <w:color w:val="auto"/>
              </w:rPr>
            </w:pPr>
            <w:r>
              <w:rPr>
                <w:rFonts w:ascii="Arial" w:cs="Arial" w:eastAsia="Arial" w:hAnsi="Arial"/>
                <w:sz w:val="13"/>
                <w:szCs w:val="13"/>
                <w:b w:val="1"/>
                <w:bCs w:val="1"/>
                <w:color w:val="004E7D"/>
                <w:w w:val="99"/>
              </w:rPr>
              <w:t>Quazzo</w:t>
            </w:r>
          </w:p>
        </w:tc>
        <w:tc>
          <w:tcPr>
            <w:tcW w:w="600" w:type="dxa"/>
            <w:vAlign w:val="bottom"/>
            <w:tcBorders>
              <w:bottom w:val="single" w:sz="8" w:color="004E7D"/>
            </w:tcBorders>
          </w:tcPr>
          <w:p>
            <w:pPr>
              <w:ind w:left="100"/>
              <w:spacing w:after="0"/>
              <w:rPr>
                <w:sz w:val="20"/>
                <w:szCs w:val="20"/>
                <w:color w:val="auto"/>
              </w:rPr>
            </w:pPr>
            <w:r>
              <w:rPr>
                <w:rFonts w:ascii="Arial" w:cs="Arial" w:eastAsia="Arial" w:hAnsi="Arial"/>
                <w:sz w:val="13"/>
                <w:szCs w:val="13"/>
                <w:b w:val="1"/>
                <w:bCs w:val="1"/>
                <w:color w:val="004E7D"/>
              </w:rPr>
              <w:t>Tucker</w:t>
            </w: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3080" w:type="dxa"/>
            <w:vAlign w:val="bottom"/>
          </w:tcPr>
          <w:p>
            <w:pPr>
              <w:ind w:left="20"/>
              <w:spacing w:after="0" w:line="145" w:lineRule="exact"/>
              <w:rPr>
                <w:sz w:val="20"/>
                <w:szCs w:val="20"/>
                <w:color w:val="auto"/>
              </w:rPr>
            </w:pPr>
            <w:r>
              <w:rPr>
                <w:rFonts w:ascii="Arial" w:cs="Arial" w:eastAsia="Arial" w:hAnsi="Arial"/>
                <w:sz w:val="14"/>
                <w:szCs w:val="14"/>
                <w:b w:val="1"/>
                <w:bCs w:val="1"/>
                <w:color w:val="004E7D"/>
              </w:rPr>
              <w:t xml:space="preserve">Corporate Leadership </w:t>
            </w:r>
            <w:r>
              <w:rPr>
                <w:rFonts w:ascii="Arial" w:cs="Arial" w:eastAsia="Arial" w:hAnsi="Arial"/>
                <w:sz w:val="14"/>
                <w:szCs w:val="14"/>
                <w:color w:val="000000"/>
              </w:rPr>
              <w:t>is important because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color w:val="auto"/>
              </w:rPr>
              <w:t>directors with experience running public</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companies, private companies or other large</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3080" w:type="dxa"/>
            <w:vAlign w:val="bottom"/>
          </w:tcPr>
          <w:p>
            <w:pPr>
              <w:ind w:left="20"/>
              <w:spacing w:after="0" w:line="131" w:lineRule="exact"/>
              <w:rPr>
                <w:sz w:val="20"/>
                <w:szCs w:val="20"/>
                <w:color w:val="auto"/>
              </w:rPr>
            </w:pPr>
            <w:r>
              <w:rPr>
                <w:rFonts w:ascii="Arial" w:cs="Arial" w:eastAsia="Arial" w:hAnsi="Arial"/>
                <w:sz w:val="14"/>
                <w:szCs w:val="14"/>
                <w:color w:val="auto"/>
              </w:rPr>
              <w:t>organizations typically possess strong</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494949"/>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leadership qualities.</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Independence </w:t>
            </w:r>
            <w:r>
              <w:rPr>
                <w:rFonts w:ascii="Arial" w:cs="Arial" w:eastAsia="Arial" w:hAnsi="Arial"/>
                <w:sz w:val="14"/>
                <w:szCs w:val="14"/>
                <w:color w:val="000000"/>
              </w:rPr>
              <w:t>satisfies the independence</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requirement of the NYSE and our Corporate</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Governance Guidelines.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494949"/>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Diversity </w:t>
            </w:r>
            <w:r>
              <w:rPr>
                <w:rFonts w:ascii="Arial" w:cs="Arial" w:eastAsia="Arial" w:hAnsi="Arial"/>
                <w:sz w:val="14"/>
                <w:szCs w:val="14"/>
                <w:color w:val="000000"/>
              </w:rPr>
              <w:t>adds perspective through diversity</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in, among other areas, gender, ethnic</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background and race.</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Financial &amp; Capital Markets </w:t>
            </w:r>
            <w:r>
              <w:rPr>
                <w:rFonts w:ascii="Arial" w:cs="Arial" w:eastAsia="Arial" w:hAnsi="Arial"/>
                <w:sz w:val="14"/>
                <w:szCs w:val="14"/>
                <w:color w:val="000000"/>
              </w:rPr>
              <w:t>experience helps</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Board members advise on our capital structure</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and financing and investing activities.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004E7D"/>
              </w:rPr>
              <w:t>Accounting &amp; Financial Reporting</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color w:val="auto"/>
              </w:rPr>
              <w:t>experience is important in overseeing our</w:t>
            </w:r>
          </w:p>
        </w:tc>
        <w:tc>
          <w:tcPr>
            <w:tcW w:w="52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308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financial reporting and internal controls to</w:t>
            </w:r>
          </w:p>
        </w:tc>
        <w:tc>
          <w:tcPr>
            <w:tcW w:w="5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assure transparency and accuracy.</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3080" w:type="dxa"/>
            <w:vAlign w:val="bottom"/>
          </w:tcPr>
          <w:p>
            <w:pPr>
              <w:ind w:left="20"/>
              <w:spacing w:after="0" w:line="146" w:lineRule="exact"/>
              <w:rPr>
                <w:sz w:val="20"/>
                <w:szCs w:val="20"/>
                <w:color w:val="auto"/>
              </w:rPr>
            </w:pPr>
            <w:r>
              <w:rPr>
                <w:rFonts w:ascii="Arial" w:cs="Arial" w:eastAsia="Arial" w:hAnsi="Arial"/>
                <w:sz w:val="14"/>
                <w:szCs w:val="14"/>
                <w:b w:val="1"/>
                <w:bCs w:val="1"/>
                <w:color w:val="004E7D"/>
              </w:rPr>
              <w:t>Business Development / Mergers &amp;</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b w:val="1"/>
                <w:bCs w:val="1"/>
                <w:color w:val="004E7D"/>
              </w:rPr>
              <w:t xml:space="preserve">Acquisitions </w:t>
            </w:r>
            <w:r>
              <w:rPr>
                <w:rFonts w:ascii="Arial" w:cs="Arial" w:eastAsia="Arial" w:hAnsi="Arial"/>
                <w:sz w:val="14"/>
                <w:szCs w:val="14"/>
                <w:color w:val="000000"/>
              </w:rPr>
              <w:t>experience supports our goal of</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selectively pursuing compelling new business</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opportunities.</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3080" w:type="dxa"/>
            <w:vAlign w:val="bottom"/>
          </w:tcPr>
          <w:p>
            <w:pPr>
              <w:ind w:left="20"/>
              <w:spacing w:after="0" w:line="146" w:lineRule="exact"/>
              <w:rPr>
                <w:sz w:val="20"/>
                <w:szCs w:val="20"/>
                <w:color w:val="auto"/>
              </w:rPr>
            </w:pPr>
            <w:r>
              <w:rPr>
                <w:rFonts w:ascii="Arial" w:cs="Arial" w:eastAsia="Arial" w:hAnsi="Arial"/>
                <w:sz w:val="14"/>
                <w:szCs w:val="14"/>
                <w:b w:val="1"/>
                <w:bCs w:val="1"/>
                <w:color w:val="004E7D"/>
              </w:rPr>
              <w:t>Public Company Board Service &amp;</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b w:val="1"/>
                <w:bCs w:val="1"/>
                <w:color w:val="004E7D"/>
              </w:rPr>
              <w:t xml:space="preserve">Governance </w:t>
            </w:r>
            <w:r>
              <w:rPr>
                <w:rFonts w:ascii="Arial" w:cs="Arial" w:eastAsia="Arial" w:hAnsi="Arial"/>
                <w:sz w:val="14"/>
                <w:szCs w:val="14"/>
                <w:color w:val="000000"/>
              </w:rPr>
              <w:t>experience supports our goals of</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accountability, transparency and protection of</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stockholder interests.</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Risk Management </w:t>
            </w:r>
            <w:r>
              <w:rPr>
                <w:rFonts w:ascii="Arial" w:cs="Arial" w:eastAsia="Arial" w:hAnsi="Arial"/>
                <w:sz w:val="14"/>
                <w:szCs w:val="14"/>
                <w:color w:val="000000"/>
              </w:rPr>
              <w:t>experience supports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oversight of our processes for assessing and</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managing risk.</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Strategic Planning </w:t>
            </w:r>
            <w:r>
              <w:rPr>
                <w:rFonts w:ascii="Arial" w:cs="Arial" w:eastAsia="Arial" w:hAnsi="Arial"/>
                <w:sz w:val="14"/>
                <w:szCs w:val="14"/>
                <w:color w:val="000000"/>
              </w:rPr>
              <w:t>experience allows the</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Board to evaluate and challenge our</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strategic plans.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004987"/>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0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Global Expertise </w:t>
            </w:r>
            <w:r>
              <w:rPr>
                <w:rFonts w:ascii="Arial" w:cs="Arial" w:eastAsia="Arial" w:hAnsi="Arial"/>
                <w:sz w:val="14"/>
                <w:szCs w:val="14"/>
                <w:color w:val="000000"/>
              </w:rPr>
              <w:t>supports our goal of</w:t>
            </w: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continuing growth globally.</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004E7D"/>
              </w:rPr>
              <w:t>Vacation Ownership &amp; Lodging Industry</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color w:val="auto"/>
              </w:rPr>
              <w:t>experience is important in overseeing the</w:t>
            </w:r>
          </w:p>
        </w:tc>
        <w:tc>
          <w:tcPr>
            <w:tcW w:w="52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880" w:type="dxa"/>
            <w:vAlign w:val="bottom"/>
            <w:vMerge w:val="restart"/>
          </w:tcPr>
          <w:p>
            <w:pPr>
              <w:spacing w:after="0"/>
              <w:rPr>
                <w:sz w:val="12"/>
                <w:szCs w:val="12"/>
                <w:color w:val="auto"/>
              </w:rPr>
            </w:pPr>
          </w:p>
        </w:tc>
        <w:tc>
          <w:tcPr>
            <w:tcW w:w="72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102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308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development and implementation of our</w:t>
            </w:r>
          </w:p>
        </w:tc>
        <w:tc>
          <w:tcPr>
            <w:tcW w:w="5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business strategy and operating plan.</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Legal, Regulatory &amp; Government Relations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experience is relevant because we operate in a</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heavily regulated industry.</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 xml:space="preserve">Compliance </w:t>
            </w:r>
            <w:r>
              <w:rPr>
                <w:rFonts w:ascii="Arial" w:cs="Arial" w:eastAsia="Arial" w:hAnsi="Arial"/>
                <w:sz w:val="14"/>
                <w:szCs w:val="14"/>
                <w:color w:val="000000"/>
              </w:rPr>
              <w:t>experience helps set the tone at</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the top to encourage our employees to act</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ethically and legally.</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004E7D"/>
              </w:rPr>
              <w:t>Sales &amp; Marketing/Consumer Insights</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color w:val="auto"/>
              </w:rPr>
              <w:t>experience is important in understanding the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consumer-driven aspects of our business in</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3080" w:type="dxa"/>
            <w:vAlign w:val="bottom"/>
          </w:tcPr>
          <w:p>
            <w:pPr>
              <w:ind w:left="20"/>
              <w:spacing w:after="0" w:line="131" w:lineRule="exact"/>
              <w:rPr>
                <w:sz w:val="20"/>
                <w:szCs w:val="20"/>
                <w:color w:val="auto"/>
              </w:rPr>
            </w:pPr>
            <w:r>
              <w:rPr>
                <w:rFonts w:ascii="Arial" w:cs="Arial" w:eastAsia="Arial" w:hAnsi="Arial"/>
                <w:sz w:val="14"/>
                <w:szCs w:val="14"/>
                <w:color w:val="auto"/>
              </w:rPr>
              <w:t>order to deliver outstanding products and</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services.</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Real Estate &amp; Business Development</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3080" w:type="dxa"/>
            <w:vAlign w:val="bottom"/>
          </w:tcPr>
          <w:p>
            <w:pPr>
              <w:ind w:left="20"/>
              <w:spacing w:after="0" w:line="153" w:lineRule="exact"/>
              <w:rPr>
                <w:sz w:val="20"/>
                <w:szCs w:val="20"/>
                <w:color w:val="auto"/>
              </w:rPr>
            </w:pPr>
            <w:r>
              <w:rPr>
                <w:rFonts w:ascii="Arial" w:cs="Arial" w:eastAsia="Arial" w:hAnsi="Arial"/>
                <w:sz w:val="14"/>
                <w:szCs w:val="14"/>
                <w:color w:val="auto"/>
              </w:rPr>
              <w:t>experience aids in understanding and</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reviewing our business and strategy.</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004E7D"/>
              </w:rPr>
              <w:t>Human Capital, Professional</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b w:val="1"/>
                <w:bCs w:val="1"/>
                <w:color w:val="004E7D"/>
              </w:rPr>
              <w:t>Development &amp; Organizational Culture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experience helps us attract, motivate and</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3080" w:type="dxa"/>
            <w:vAlign w:val="bottom"/>
          </w:tcPr>
          <w:p>
            <w:pPr>
              <w:ind w:left="20"/>
              <w:spacing w:after="0" w:line="131" w:lineRule="exact"/>
              <w:rPr>
                <w:sz w:val="20"/>
                <w:szCs w:val="20"/>
                <w:color w:val="auto"/>
              </w:rPr>
            </w:pPr>
            <w:r>
              <w:rPr>
                <w:rFonts w:ascii="Arial" w:cs="Arial" w:eastAsia="Arial" w:hAnsi="Arial"/>
                <w:sz w:val="14"/>
                <w:szCs w:val="14"/>
                <w:color w:val="auto"/>
              </w:rPr>
              <w:t>retain top candidates for positions throughout</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our global workforce.</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004E7D"/>
              </w:rPr>
              <w:t>Technology &amp; Cybersecurity/Digital &amp;</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b w:val="1"/>
                <w:bCs w:val="1"/>
                <w:color w:val="004E7D"/>
              </w:rPr>
              <w:t xml:space="preserve">Social Media </w:t>
            </w:r>
            <w:r>
              <w:rPr>
                <w:rFonts w:ascii="Arial" w:cs="Arial" w:eastAsia="Arial" w:hAnsi="Arial"/>
                <w:sz w:val="14"/>
                <w:szCs w:val="14"/>
                <w:color w:val="000000"/>
              </w:rPr>
              <w:t>experience is relevant as we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080" w:type="dxa"/>
            <w:vAlign w:val="bottom"/>
          </w:tcPr>
          <w:p>
            <w:pPr>
              <w:ind w:left="20"/>
              <w:spacing w:after="0" w:line="149" w:lineRule="exact"/>
              <w:rPr>
                <w:sz w:val="20"/>
                <w:szCs w:val="20"/>
                <w:color w:val="auto"/>
              </w:rPr>
            </w:pPr>
            <w:r>
              <w:rPr>
                <w:rFonts w:ascii="Arial" w:cs="Arial" w:eastAsia="Arial" w:hAnsi="Arial"/>
                <w:sz w:val="14"/>
                <w:szCs w:val="14"/>
                <w:color w:val="auto"/>
              </w:rPr>
              <w:t>look for ways to enhance the customer</w:t>
            </w:r>
          </w:p>
        </w:tc>
        <w:tc>
          <w:tcPr>
            <w:tcW w:w="52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3080" w:type="dxa"/>
            <w:vAlign w:val="bottom"/>
          </w:tcPr>
          <w:p>
            <w:pPr>
              <w:ind w:left="20"/>
              <w:spacing w:after="0" w:line="145" w:lineRule="exact"/>
              <w:rPr>
                <w:sz w:val="20"/>
                <w:szCs w:val="20"/>
                <w:color w:val="auto"/>
              </w:rPr>
            </w:pPr>
            <w:r>
              <w:rPr>
                <w:rFonts w:ascii="Arial" w:cs="Arial" w:eastAsia="Arial" w:hAnsi="Arial"/>
                <w:sz w:val="14"/>
                <w:szCs w:val="14"/>
                <w:color w:val="auto"/>
              </w:rPr>
              <w:t>experience and internal operations and assess</w:t>
            </w: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4"/>
                <w:szCs w:val="14"/>
                <w:color w:val="auto"/>
              </w:rPr>
              <w:t>and address the risks associated with our</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00" w:type="dxa"/>
            <w:vAlign w:val="bottom"/>
            <w:tcBorders>
              <w:bottom w:val="single" w:sz="8" w:color="004987"/>
            </w:tcBorders>
          </w:tcPr>
          <w:p>
            <w:pPr>
              <w:spacing w:after="0"/>
              <w:rPr>
                <w:sz w:val="16"/>
                <w:szCs w:val="16"/>
                <w:color w:val="auto"/>
              </w:rPr>
            </w:pPr>
          </w:p>
        </w:tc>
        <w:tc>
          <w:tcPr>
            <w:tcW w:w="3080" w:type="dxa"/>
            <w:vAlign w:val="bottom"/>
            <w:tcBorders>
              <w:bottom w:val="single" w:sz="8" w:color="004987"/>
            </w:tcBorders>
          </w:tcPr>
          <w:p>
            <w:pPr>
              <w:ind w:left="20"/>
              <w:spacing w:after="0"/>
              <w:rPr>
                <w:sz w:val="20"/>
                <w:szCs w:val="20"/>
                <w:color w:val="auto"/>
              </w:rPr>
            </w:pPr>
            <w:r>
              <w:rPr>
                <w:rFonts w:ascii="Arial" w:cs="Arial" w:eastAsia="Arial" w:hAnsi="Arial"/>
                <w:sz w:val="14"/>
                <w:szCs w:val="14"/>
                <w:color w:val="auto"/>
              </w:rPr>
              <w:t>cyber activities.</w:t>
            </w:r>
          </w:p>
        </w:tc>
        <w:tc>
          <w:tcPr>
            <w:tcW w:w="520" w:type="dxa"/>
            <w:vAlign w:val="bottom"/>
            <w:tcBorders>
              <w:bottom w:val="single" w:sz="8" w:color="004987"/>
            </w:tcBorders>
          </w:tcPr>
          <w:p>
            <w:pPr>
              <w:spacing w:after="0"/>
              <w:rPr>
                <w:sz w:val="16"/>
                <w:szCs w:val="16"/>
                <w:color w:val="auto"/>
              </w:rPr>
            </w:pPr>
          </w:p>
        </w:tc>
        <w:tc>
          <w:tcPr>
            <w:tcW w:w="820" w:type="dxa"/>
            <w:vAlign w:val="bottom"/>
            <w:tcBorders>
              <w:bottom w:val="single" w:sz="8" w:color="004987"/>
            </w:tcBorders>
          </w:tcPr>
          <w:p>
            <w:pPr>
              <w:spacing w:after="0"/>
              <w:rPr>
                <w:sz w:val="16"/>
                <w:szCs w:val="16"/>
                <w:color w:val="auto"/>
              </w:rPr>
            </w:pPr>
          </w:p>
        </w:tc>
        <w:tc>
          <w:tcPr>
            <w:tcW w:w="880" w:type="dxa"/>
            <w:vAlign w:val="bottom"/>
            <w:tcBorders>
              <w:bottom w:val="single" w:sz="8" w:color="004987"/>
            </w:tcBorders>
          </w:tcPr>
          <w:p>
            <w:pPr>
              <w:spacing w:after="0"/>
              <w:rPr>
                <w:sz w:val="16"/>
                <w:szCs w:val="16"/>
                <w:color w:val="auto"/>
              </w:rPr>
            </w:pPr>
          </w:p>
        </w:tc>
        <w:tc>
          <w:tcPr>
            <w:tcW w:w="720" w:type="dxa"/>
            <w:vAlign w:val="bottom"/>
            <w:tcBorders>
              <w:bottom w:val="single" w:sz="8" w:color="004987"/>
            </w:tcBorders>
          </w:tcPr>
          <w:p>
            <w:pPr>
              <w:spacing w:after="0"/>
              <w:rPr>
                <w:sz w:val="16"/>
                <w:szCs w:val="16"/>
                <w:color w:val="auto"/>
              </w:rPr>
            </w:pPr>
          </w:p>
        </w:tc>
        <w:tc>
          <w:tcPr>
            <w:tcW w:w="660" w:type="dxa"/>
            <w:vAlign w:val="bottom"/>
            <w:tcBorders>
              <w:bottom w:val="single" w:sz="8" w:color="004987"/>
            </w:tcBorders>
          </w:tcPr>
          <w:p>
            <w:pPr>
              <w:spacing w:after="0"/>
              <w:rPr>
                <w:sz w:val="16"/>
                <w:szCs w:val="16"/>
                <w:color w:val="auto"/>
              </w:rPr>
            </w:pPr>
          </w:p>
        </w:tc>
        <w:tc>
          <w:tcPr>
            <w:tcW w:w="820" w:type="dxa"/>
            <w:vAlign w:val="bottom"/>
            <w:tcBorders>
              <w:bottom w:val="single" w:sz="8" w:color="004987"/>
            </w:tcBorders>
          </w:tcPr>
          <w:p>
            <w:pPr>
              <w:spacing w:after="0"/>
              <w:rPr>
                <w:sz w:val="16"/>
                <w:szCs w:val="16"/>
                <w:color w:val="auto"/>
              </w:rPr>
            </w:pPr>
          </w:p>
        </w:tc>
        <w:tc>
          <w:tcPr>
            <w:tcW w:w="880" w:type="dxa"/>
            <w:vAlign w:val="bottom"/>
            <w:tcBorders>
              <w:bottom w:val="single" w:sz="8" w:color="004987"/>
            </w:tcBorders>
          </w:tcPr>
          <w:p>
            <w:pPr>
              <w:spacing w:after="0"/>
              <w:rPr>
                <w:sz w:val="16"/>
                <w:szCs w:val="16"/>
                <w:color w:val="auto"/>
              </w:rPr>
            </w:pPr>
          </w:p>
        </w:tc>
        <w:tc>
          <w:tcPr>
            <w:tcW w:w="740" w:type="dxa"/>
            <w:vAlign w:val="bottom"/>
            <w:tcBorders>
              <w:bottom w:val="single" w:sz="8" w:color="004987"/>
            </w:tcBorders>
          </w:tcPr>
          <w:p>
            <w:pPr>
              <w:spacing w:after="0"/>
              <w:rPr>
                <w:sz w:val="16"/>
                <w:szCs w:val="16"/>
                <w:color w:val="auto"/>
              </w:rPr>
            </w:pPr>
          </w:p>
        </w:tc>
        <w:tc>
          <w:tcPr>
            <w:tcW w:w="1020" w:type="dxa"/>
            <w:vAlign w:val="bottom"/>
            <w:tcBorders>
              <w:bottom w:val="single" w:sz="8" w:color="004987"/>
            </w:tcBorders>
          </w:tcPr>
          <w:p>
            <w:pPr>
              <w:spacing w:after="0"/>
              <w:rPr>
                <w:sz w:val="16"/>
                <w:szCs w:val="16"/>
                <w:color w:val="auto"/>
              </w:rPr>
            </w:pPr>
          </w:p>
        </w:tc>
        <w:tc>
          <w:tcPr>
            <w:tcW w:w="600" w:type="dxa"/>
            <w:vAlign w:val="bottom"/>
            <w:tcBorders>
              <w:bottom w:val="single" w:sz="8" w:color="004987"/>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004E7D"/>
              </w:rPr>
              <w:t>Total</w:t>
            </w:r>
          </w:p>
        </w:tc>
        <w:tc>
          <w:tcPr>
            <w:tcW w:w="520" w:type="dxa"/>
            <w:vAlign w:val="bottom"/>
          </w:tcPr>
          <w:p>
            <w:pPr>
              <w:jc w:val="right"/>
              <w:ind w:right="156"/>
              <w:spacing w:after="0"/>
              <w:rPr>
                <w:sz w:val="20"/>
                <w:szCs w:val="20"/>
                <w:color w:val="auto"/>
              </w:rPr>
            </w:pPr>
            <w:r>
              <w:rPr>
                <w:rFonts w:ascii="Arial" w:cs="Arial" w:eastAsia="Arial" w:hAnsi="Arial"/>
                <w:sz w:val="13"/>
                <w:szCs w:val="13"/>
                <w:b w:val="1"/>
                <w:bCs w:val="1"/>
                <w:color w:val="003A5D"/>
              </w:rPr>
              <w:t>14</w:t>
            </w:r>
          </w:p>
        </w:tc>
        <w:tc>
          <w:tcPr>
            <w:tcW w:w="820" w:type="dxa"/>
            <w:vAlign w:val="bottom"/>
          </w:tcPr>
          <w:p>
            <w:pPr>
              <w:jc w:val="right"/>
              <w:ind w:right="276"/>
              <w:spacing w:after="0"/>
              <w:rPr>
                <w:sz w:val="20"/>
                <w:szCs w:val="20"/>
                <w:color w:val="auto"/>
              </w:rPr>
            </w:pPr>
            <w:r>
              <w:rPr>
                <w:rFonts w:ascii="Arial" w:cs="Arial" w:eastAsia="Arial" w:hAnsi="Arial"/>
                <w:sz w:val="13"/>
                <w:szCs w:val="13"/>
                <w:b w:val="1"/>
                <w:bCs w:val="1"/>
                <w:color w:val="003A5D"/>
              </w:rPr>
              <w:t>14</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3A5D"/>
                <w:w w:val="82"/>
              </w:rPr>
              <w:t>9</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3A5D"/>
              </w:rPr>
              <w:t>15</w:t>
            </w:r>
          </w:p>
        </w:tc>
        <w:tc>
          <w:tcPr>
            <w:tcW w:w="660" w:type="dxa"/>
            <w:vAlign w:val="bottom"/>
          </w:tcPr>
          <w:p>
            <w:pPr>
              <w:jc w:val="right"/>
              <w:ind w:right="196"/>
              <w:spacing w:after="0"/>
              <w:rPr>
                <w:sz w:val="20"/>
                <w:szCs w:val="20"/>
                <w:color w:val="auto"/>
              </w:rPr>
            </w:pPr>
            <w:r>
              <w:rPr>
                <w:rFonts w:ascii="Arial" w:cs="Arial" w:eastAsia="Arial" w:hAnsi="Arial"/>
                <w:sz w:val="13"/>
                <w:szCs w:val="13"/>
                <w:b w:val="1"/>
                <w:bCs w:val="1"/>
                <w:color w:val="003A5D"/>
              </w:rPr>
              <w:t>14</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003A5D"/>
                <w:w w:val="96"/>
              </w:rPr>
              <w:t>10</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3A5D"/>
              </w:rPr>
              <w:t>13</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003A5D"/>
                <w:w w:val="96"/>
              </w:rPr>
              <w:t>13</w:t>
            </w:r>
          </w:p>
        </w:tc>
        <w:tc>
          <w:tcPr>
            <w:tcW w:w="1020" w:type="dxa"/>
            <w:vAlign w:val="bottom"/>
          </w:tcPr>
          <w:p>
            <w:pPr>
              <w:jc w:val="center"/>
              <w:ind w:right="234"/>
              <w:spacing w:after="0"/>
              <w:rPr>
                <w:sz w:val="20"/>
                <w:szCs w:val="20"/>
                <w:color w:val="auto"/>
              </w:rPr>
            </w:pPr>
            <w:r>
              <w:rPr>
                <w:rFonts w:ascii="Arial" w:cs="Arial" w:eastAsia="Arial" w:hAnsi="Arial"/>
                <w:sz w:val="13"/>
                <w:szCs w:val="13"/>
                <w:b w:val="1"/>
                <w:bCs w:val="1"/>
                <w:color w:val="003A5D"/>
              </w:rPr>
              <w:t>10</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003A5D"/>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-7105015</wp:posOffset>
            </wp:positionV>
            <wp:extent cx="145415" cy="1974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1974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-6667500</wp:posOffset>
            </wp:positionV>
            <wp:extent cx="231140" cy="197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1140" cy="1974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-6290310</wp:posOffset>
            </wp:positionV>
            <wp:extent cx="213995" cy="196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-5518785</wp:posOffset>
            </wp:positionV>
            <wp:extent cx="196850" cy="196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-5107305</wp:posOffset>
            </wp:positionV>
            <wp:extent cx="213995" cy="1974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3995" cy="1974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-4695825</wp:posOffset>
            </wp:positionV>
            <wp:extent cx="231140" cy="197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1140" cy="197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-4301490</wp:posOffset>
            </wp:positionV>
            <wp:extent cx="196850" cy="1974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-3924300</wp:posOffset>
            </wp:positionV>
            <wp:extent cx="213995" cy="196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-3547110</wp:posOffset>
            </wp:positionV>
            <wp:extent cx="213995" cy="196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-3152775</wp:posOffset>
            </wp:positionV>
            <wp:extent cx="179705"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96850" cy="196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-2381250</wp:posOffset>
            </wp:positionV>
            <wp:extent cx="291465" cy="196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1465"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-1944370</wp:posOffset>
            </wp:positionV>
            <wp:extent cx="213995" cy="197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3995" cy="197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-1506855</wp:posOffset>
            </wp:positionV>
            <wp:extent cx="196850"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-1104265</wp:posOffset>
            </wp:positionV>
            <wp:extent cx="196850" cy="196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196850"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460" w:type="dxa"/>
            <w:vAlign w:val="bottom"/>
            <w:tcBorders>
              <w:bottom w:val="single" w:sz="8" w:color="004E7D"/>
            </w:tcBorders>
          </w:tcPr>
          <w:p>
            <w:pPr>
              <w:spacing w:after="0"/>
              <w:rPr>
                <w:sz w:val="15"/>
                <w:szCs w:val="15"/>
                <w:color w:val="auto"/>
              </w:rPr>
            </w:pPr>
          </w:p>
        </w:tc>
        <w:tc>
          <w:tcPr>
            <w:tcW w:w="2620" w:type="dxa"/>
            <w:vAlign w:val="bottom"/>
            <w:tcBorders>
              <w:bottom w:val="single" w:sz="8" w:color="004E7D"/>
            </w:tcBorders>
          </w:tcPr>
          <w:p>
            <w:pPr>
              <w:spacing w:after="0"/>
              <w:rPr>
                <w:sz w:val="15"/>
                <w:szCs w:val="15"/>
                <w:color w:val="auto"/>
              </w:rPr>
            </w:pPr>
          </w:p>
        </w:tc>
        <w:tc>
          <w:tcPr>
            <w:tcW w:w="1140" w:type="dxa"/>
            <w:vAlign w:val="bottom"/>
            <w:tcBorders>
              <w:bottom w:val="single" w:sz="8" w:color="004E7D"/>
            </w:tcBorders>
          </w:tcPr>
          <w:p>
            <w:pPr>
              <w:jc w:val="center"/>
              <w:ind w:left="495"/>
              <w:spacing w:after="0"/>
              <w:rPr>
                <w:sz w:val="20"/>
                <w:szCs w:val="20"/>
                <w:color w:val="auto"/>
              </w:rPr>
            </w:pPr>
            <w:r>
              <w:rPr>
                <w:rFonts w:ascii="Arial" w:cs="Arial" w:eastAsia="Arial" w:hAnsi="Arial"/>
                <w:sz w:val="13"/>
                <w:szCs w:val="13"/>
                <w:b w:val="1"/>
                <w:bCs w:val="1"/>
                <w:color w:val="004E7D"/>
                <w:w w:val="99"/>
              </w:rPr>
              <w:t>Shaw</w:t>
            </w:r>
          </w:p>
        </w:tc>
        <w:tc>
          <w:tcPr>
            <w:tcW w:w="84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rPr>
              <w:t>Andrews</w:t>
            </w:r>
          </w:p>
        </w:tc>
        <w:tc>
          <w:tcPr>
            <w:tcW w:w="90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8"/>
              </w:rPr>
              <w:t>Galbreath</w:t>
            </w:r>
          </w:p>
        </w:tc>
        <w:tc>
          <w:tcPr>
            <w:tcW w:w="74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rPr>
              <w:t>Gellein</w:t>
            </w:r>
          </w:p>
        </w:tc>
        <w:tc>
          <w:tcPr>
            <w:tcW w:w="68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7"/>
              </w:rPr>
              <w:t>Geller</w:t>
            </w:r>
          </w:p>
        </w:tc>
        <w:tc>
          <w:tcPr>
            <w:tcW w:w="82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8"/>
              </w:rPr>
              <w:t>Martinez</w:t>
            </w:r>
          </w:p>
        </w:tc>
        <w:tc>
          <w:tcPr>
            <w:tcW w:w="90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7"/>
              </w:rPr>
              <w:t>McCarten</w:t>
            </w:r>
          </w:p>
        </w:tc>
        <w:tc>
          <w:tcPr>
            <w:tcW w:w="74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7"/>
              </w:rPr>
              <w:t>Morgan</w:t>
            </w:r>
          </w:p>
        </w:tc>
        <w:tc>
          <w:tcPr>
            <w:tcW w:w="74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rPr>
              <w:t>Quazzo</w:t>
            </w:r>
          </w:p>
        </w:tc>
        <w:tc>
          <w:tcPr>
            <w:tcW w:w="660" w:type="dxa"/>
            <w:vAlign w:val="bottom"/>
            <w:tcBorders>
              <w:bottom w:val="single" w:sz="8" w:color="004E7D"/>
            </w:tcBorders>
          </w:tcPr>
          <w:p>
            <w:pPr>
              <w:jc w:val="center"/>
              <w:spacing w:after="0"/>
              <w:rPr>
                <w:sz w:val="20"/>
                <w:szCs w:val="20"/>
                <w:color w:val="auto"/>
              </w:rPr>
            </w:pPr>
            <w:r>
              <w:rPr>
                <w:rFonts w:ascii="Arial" w:cs="Arial" w:eastAsia="Arial" w:hAnsi="Arial"/>
                <w:sz w:val="13"/>
                <w:szCs w:val="13"/>
                <w:b w:val="1"/>
                <w:bCs w:val="1"/>
                <w:color w:val="004E7D"/>
                <w:w w:val="98"/>
              </w:rPr>
              <w:t>Tucker</w:t>
            </w:r>
          </w:p>
        </w:tc>
      </w:tr>
      <w:tr>
        <w:trPr>
          <w:trHeight w:val="197"/>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004E7D"/>
              </w:rPr>
              <w:t>Demographics</w:t>
            </w: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620" w:type="dxa"/>
            <w:vAlign w:val="bottom"/>
            <w:tcBorders>
              <w:bottom w:val="single" w:sz="8" w:color="494949"/>
            </w:tcBorders>
          </w:tcPr>
          <w:p>
            <w:pPr>
              <w:ind w:left="20"/>
              <w:spacing w:after="0"/>
              <w:rPr>
                <w:sz w:val="20"/>
                <w:szCs w:val="20"/>
                <w:color w:val="auto"/>
              </w:rPr>
            </w:pPr>
            <w:r>
              <w:rPr>
                <w:rFonts w:ascii="Arial" w:cs="Arial" w:eastAsia="Arial" w:hAnsi="Arial"/>
                <w:sz w:val="14"/>
                <w:szCs w:val="14"/>
                <w:b w:val="1"/>
                <w:bCs w:val="1"/>
                <w:color w:val="004E7D"/>
              </w:rPr>
              <w:t>Race/Ethnicity</w:t>
            </w:r>
          </w:p>
        </w:tc>
        <w:tc>
          <w:tcPr>
            <w:tcW w:w="1140" w:type="dxa"/>
            <w:vAlign w:val="bottom"/>
            <w:tcBorders>
              <w:bottom w:val="single" w:sz="8" w:color="494949"/>
            </w:tcBorders>
          </w:tcPr>
          <w:p>
            <w:pPr>
              <w:spacing w:after="0"/>
              <w:rPr>
                <w:sz w:val="17"/>
                <w:szCs w:val="17"/>
                <w:color w:val="auto"/>
              </w:rPr>
            </w:pPr>
          </w:p>
        </w:tc>
        <w:tc>
          <w:tcPr>
            <w:tcW w:w="84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80" w:type="dxa"/>
            <w:vAlign w:val="bottom"/>
            <w:tcBorders>
              <w:bottom w:val="single" w:sz="8" w:color="494949"/>
            </w:tcBorders>
          </w:tcPr>
          <w:p>
            <w:pPr>
              <w:spacing w:after="0"/>
              <w:rPr>
                <w:sz w:val="17"/>
                <w:szCs w:val="17"/>
                <w:color w:val="auto"/>
              </w:rPr>
            </w:pPr>
          </w:p>
        </w:tc>
        <w:tc>
          <w:tcPr>
            <w:tcW w:w="82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60" w:type="dxa"/>
            <w:vAlign w:val="bottom"/>
            <w:tcBorders>
              <w:bottom w:val="single" w:sz="8" w:color="494949"/>
            </w:tcBorders>
          </w:tcPr>
          <w:p>
            <w:pPr>
              <w:spacing w:after="0"/>
              <w:rPr>
                <w:sz w:val="17"/>
                <w:szCs w:val="17"/>
                <w:color w:val="auto"/>
              </w:rPr>
            </w:pPr>
          </w:p>
        </w:tc>
      </w:tr>
      <w:tr>
        <w:trPr>
          <w:trHeight w:val="193"/>
        </w:trPr>
        <w:tc>
          <w:tcPr>
            <w:tcW w:w="460" w:type="dxa"/>
            <w:vAlign w:val="bottom"/>
          </w:tcPr>
          <w:p>
            <w:pPr>
              <w:spacing w:after="0"/>
              <w:rPr>
                <w:sz w:val="16"/>
                <w:szCs w:val="16"/>
                <w:color w:val="auto"/>
              </w:rPr>
            </w:pPr>
          </w:p>
        </w:tc>
        <w:tc>
          <w:tcPr>
            <w:tcW w:w="2620" w:type="dxa"/>
            <w:vAlign w:val="bottom"/>
            <w:tcBorders>
              <w:bottom w:val="single" w:sz="8" w:color="494949"/>
            </w:tcBorders>
          </w:tcPr>
          <w:p>
            <w:pPr>
              <w:ind w:left="220"/>
              <w:spacing w:after="0"/>
              <w:rPr>
                <w:sz w:val="20"/>
                <w:szCs w:val="20"/>
                <w:color w:val="auto"/>
              </w:rPr>
            </w:pPr>
            <w:r>
              <w:rPr>
                <w:rFonts w:ascii="Arial" w:cs="Arial" w:eastAsia="Arial" w:hAnsi="Arial"/>
                <w:sz w:val="14"/>
                <w:szCs w:val="14"/>
                <w:color w:val="auto"/>
              </w:rPr>
              <w:t>White</w:t>
            </w:r>
          </w:p>
        </w:tc>
        <w:tc>
          <w:tcPr>
            <w:tcW w:w="1140" w:type="dxa"/>
            <w:vAlign w:val="bottom"/>
            <w:tcBorders>
              <w:bottom w:val="single" w:sz="8" w:color="494949"/>
            </w:tcBorders>
          </w:tcPr>
          <w:p>
            <w:pPr>
              <w:spacing w:after="0"/>
              <w:rPr>
                <w:sz w:val="16"/>
                <w:szCs w:val="16"/>
                <w:color w:val="auto"/>
              </w:rPr>
            </w:pPr>
          </w:p>
        </w:tc>
        <w:tc>
          <w:tcPr>
            <w:tcW w:w="840" w:type="dxa"/>
            <w:vAlign w:val="bottom"/>
            <w:tcBorders>
              <w:bottom w:val="single" w:sz="8" w:color="494949"/>
            </w:tcBorders>
          </w:tcPr>
          <w:p>
            <w:pPr>
              <w:spacing w:after="0"/>
              <w:rPr>
                <w:sz w:val="16"/>
                <w:szCs w:val="16"/>
                <w:color w:val="auto"/>
              </w:rPr>
            </w:pPr>
          </w:p>
        </w:tc>
        <w:tc>
          <w:tcPr>
            <w:tcW w:w="900" w:type="dxa"/>
            <w:vAlign w:val="bottom"/>
            <w:tcBorders>
              <w:bottom w:val="single" w:sz="8" w:color="494949"/>
            </w:tcBorders>
          </w:tcPr>
          <w:p>
            <w:pPr>
              <w:spacing w:after="0"/>
              <w:rPr>
                <w:sz w:val="16"/>
                <w:szCs w:val="16"/>
                <w:color w:val="auto"/>
              </w:rPr>
            </w:pPr>
          </w:p>
        </w:tc>
        <w:tc>
          <w:tcPr>
            <w:tcW w:w="740" w:type="dxa"/>
            <w:vAlign w:val="bottom"/>
            <w:tcBorders>
              <w:bottom w:val="single" w:sz="8" w:color="494949"/>
            </w:tcBorders>
          </w:tcPr>
          <w:p>
            <w:pPr>
              <w:spacing w:after="0"/>
              <w:rPr>
                <w:sz w:val="16"/>
                <w:szCs w:val="16"/>
                <w:color w:val="auto"/>
              </w:rPr>
            </w:pPr>
          </w:p>
        </w:tc>
        <w:tc>
          <w:tcPr>
            <w:tcW w:w="680" w:type="dxa"/>
            <w:vAlign w:val="bottom"/>
            <w:tcBorders>
              <w:bottom w:val="single" w:sz="8" w:color="494949"/>
            </w:tcBorders>
          </w:tcPr>
          <w:p>
            <w:pPr>
              <w:spacing w:after="0"/>
              <w:rPr>
                <w:sz w:val="16"/>
                <w:szCs w:val="16"/>
                <w:color w:val="auto"/>
              </w:rPr>
            </w:pPr>
          </w:p>
        </w:tc>
        <w:tc>
          <w:tcPr>
            <w:tcW w:w="820" w:type="dxa"/>
            <w:vAlign w:val="bottom"/>
            <w:tcBorders>
              <w:bottom w:val="single" w:sz="8" w:color="494949"/>
            </w:tcBorders>
          </w:tcPr>
          <w:p>
            <w:pPr>
              <w:spacing w:after="0"/>
              <w:rPr>
                <w:sz w:val="16"/>
                <w:szCs w:val="16"/>
                <w:color w:val="auto"/>
              </w:rPr>
            </w:pPr>
          </w:p>
        </w:tc>
        <w:tc>
          <w:tcPr>
            <w:tcW w:w="900" w:type="dxa"/>
            <w:vAlign w:val="bottom"/>
            <w:tcBorders>
              <w:bottom w:val="single" w:sz="8" w:color="494949"/>
            </w:tcBorders>
          </w:tcPr>
          <w:p>
            <w:pPr>
              <w:spacing w:after="0"/>
              <w:rPr>
                <w:sz w:val="16"/>
                <w:szCs w:val="16"/>
                <w:color w:val="auto"/>
              </w:rPr>
            </w:pPr>
          </w:p>
        </w:tc>
        <w:tc>
          <w:tcPr>
            <w:tcW w:w="740" w:type="dxa"/>
            <w:vAlign w:val="bottom"/>
            <w:tcBorders>
              <w:bottom w:val="single" w:sz="8" w:color="494949"/>
            </w:tcBorders>
          </w:tcPr>
          <w:p>
            <w:pPr>
              <w:spacing w:after="0"/>
              <w:rPr>
                <w:sz w:val="16"/>
                <w:szCs w:val="16"/>
                <w:color w:val="auto"/>
              </w:rPr>
            </w:pPr>
          </w:p>
        </w:tc>
        <w:tc>
          <w:tcPr>
            <w:tcW w:w="740" w:type="dxa"/>
            <w:vAlign w:val="bottom"/>
            <w:tcBorders>
              <w:bottom w:val="single" w:sz="8" w:color="494949"/>
            </w:tcBorders>
          </w:tcPr>
          <w:p>
            <w:pPr>
              <w:spacing w:after="0"/>
              <w:rPr>
                <w:sz w:val="16"/>
                <w:szCs w:val="16"/>
                <w:color w:val="auto"/>
              </w:rPr>
            </w:pPr>
          </w:p>
        </w:tc>
        <w:tc>
          <w:tcPr>
            <w:tcW w:w="660" w:type="dxa"/>
            <w:vAlign w:val="bottom"/>
            <w:tcBorders>
              <w:bottom w:val="single" w:sz="8" w:color="494949"/>
            </w:tcBorders>
          </w:tcPr>
          <w:p>
            <w:pPr>
              <w:spacing w:after="0"/>
              <w:rPr>
                <w:sz w:val="16"/>
                <w:szCs w:val="16"/>
                <w:color w:val="auto"/>
              </w:rPr>
            </w:pPr>
          </w:p>
        </w:tc>
      </w:tr>
      <w:tr>
        <w:trPr>
          <w:trHeight w:val="196"/>
        </w:trPr>
        <w:tc>
          <w:tcPr>
            <w:tcW w:w="460" w:type="dxa"/>
            <w:vAlign w:val="bottom"/>
          </w:tcPr>
          <w:p>
            <w:pPr>
              <w:spacing w:after="0"/>
              <w:rPr>
                <w:sz w:val="17"/>
                <w:szCs w:val="17"/>
                <w:color w:val="auto"/>
              </w:rPr>
            </w:pPr>
          </w:p>
        </w:tc>
        <w:tc>
          <w:tcPr>
            <w:tcW w:w="2620" w:type="dxa"/>
            <w:vAlign w:val="bottom"/>
            <w:tcBorders>
              <w:bottom w:val="single" w:sz="8" w:color="494949"/>
            </w:tcBorders>
          </w:tcPr>
          <w:p>
            <w:pPr>
              <w:ind w:left="220"/>
              <w:spacing w:after="0"/>
              <w:rPr>
                <w:sz w:val="20"/>
                <w:szCs w:val="20"/>
                <w:color w:val="auto"/>
              </w:rPr>
            </w:pPr>
            <w:r>
              <w:rPr>
                <w:rFonts w:ascii="Arial" w:cs="Arial" w:eastAsia="Arial" w:hAnsi="Arial"/>
                <w:sz w:val="14"/>
                <w:szCs w:val="14"/>
                <w:color w:val="auto"/>
              </w:rPr>
              <w:t>Hispanic or Latin American</w:t>
            </w:r>
          </w:p>
        </w:tc>
        <w:tc>
          <w:tcPr>
            <w:tcW w:w="1140" w:type="dxa"/>
            <w:vAlign w:val="bottom"/>
            <w:tcBorders>
              <w:bottom w:val="single" w:sz="8" w:color="494949"/>
            </w:tcBorders>
          </w:tcPr>
          <w:p>
            <w:pPr>
              <w:spacing w:after="0"/>
              <w:rPr>
                <w:sz w:val="17"/>
                <w:szCs w:val="17"/>
                <w:color w:val="auto"/>
              </w:rPr>
            </w:pPr>
          </w:p>
        </w:tc>
        <w:tc>
          <w:tcPr>
            <w:tcW w:w="84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80" w:type="dxa"/>
            <w:vAlign w:val="bottom"/>
            <w:tcBorders>
              <w:bottom w:val="single" w:sz="8" w:color="494949"/>
            </w:tcBorders>
          </w:tcPr>
          <w:p>
            <w:pPr>
              <w:spacing w:after="0"/>
              <w:rPr>
                <w:sz w:val="17"/>
                <w:szCs w:val="17"/>
                <w:color w:val="auto"/>
              </w:rPr>
            </w:pPr>
          </w:p>
        </w:tc>
        <w:tc>
          <w:tcPr>
            <w:tcW w:w="82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60" w:type="dxa"/>
            <w:vAlign w:val="bottom"/>
            <w:tcBorders>
              <w:bottom w:val="single" w:sz="8" w:color="494949"/>
            </w:tcBorders>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20" w:type="dxa"/>
            <w:vAlign w:val="bottom"/>
            <w:tcBorders>
              <w:bottom w:val="single" w:sz="8" w:color="494949"/>
            </w:tcBorders>
          </w:tcPr>
          <w:p>
            <w:pPr>
              <w:ind w:left="220"/>
              <w:spacing w:after="0"/>
              <w:rPr>
                <w:sz w:val="20"/>
                <w:szCs w:val="20"/>
                <w:color w:val="auto"/>
              </w:rPr>
            </w:pPr>
            <w:r>
              <w:rPr>
                <w:rFonts w:ascii="Arial" w:cs="Arial" w:eastAsia="Arial" w:hAnsi="Arial"/>
                <w:sz w:val="14"/>
                <w:szCs w:val="14"/>
                <w:color w:val="auto"/>
              </w:rPr>
              <w:t>Black or African American</w:t>
            </w:r>
          </w:p>
        </w:tc>
        <w:tc>
          <w:tcPr>
            <w:tcW w:w="1140" w:type="dxa"/>
            <w:vAlign w:val="bottom"/>
            <w:tcBorders>
              <w:bottom w:val="single" w:sz="8" w:color="494949"/>
            </w:tcBorders>
          </w:tcPr>
          <w:p>
            <w:pPr>
              <w:spacing w:after="0"/>
              <w:rPr>
                <w:sz w:val="17"/>
                <w:szCs w:val="17"/>
                <w:color w:val="auto"/>
              </w:rPr>
            </w:pPr>
          </w:p>
        </w:tc>
        <w:tc>
          <w:tcPr>
            <w:tcW w:w="84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80" w:type="dxa"/>
            <w:vAlign w:val="bottom"/>
            <w:tcBorders>
              <w:bottom w:val="single" w:sz="8" w:color="494949"/>
            </w:tcBorders>
          </w:tcPr>
          <w:p>
            <w:pPr>
              <w:spacing w:after="0"/>
              <w:rPr>
                <w:sz w:val="17"/>
                <w:szCs w:val="17"/>
                <w:color w:val="auto"/>
              </w:rPr>
            </w:pPr>
          </w:p>
        </w:tc>
        <w:tc>
          <w:tcPr>
            <w:tcW w:w="82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60" w:type="dxa"/>
            <w:vAlign w:val="bottom"/>
            <w:tcBorders>
              <w:bottom w:val="single" w:sz="8" w:color="494949"/>
            </w:tcBorders>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2620" w:type="dxa"/>
            <w:vAlign w:val="bottom"/>
            <w:tcBorders>
              <w:bottom w:val="single" w:sz="8" w:color="494949"/>
            </w:tcBorders>
          </w:tcPr>
          <w:p>
            <w:pPr>
              <w:ind w:left="20"/>
              <w:spacing w:after="0"/>
              <w:rPr>
                <w:sz w:val="20"/>
                <w:szCs w:val="20"/>
                <w:color w:val="auto"/>
              </w:rPr>
            </w:pPr>
            <w:r>
              <w:rPr>
                <w:rFonts w:ascii="Arial" w:cs="Arial" w:eastAsia="Arial" w:hAnsi="Arial"/>
                <w:sz w:val="14"/>
                <w:szCs w:val="14"/>
                <w:b w:val="1"/>
                <w:bCs w:val="1"/>
                <w:color w:val="004E7D"/>
              </w:rPr>
              <w:t>Gender</w:t>
            </w:r>
          </w:p>
        </w:tc>
        <w:tc>
          <w:tcPr>
            <w:tcW w:w="1140" w:type="dxa"/>
            <w:vAlign w:val="bottom"/>
            <w:tcBorders>
              <w:bottom w:val="single" w:sz="8" w:color="494949"/>
            </w:tcBorders>
          </w:tcPr>
          <w:p>
            <w:pPr>
              <w:spacing w:after="0"/>
              <w:rPr>
                <w:sz w:val="17"/>
                <w:szCs w:val="17"/>
                <w:color w:val="auto"/>
              </w:rPr>
            </w:pPr>
          </w:p>
        </w:tc>
        <w:tc>
          <w:tcPr>
            <w:tcW w:w="84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80" w:type="dxa"/>
            <w:vAlign w:val="bottom"/>
            <w:tcBorders>
              <w:bottom w:val="single" w:sz="8" w:color="494949"/>
            </w:tcBorders>
          </w:tcPr>
          <w:p>
            <w:pPr>
              <w:spacing w:after="0"/>
              <w:rPr>
                <w:sz w:val="17"/>
                <w:szCs w:val="17"/>
                <w:color w:val="auto"/>
              </w:rPr>
            </w:pPr>
          </w:p>
        </w:tc>
        <w:tc>
          <w:tcPr>
            <w:tcW w:w="82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spacing w:after="0"/>
              <w:rPr>
                <w:sz w:val="17"/>
                <w:szCs w:val="17"/>
                <w:color w:val="auto"/>
              </w:rPr>
            </w:pPr>
          </w:p>
        </w:tc>
        <w:tc>
          <w:tcPr>
            <w:tcW w:w="660" w:type="dxa"/>
            <w:vAlign w:val="bottom"/>
            <w:tcBorders>
              <w:bottom w:val="single" w:sz="8" w:color="494949"/>
            </w:tcBorders>
          </w:tcPr>
          <w:p>
            <w:pPr>
              <w:spacing w:after="0"/>
              <w:rPr>
                <w:sz w:val="17"/>
                <w:szCs w:val="17"/>
                <w:color w:val="auto"/>
              </w:rPr>
            </w:pPr>
          </w:p>
        </w:tc>
      </w:tr>
      <w:tr>
        <w:trPr>
          <w:trHeight w:val="193"/>
        </w:trPr>
        <w:tc>
          <w:tcPr>
            <w:tcW w:w="460" w:type="dxa"/>
            <w:vAlign w:val="bottom"/>
          </w:tcPr>
          <w:p>
            <w:pPr>
              <w:spacing w:after="0"/>
              <w:rPr>
                <w:sz w:val="16"/>
                <w:szCs w:val="16"/>
                <w:color w:val="auto"/>
              </w:rPr>
            </w:pPr>
          </w:p>
        </w:tc>
        <w:tc>
          <w:tcPr>
            <w:tcW w:w="2620" w:type="dxa"/>
            <w:vAlign w:val="bottom"/>
            <w:tcBorders>
              <w:bottom w:val="single" w:sz="8" w:color="494949"/>
            </w:tcBorders>
          </w:tcPr>
          <w:p>
            <w:pPr>
              <w:ind w:left="220"/>
              <w:spacing w:after="0"/>
              <w:rPr>
                <w:sz w:val="20"/>
                <w:szCs w:val="20"/>
                <w:color w:val="auto"/>
              </w:rPr>
            </w:pPr>
            <w:r>
              <w:rPr>
                <w:rFonts w:ascii="Arial" w:cs="Arial" w:eastAsia="Arial" w:hAnsi="Arial"/>
                <w:sz w:val="14"/>
                <w:szCs w:val="14"/>
                <w:color w:val="auto"/>
              </w:rPr>
              <w:t>Male</w:t>
            </w:r>
          </w:p>
        </w:tc>
        <w:tc>
          <w:tcPr>
            <w:tcW w:w="1140" w:type="dxa"/>
            <w:vAlign w:val="bottom"/>
            <w:tcBorders>
              <w:bottom w:val="single" w:sz="8" w:color="494949"/>
            </w:tcBorders>
          </w:tcPr>
          <w:p>
            <w:pPr>
              <w:spacing w:after="0"/>
              <w:rPr>
                <w:sz w:val="16"/>
                <w:szCs w:val="16"/>
                <w:color w:val="auto"/>
              </w:rPr>
            </w:pPr>
          </w:p>
        </w:tc>
        <w:tc>
          <w:tcPr>
            <w:tcW w:w="840" w:type="dxa"/>
            <w:vAlign w:val="bottom"/>
            <w:tcBorders>
              <w:bottom w:val="single" w:sz="8" w:color="494949"/>
            </w:tcBorders>
          </w:tcPr>
          <w:p>
            <w:pPr>
              <w:spacing w:after="0"/>
              <w:rPr>
                <w:sz w:val="16"/>
                <w:szCs w:val="16"/>
                <w:color w:val="auto"/>
              </w:rPr>
            </w:pPr>
          </w:p>
        </w:tc>
        <w:tc>
          <w:tcPr>
            <w:tcW w:w="900" w:type="dxa"/>
            <w:vAlign w:val="bottom"/>
            <w:tcBorders>
              <w:bottom w:val="single" w:sz="8" w:color="494949"/>
            </w:tcBorders>
          </w:tcPr>
          <w:p>
            <w:pPr>
              <w:spacing w:after="0"/>
              <w:rPr>
                <w:sz w:val="16"/>
                <w:szCs w:val="16"/>
                <w:color w:val="auto"/>
              </w:rPr>
            </w:pPr>
          </w:p>
        </w:tc>
        <w:tc>
          <w:tcPr>
            <w:tcW w:w="740" w:type="dxa"/>
            <w:vAlign w:val="bottom"/>
            <w:tcBorders>
              <w:bottom w:val="single" w:sz="8" w:color="494949"/>
            </w:tcBorders>
          </w:tcPr>
          <w:p>
            <w:pPr>
              <w:spacing w:after="0"/>
              <w:rPr>
                <w:sz w:val="16"/>
                <w:szCs w:val="16"/>
                <w:color w:val="auto"/>
              </w:rPr>
            </w:pPr>
          </w:p>
        </w:tc>
        <w:tc>
          <w:tcPr>
            <w:tcW w:w="680" w:type="dxa"/>
            <w:vAlign w:val="bottom"/>
            <w:tcBorders>
              <w:bottom w:val="single" w:sz="8" w:color="494949"/>
            </w:tcBorders>
          </w:tcPr>
          <w:p>
            <w:pPr>
              <w:spacing w:after="0"/>
              <w:rPr>
                <w:sz w:val="16"/>
                <w:szCs w:val="16"/>
                <w:color w:val="auto"/>
              </w:rPr>
            </w:pPr>
          </w:p>
        </w:tc>
        <w:tc>
          <w:tcPr>
            <w:tcW w:w="820" w:type="dxa"/>
            <w:vAlign w:val="bottom"/>
            <w:tcBorders>
              <w:bottom w:val="single" w:sz="8" w:color="494949"/>
            </w:tcBorders>
          </w:tcPr>
          <w:p>
            <w:pPr>
              <w:spacing w:after="0"/>
              <w:rPr>
                <w:sz w:val="16"/>
                <w:szCs w:val="16"/>
                <w:color w:val="auto"/>
              </w:rPr>
            </w:pPr>
          </w:p>
        </w:tc>
        <w:tc>
          <w:tcPr>
            <w:tcW w:w="900" w:type="dxa"/>
            <w:vAlign w:val="bottom"/>
            <w:tcBorders>
              <w:bottom w:val="single" w:sz="8" w:color="494949"/>
            </w:tcBorders>
          </w:tcPr>
          <w:p>
            <w:pPr>
              <w:spacing w:after="0"/>
              <w:rPr>
                <w:sz w:val="16"/>
                <w:szCs w:val="16"/>
                <w:color w:val="auto"/>
              </w:rPr>
            </w:pPr>
          </w:p>
        </w:tc>
        <w:tc>
          <w:tcPr>
            <w:tcW w:w="740" w:type="dxa"/>
            <w:vAlign w:val="bottom"/>
            <w:tcBorders>
              <w:bottom w:val="single" w:sz="8" w:color="494949"/>
            </w:tcBorders>
          </w:tcPr>
          <w:p>
            <w:pPr>
              <w:spacing w:after="0"/>
              <w:rPr>
                <w:sz w:val="16"/>
                <w:szCs w:val="16"/>
                <w:color w:val="auto"/>
              </w:rPr>
            </w:pPr>
          </w:p>
        </w:tc>
        <w:tc>
          <w:tcPr>
            <w:tcW w:w="740" w:type="dxa"/>
            <w:vAlign w:val="bottom"/>
            <w:tcBorders>
              <w:bottom w:val="single" w:sz="8" w:color="494949"/>
            </w:tcBorders>
          </w:tcPr>
          <w:p>
            <w:pPr>
              <w:spacing w:after="0"/>
              <w:rPr>
                <w:sz w:val="16"/>
                <w:szCs w:val="16"/>
                <w:color w:val="auto"/>
              </w:rPr>
            </w:pPr>
          </w:p>
        </w:tc>
        <w:tc>
          <w:tcPr>
            <w:tcW w:w="660" w:type="dxa"/>
            <w:vAlign w:val="bottom"/>
            <w:tcBorders>
              <w:bottom w:val="single" w:sz="8" w:color="494949"/>
            </w:tcBorders>
          </w:tcPr>
          <w:p>
            <w:pPr>
              <w:spacing w:after="0"/>
              <w:rPr>
                <w:sz w:val="16"/>
                <w:szCs w:val="16"/>
                <w:color w:val="auto"/>
              </w:rPr>
            </w:pPr>
          </w:p>
        </w:tc>
      </w:tr>
      <w:tr>
        <w:trPr>
          <w:trHeight w:val="196"/>
        </w:trPr>
        <w:tc>
          <w:tcPr>
            <w:tcW w:w="460" w:type="dxa"/>
            <w:vAlign w:val="bottom"/>
            <w:tcBorders>
              <w:bottom w:val="single" w:sz="8" w:color="00497F"/>
            </w:tcBorders>
          </w:tcPr>
          <w:p>
            <w:pPr>
              <w:spacing w:after="0"/>
              <w:rPr>
                <w:sz w:val="17"/>
                <w:szCs w:val="17"/>
                <w:color w:val="auto"/>
              </w:rPr>
            </w:pPr>
          </w:p>
        </w:tc>
        <w:tc>
          <w:tcPr>
            <w:tcW w:w="2620" w:type="dxa"/>
            <w:vAlign w:val="bottom"/>
            <w:tcBorders>
              <w:bottom w:val="single" w:sz="8" w:color="00497F"/>
            </w:tcBorders>
          </w:tcPr>
          <w:p>
            <w:pPr>
              <w:ind w:left="220"/>
              <w:spacing w:after="0"/>
              <w:rPr>
                <w:sz w:val="20"/>
                <w:szCs w:val="20"/>
                <w:color w:val="auto"/>
              </w:rPr>
            </w:pPr>
            <w:r>
              <w:rPr>
                <w:rFonts w:ascii="Arial" w:cs="Arial" w:eastAsia="Arial" w:hAnsi="Arial"/>
                <w:sz w:val="14"/>
                <w:szCs w:val="14"/>
                <w:color w:val="auto"/>
              </w:rPr>
              <w:t>Female</w:t>
            </w:r>
          </w:p>
        </w:tc>
        <w:tc>
          <w:tcPr>
            <w:tcW w:w="1140" w:type="dxa"/>
            <w:vAlign w:val="bottom"/>
            <w:tcBorders>
              <w:bottom w:val="single" w:sz="8" w:color="00497F"/>
            </w:tcBorders>
          </w:tcPr>
          <w:p>
            <w:pPr>
              <w:spacing w:after="0"/>
              <w:rPr>
                <w:sz w:val="17"/>
                <w:szCs w:val="17"/>
                <w:color w:val="auto"/>
              </w:rPr>
            </w:pPr>
          </w:p>
        </w:tc>
        <w:tc>
          <w:tcPr>
            <w:tcW w:w="840" w:type="dxa"/>
            <w:vAlign w:val="bottom"/>
            <w:tcBorders>
              <w:bottom w:val="single" w:sz="8" w:color="00497F"/>
            </w:tcBorders>
          </w:tcPr>
          <w:p>
            <w:pPr>
              <w:spacing w:after="0"/>
              <w:rPr>
                <w:sz w:val="17"/>
                <w:szCs w:val="17"/>
                <w:color w:val="auto"/>
              </w:rPr>
            </w:pPr>
          </w:p>
        </w:tc>
        <w:tc>
          <w:tcPr>
            <w:tcW w:w="900" w:type="dxa"/>
            <w:vAlign w:val="bottom"/>
            <w:tcBorders>
              <w:bottom w:val="single" w:sz="8" w:color="00497F"/>
            </w:tcBorders>
          </w:tcPr>
          <w:p>
            <w:pPr>
              <w:spacing w:after="0"/>
              <w:rPr>
                <w:sz w:val="17"/>
                <w:szCs w:val="17"/>
                <w:color w:val="auto"/>
              </w:rPr>
            </w:pPr>
          </w:p>
        </w:tc>
        <w:tc>
          <w:tcPr>
            <w:tcW w:w="740" w:type="dxa"/>
            <w:vAlign w:val="bottom"/>
            <w:tcBorders>
              <w:bottom w:val="single" w:sz="8" w:color="00497F"/>
            </w:tcBorders>
          </w:tcPr>
          <w:p>
            <w:pPr>
              <w:spacing w:after="0"/>
              <w:rPr>
                <w:sz w:val="17"/>
                <w:szCs w:val="17"/>
                <w:color w:val="auto"/>
              </w:rPr>
            </w:pPr>
          </w:p>
        </w:tc>
        <w:tc>
          <w:tcPr>
            <w:tcW w:w="680" w:type="dxa"/>
            <w:vAlign w:val="bottom"/>
            <w:tcBorders>
              <w:bottom w:val="single" w:sz="8" w:color="00497F"/>
            </w:tcBorders>
          </w:tcPr>
          <w:p>
            <w:pPr>
              <w:spacing w:after="0"/>
              <w:rPr>
                <w:sz w:val="17"/>
                <w:szCs w:val="17"/>
                <w:color w:val="auto"/>
              </w:rPr>
            </w:pPr>
          </w:p>
        </w:tc>
        <w:tc>
          <w:tcPr>
            <w:tcW w:w="820" w:type="dxa"/>
            <w:vAlign w:val="bottom"/>
            <w:tcBorders>
              <w:bottom w:val="single" w:sz="8" w:color="00497F"/>
            </w:tcBorders>
          </w:tcPr>
          <w:p>
            <w:pPr>
              <w:spacing w:after="0"/>
              <w:rPr>
                <w:sz w:val="17"/>
                <w:szCs w:val="17"/>
                <w:color w:val="auto"/>
              </w:rPr>
            </w:pPr>
          </w:p>
        </w:tc>
        <w:tc>
          <w:tcPr>
            <w:tcW w:w="900" w:type="dxa"/>
            <w:vAlign w:val="bottom"/>
            <w:tcBorders>
              <w:bottom w:val="single" w:sz="8" w:color="00497F"/>
            </w:tcBorders>
          </w:tcPr>
          <w:p>
            <w:pPr>
              <w:spacing w:after="0"/>
              <w:rPr>
                <w:sz w:val="17"/>
                <w:szCs w:val="17"/>
                <w:color w:val="auto"/>
              </w:rPr>
            </w:pPr>
          </w:p>
        </w:tc>
        <w:tc>
          <w:tcPr>
            <w:tcW w:w="740" w:type="dxa"/>
            <w:vAlign w:val="bottom"/>
            <w:tcBorders>
              <w:bottom w:val="single" w:sz="8" w:color="00497F"/>
            </w:tcBorders>
          </w:tcPr>
          <w:p>
            <w:pPr>
              <w:spacing w:after="0"/>
              <w:rPr>
                <w:sz w:val="17"/>
                <w:szCs w:val="17"/>
                <w:color w:val="auto"/>
              </w:rPr>
            </w:pPr>
          </w:p>
        </w:tc>
        <w:tc>
          <w:tcPr>
            <w:tcW w:w="740" w:type="dxa"/>
            <w:vAlign w:val="bottom"/>
            <w:tcBorders>
              <w:bottom w:val="single" w:sz="8" w:color="00497F"/>
            </w:tcBorders>
          </w:tcPr>
          <w:p>
            <w:pPr>
              <w:spacing w:after="0"/>
              <w:rPr>
                <w:sz w:val="17"/>
                <w:szCs w:val="17"/>
                <w:color w:val="auto"/>
              </w:rPr>
            </w:pPr>
          </w:p>
        </w:tc>
        <w:tc>
          <w:tcPr>
            <w:tcW w:w="660" w:type="dxa"/>
            <w:vAlign w:val="bottom"/>
            <w:tcBorders>
              <w:bottom w:val="single" w:sz="8" w:color="00497F"/>
            </w:tcBorders>
          </w:tcPr>
          <w:p>
            <w:pPr>
              <w:spacing w:after="0"/>
              <w:rPr>
                <w:sz w:val="17"/>
                <w:szCs w:val="17"/>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Composition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440" w:type="dxa"/>
            <w:vAlign w:val="bottom"/>
            <w:tcBorders>
              <w:top w:val="single" w:sz="8" w:color="004987"/>
            </w:tcBorders>
          </w:tcPr>
          <w:p>
            <w:pPr>
              <w:jc w:val="center"/>
              <w:spacing w:after="0" w:line="336" w:lineRule="exact"/>
              <w:rPr>
                <w:sz w:val="20"/>
                <w:szCs w:val="20"/>
                <w:color w:val="auto"/>
              </w:rPr>
            </w:pPr>
            <w:r>
              <w:rPr>
                <w:rFonts w:ascii="Arial" w:cs="Arial" w:eastAsia="Arial" w:hAnsi="Arial"/>
                <w:sz w:val="32"/>
                <w:szCs w:val="32"/>
                <w:b w:val="1"/>
                <w:bCs w:val="1"/>
                <w:color w:val="004E7D"/>
              </w:rPr>
              <w:t>9 of 10</w:t>
            </w:r>
          </w:p>
        </w:tc>
        <w:tc>
          <w:tcPr>
            <w:tcW w:w="2960" w:type="dxa"/>
            <w:vAlign w:val="bottom"/>
            <w:tcBorders>
              <w:top w:val="single" w:sz="8" w:color="004987"/>
            </w:tcBorders>
          </w:tcPr>
          <w:p>
            <w:pPr>
              <w:ind w:left="820"/>
              <w:spacing w:after="0" w:line="336" w:lineRule="exact"/>
              <w:rPr>
                <w:sz w:val="20"/>
                <w:szCs w:val="20"/>
                <w:color w:val="auto"/>
              </w:rPr>
            </w:pPr>
            <w:r>
              <w:rPr>
                <w:rFonts w:ascii="Arial" w:cs="Arial" w:eastAsia="Arial" w:hAnsi="Arial"/>
                <w:sz w:val="32"/>
                <w:szCs w:val="32"/>
                <w:b w:val="1"/>
                <w:bCs w:val="1"/>
                <w:color w:val="004E7D"/>
              </w:rPr>
              <w:t>7.6 years</w:t>
            </w:r>
          </w:p>
        </w:tc>
        <w:tc>
          <w:tcPr>
            <w:tcW w:w="2700" w:type="dxa"/>
            <w:vAlign w:val="bottom"/>
            <w:tcBorders>
              <w:top w:val="single" w:sz="8" w:color="004987"/>
            </w:tcBorders>
          </w:tcPr>
          <w:p>
            <w:pPr>
              <w:jc w:val="center"/>
              <w:spacing w:after="0" w:line="336" w:lineRule="exact"/>
              <w:rPr>
                <w:sz w:val="20"/>
                <w:szCs w:val="20"/>
                <w:color w:val="auto"/>
              </w:rPr>
            </w:pPr>
            <w:r>
              <w:rPr>
                <w:rFonts w:ascii="Arial" w:cs="Arial" w:eastAsia="Arial" w:hAnsi="Arial"/>
                <w:sz w:val="32"/>
                <w:szCs w:val="32"/>
                <w:b w:val="1"/>
                <w:bCs w:val="1"/>
                <w:color w:val="004E7D"/>
              </w:rPr>
              <w:t>67.5 years</w:t>
            </w:r>
          </w:p>
        </w:tc>
        <w:tc>
          <w:tcPr>
            <w:tcW w:w="3140" w:type="dxa"/>
            <w:vAlign w:val="bottom"/>
            <w:tcBorders>
              <w:top w:val="single" w:sz="8" w:color="004987"/>
            </w:tcBorders>
          </w:tcPr>
          <w:p>
            <w:pPr>
              <w:jc w:val="right"/>
              <w:ind w:right="1039"/>
              <w:spacing w:after="0" w:line="336" w:lineRule="exact"/>
              <w:rPr>
                <w:sz w:val="20"/>
                <w:szCs w:val="20"/>
                <w:color w:val="auto"/>
              </w:rPr>
            </w:pPr>
            <w:r>
              <w:rPr>
                <w:rFonts w:ascii="Arial" w:cs="Arial" w:eastAsia="Arial" w:hAnsi="Arial"/>
                <w:sz w:val="32"/>
                <w:szCs w:val="32"/>
                <w:b w:val="1"/>
                <w:bCs w:val="1"/>
                <w:color w:val="004E7D"/>
              </w:rPr>
              <w:t>40%</w:t>
            </w:r>
          </w:p>
        </w:tc>
      </w:tr>
      <w:tr>
        <w:trPr>
          <w:trHeight w:val="224"/>
        </w:trPr>
        <w:tc>
          <w:tcPr>
            <w:tcW w:w="244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auto"/>
              </w:rPr>
              <w:t>Independent Directors</w:t>
            </w:r>
          </w:p>
        </w:tc>
        <w:tc>
          <w:tcPr>
            <w:tcW w:w="2960" w:type="dxa"/>
            <w:vAlign w:val="bottom"/>
            <w:tcBorders>
              <w:bottom w:val="single" w:sz="8" w:color="004987"/>
            </w:tcBorders>
          </w:tcPr>
          <w:p>
            <w:pPr>
              <w:ind w:left="460"/>
              <w:spacing w:after="0"/>
              <w:rPr>
                <w:sz w:val="20"/>
                <w:szCs w:val="20"/>
                <w:color w:val="auto"/>
              </w:rPr>
            </w:pPr>
            <w:r>
              <w:rPr>
                <w:rFonts w:ascii="Arial" w:cs="Arial" w:eastAsia="Arial" w:hAnsi="Arial"/>
                <w:sz w:val="16"/>
                <w:szCs w:val="16"/>
                <w:color w:val="auto"/>
              </w:rPr>
              <w:t>Average Tenure of Directors</w:t>
            </w:r>
          </w:p>
        </w:tc>
        <w:tc>
          <w:tcPr>
            <w:tcW w:w="270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auto"/>
              </w:rPr>
              <w:t>Average Age of Directors</w:t>
            </w:r>
          </w:p>
        </w:tc>
        <w:tc>
          <w:tcPr>
            <w:tcW w:w="3140" w:type="dxa"/>
            <w:vAlign w:val="bottom"/>
            <w:tcBorders>
              <w:bottom w:val="single" w:sz="8" w:color="004987"/>
            </w:tcBorders>
          </w:tcPr>
          <w:p>
            <w:pPr>
              <w:jc w:val="center"/>
              <w:ind w:left="19"/>
              <w:spacing w:after="0"/>
              <w:rPr>
                <w:sz w:val="20"/>
                <w:szCs w:val="20"/>
                <w:color w:val="auto"/>
              </w:rPr>
            </w:pPr>
            <w:r>
              <w:rPr>
                <w:rFonts w:ascii="Arial" w:cs="Arial" w:eastAsia="Arial" w:hAnsi="Arial"/>
                <w:sz w:val="16"/>
                <w:szCs w:val="16"/>
                <w:color w:val="auto"/>
              </w:rPr>
              <w:t>Gender/Racially Diverse Directors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Item 1, “Business,” of our 2022 Annual Report for information regarding our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BOARD AND COMMITTEE MEETINGS AND ATTENDANCE</w:t>
      </w:r>
    </w:p>
    <w:p>
      <w:pPr>
        <w:spacing w:after="0" w:line="112"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Our Board met seven times in 2022. No incumbent member of the Board attended fewer than 75% of the aggregate of the total number of meetings of the Board and the total number of meetings held by all committees of the Board on which such director served. Directors are expected to attend annual meetings of stockholders, and each of our directors attended the 2022 Annual Meeting of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 CHARTERS</w:t>
      </w:r>
    </w:p>
    <w:p>
      <w:pPr>
        <w:spacing w:after="0" w:line="112"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The charters of the Audit, Compensation Policy, and Nominating and Corporate Governance Committees, as well as our Corporate Governance Guidelines, are available via the Investor Relations section of our website (www.marriottvacationsworldwide.com) by clicking on “Corporate Governance.” Copies of the committee charters also may be obtained upon request from our Corporate Secretary. Other committees may also be established by our Board from time to time.</w:t>
      </w:r>
    </w:p>
    <w:p>
      <w:pPr>
        <w:spacing w:after="0" w:line="6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Mr. Hutchison’s term expired at the 2022 annual meeting and served on the Committees indicated below prior to the expiration of his term. The composition of our committees during 2022 is set forth in the chart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Borders>
              <w:bottom w:val="single" w:sz="8" w:color="004987"/>
            </w:tcBorders>
          </w:tcPr>
          <w:p>
            <w:pPr>
              <w:ind w:left="60"/>
              <w:spacing w:after="0"/>
              <w:rPr>
                <w:sz w:val="20"/>
                <w:szCs w:val="20"/>
                <w:color w:val="auto"/>
              </w:rPr>
            </w:pPr>
            <w:r>
              <w:rPr>
                <w:rFonts w:ascii="Arial" w:cs="Arial" w:eastAsia="Arial" w:hAnsi="Arial"/>
                <w:sz w:val="14"/>
                <w:szCs w:val="14"/>
                <w:b w:val="1"/>
                <w:bCs w:val="1"/>
                <w:color w:val="004E7D"/>
              </w:rPr>
              <w:t>Audit Committee</w:t>
            </w:r>
          </w:p>
        </w:tc>
        <w:tc>
          <w:tcPr>
            <w:tcW w:w="4160" w:type="dxa"/>
            <w:vAlign w:val="bottom"/>
            <w:tcBorders>
              <w:bottom w:val="single" w:sz="8" w:color="004987"/>
            </w:tcBorders>
          </w:tcPr>
          <w:p>
            <w:pPr>
              <w:ind w:left="820"/>
              <w:spacing w:after="0"/>
              <w:rPr>
                <w:sz w:val="20"/>
                <w:szCs w:val="20"/>
                <w:color w:val="auto"/>
              </w:rPr>
            </w:pPr>
            <w:r>
              <w:rPr>
                <w:rFonts w:ascii="Arial" w:cs="Arial" w:eastAsia="Arial" w:hAnsi="Arial"/>
                <w:sz w:val="14"/>
                <w:szCs w:val="14"/>
                <w:b w:val="1"/>
                <w:bCs w:val="1"/>
                <w:color w:val="004E7D"/>
              </w:rPr>
              <w:t>Compensation Policy Committee</w:t>
            </w:r>
          </w:p>
        </w:tc>
        <w:tc>
          <w:tcPr>
            <w:tcW w:w="4480" w:type="dxa"/>
            <w:vAlign w:val="bottom"/>
            <w:tcBorders>
              <w:bottom w:val="single" w:sz="8" w:color="004987"/>
            </w:tcBorders>
          </w:tcPr>
          <w:p>
            <w:pPr>
              <w:ind w:left="240"/>
              <w:spacing w:after="0"/>
              <w:rPr>
                <w:sz w:val="20"/>
                <w:szCs w:val="20"/>
                <w:color w:val="auto"/>
              </w:rPr>
            </w:pPr>
            <w:r>
              <w:rPr>
                <w:rFonts w:ascii="Arial" w:cs="Arial" w:eastAsia="Arial" w:hAnsi="Arial"/>
                <w:sz w:val="14"/>
                <w:szCs w:val="14"/>
                <w:b w:val="1"/>
                <w:bCs w:val="1"/>
                <w:color w:val="004E7D"/>
              </w:rPr>
              <w:t>Nominating and Corporate Governance Committee</w:t>
            </w:r>
          </w:p>
        </w:tc>
      </w:tr>
      <w:tr>
        <w:trPr>
          <w:trHeight w:val="175"/>
        </w:trPr>
        <w:tc>
          <w:tcPr>
            <w:tcW w:w="2600" w:type="dxa"/>
            <w:vAlign w:val="bottom"/>
          </w:tcPr>
          <w:p>
            <w:pPr>
              <w:ind w:left="20"/>
              <w:spacing w:after="0" w:line="175" w:lineRule="exact"/>
              <w:rPr>
                <w:sz w:val="20"/>
                <w:szCs w:val="20"/>
                <w:color w:val="auto"/>
              </w:rPr>
            </w:pPr>
            <w:r>
              <w:rPr>
                <w:rFonts w:ascii="Arial" w:cs="Arial" w:eastAsia="Arial" w:hAnsi="Arial"/>
                <w:sz w:val="16"/>
                <w:szCs w:val="16"/>
                <w:color w:val="auto"/>
              </w:rPr>
              <w:t>C.E. Andrews (Chair)</w:t>
            </w:r>
          </w:p>
        </w:tc>
        <w:tc>
          <w:tcPr>
            <w:tcW w:w="4160" w:type="dxa"/>
            <w:vAlign w:val="bottom"/>
          </w:tcPr>
          <w:p>
            <w:pPr>
              <w:spacing w:after="0"/>
              <w:rPr>
                <w:sz w:val="15"/>
                <w:szCs w:val="15"/>
                <w:color w:val="auto"/>
              </w:rPr>
            </w:pPr>
          </w:p>
        </w:tc>
        <w:tc>
          <w:tcPr>
            <w:tcW w:w="4480" w:type="dxa"/>
            <w:vAlign w:val="bottom"/>
          </w:tcPr>
          <w:p>
            <w:pPr>
              <w:ind w:left="240"/>
              <w:spacing w:after="0" w:line="175" w:lineRule="exact"/>
              <w:rPr>
                <w:sz w:val="20"/>
                <w:szCs w:val="20"/>
                <w:color w:val="auto"/>
              </w:rPr>
            </w:pPr>
            <w:r>
              <w:rPr>
                <w:rFonts w:ascii="Arial" w:cs="Arial" w:eastAsia="Arial" w:hAnsi="Arial"/>
                <w:sz w:val="16"/>
                <w:szCs w:val="16"/>
                <w:color w:val="auto"/>
              </w:rPr>
              <w:t>Melquiades R. Martinez (Chair)</w:t>
            </w:r>
          </w:p>
        </w:tc>
      </w:tr>
      <w:tr>
        <w:trPr>
          <w:trHeight w:val="175"/>
        </w:trPr>
        <w:tc>
          <w:tcPr>
            <w:tcW w:w="2600" w:type="dxa"/>
            <w:vAlign w:val="bottom"/>
          </w:tcPr>
          <w:p>
            <w:pPr>
              <w:ind w:left="20"/>
              <w:spacing w:after="0" w:line="175" w:lineRule="exact"/>
              <w:rPr>
                <w:sz w:val="20"/>
                <w:szCs w:val="20"/>
                <w:color w:val="auto"/>
              </w:rPr>
            </w:pPr>
            <w:r>
              <w:rPr>
                <w:rFonts w:ascii="Arial" w:cs="Arial" w:eastAsia="Arial" w:hAnsi="Arial"/>
                <w:sz w:val="16"/>
                <w:szCs w:val="16"/>
                <w:color w:val="auto"/>
              </w:rPr>
              <w:t>Raymond L. Gellein, Jr.</w:t>
            </w:r>
          </w:p>
        </w:tc>
        <w:tc>
          <w:tcPr>
            <w:tcW w:w="4160" w:type="dxa"/>
            <w:vAlign w:val="bottom"/>
          </w:tcPr>
          <w:p>
            <w:pPr>
              <w:ind w:left="820"/>
              <w:spacing w:after="0" w:line="175" w:lineRule="exact"/>
              <w:rPr>
                <w:sz w:val="20"/>
                <w:szCs w:val="20"/>
                <w:color w:val="auto"/>
              </w:rPr>
            </w:pPr>
            <w:r>
              <w:rPr>
                <w:rFonts w:ascii="Arial" w:cs="Arial" w:eastAsia="Arial" w:hAnsi="Arial"/>
                <w:sz w:val="16"/>
                <w:szCs w:val="16"/>
                <w:color w:val="auto"/>
              </w:rPr>
              <w:t>Dianna F. Morgan (Chair)</w:t>
            </w:r>
          </w:p>
        </w:tc>
        <w:tc>
          <w:tcPr>
            <w:tcW w:w="4480" w:type="dxa"/>
            <w:vAlign w:val="bottom"/>
          </w:tcPr>
          <w:p>
            <w:pPr>
              <w:ind w:left="240"/>
              <w:spacing w:after="0" w:line="175" w:lineRule="exact"/>
              <w:rPr>
                <w:sz w:val="20"/>
                <w:szCs w:val="20"/>
                <w:color w:val="auto"/>
              </w:rPr>
            </w:pPr>
            <w:r>
              <w:rPr>
                <w:rFonts w:ascii="Arial" w:cs="Arial" w:eastAsia="Arial" w:hAnsi="Arial"/>
                <w:sz w:val="16"/>
                <w:szCs w:val="16"/>
                <w:color w:val="auto"/>
              </w:rPr>
              <w:t>C.E. Andrews</w:t>
            </w:r>
          </w:p>
        </w:tc>
      </w:tr>
      <w:tr>
        <w:trPr>
          <w:trHeight w:val="189"/>
        </w:trPr>
        <w:tc>
          <w:tcPr>
            <w:tcW w:w="2600" w:type="dxa"/>
            <w:vAlign w:val="bottom"/>
          </w:tcPr>
          <w:p>
            <w:pPr>
              <w:ind w:left="20"/>
              <w:spacing w:after="0"/>
              <w:rPr>
                <w:sz w:val="20"/>
                <w:szCs w:val="20"/>
                <w:color w:val="auto"/>
              </w:rPr>
            </w:pPr>
            <w:r>
              <w:rPr>
                <w:rFonts w:ascii="Arial" w:cs="Arial" w:eastAsia="Arial" w:hAnsi="Arial"/>
                <w:sz w:val="16"/>
                <w:szCs w:val="16"/>
                <w:color w:val="auto"/>
              </w:rPr>
              <w:t>Thomas J. Hutchison,III*</w:t>
            </w:r>
          </w:p>
        </w:tc>
        <w:tc>
          <w:tcPr>
            <w:tcW w:w="4160" w:type="dxa"/>
            <w:vAlign w:val="bottom"/>
          </w:tcPr>
          <w:p>
            <w:pPr>
              <w:ind w:left="820"/>
              <w:spacing w:after="0"/>
              <w:rPr>
                <w:sz w:val="20"/>
                <w:szCs w:val="20"/>
                <w:color w:val="auto"/>
              </w:rPr>
            </w:pPr>
            <w:r>
              <w:rPr>
                <w:rFonts w:ascii="Arial" w:cs="Arial" w:eastAsia="Arial" w:hAnsi="Arial"/>
                <w:sz w:val="16"/>
                <w:szCs w:val="16"/>
                <w:color w:val="auto"/>
              </w:rPr>
              <w:t>Lizanne Galbreath Raymond L. Gellein, Jr.</w:t>
            </w:r>
          </w:p>
        </w:tc>
        <w:tc>
          <w:tcPr>
            <w:tcW w:w="4480" w:type="dxa"/>
            <w:vAlign w:val="bottom"/>
          </w:tcPr>
          <w:p>
            <w:pPr>
              <w:ind w:left="240"/>
              <w:spacing w:after="0"/>
              <w:rPr>
                <w:sz w:val="20"/>
                <w:szCs w:val="20"/>
                <w:color w:val="auto"/>
              </w:rPr>
            </w:pPr>
            <w:r>
              <w:rPr>
                <w:rFonts w:ascii="Arial" w:cs="Arial" w:eastAsia="Arial" w:hAnsi="Arial"/>
                <w:sz w:val="16"/>
                <w:szCs w:val="16"/>
                <w:color w:val="auto"/>
              </w:rPr>
              <w:t>Lizanne Galbreath</w:t>
            </w:r>
          </w:p>
        </w:tc>
      </w:tr>
      <w:tr>
        <w:trPr>
          <w:trHeight w:val="175"/>
        </w:trPr>
        <w:tc>
          <w:tcPr>
            <w:tcW w:w="2600" w:type="dxa"/>
            <w:vAlign w:val="bottom"/>
          </w:tcPr>
          <w:p>
            <w:pPr>
              <w:ind w:left="20"/>
              <w:spacing w:after="0" w:line="175" w:lineRule="exact"/>
              <w:rPr>
                <w:sz w:val="20"/>
                <w:szCs w:val="20"/>
                <w:color w:val="auto"/>
              </w:rPr>
            </w:pPr>
            <w:r>
              <w:rPr>
                <w:rFonts w:ascii="Arial" w:cs="Arial" w:eastAsia="Arial" w:hAnsi="Arial"/>
                <w:sz w:val="16"/>
                <w:szCs w:val="16"/>
                <w:color w:val="auto"/>
              </w:rPr>
              <w:t>William W. McCarten</w:t>
            </w:r>
          </w:p>
        </w:tc>
        <w:tc>
          <w:tcPr>
            <w:tcW w:w="4160" w:type="dxa"/>
            <w:vAlign w:val="bottom"/>
          </w:tcPr>
          <w:p>
            <w:pPr>
              <w:ind w:left="820"/>
              <w:spacing w:after="0" w:line="175" w:lineRule="exact"/>
              <w:rPr>
                <w:sz w:val="20"/>
                <w:szCs w:val="20"/>
                <w:color w:val="auto"/>
              </w:rPr>
            </w:pPr>
            <w:r>
              <w:rPr>
                <w:rFonts w:ascii="Arial" w:cs="Arial" w:eastAsia="Arial" w:hAnsi="Arial"/>
                <w:sz w:val="16"/>
                <w:szCs w:val="16"/>
                <w:color w:val="auto"/>
              </w:rPr>
              <w:t>Thomas J. Hutchison, III*</w:t>
            </w:r>
          </w:p>
        </w:tc>
        <w:tc>
          <w:tcPr>
            <w:tcW w:w="4480" w:type="dxa"/>
            <w:vAlign w:val="bottom"/>
          </w:tcPr>
          <w:p>
            <w:pPr>
              <w:ind w:left="240"/>
              <w:spacing w:after="0" w:line="175" w:lineRule="exact"/>
              <w:rPr>
                <w:sz w:val="20"/>
                <w:szCs w:val="20"/>
                <w:color w:val="auto"/>
              </w:rPr>
            </w:pPr>
            <w:r>
              <w:rPr>
                <w:rFonts w:ascii="Arial" w:cs="Arial" w:eastAsia="Arial" w:hAnsi="Arial"/>
                <w:sz w:val="16"/>
                <w:szCs w:val="16"/>
                <w:color w:val="auto"/>
              </w:rPr>
              <w:t>William W. McCarten*</w:t>
            </w:r>
          </w:p>
        </w:tc>
      </w:tr>
      <w:tr>
        <w:trPr>
          <w:trHeight w:val="189"/>
        </w:trPr>
        <w:tc>
          <w:tcPr>
            <w:tcW w:w="2600" w:type="dxa"/>
            <w:vAlign w:val="bottom"/>
          </w:tcPr>
          <w:p>
            <w:pPr>
              <w:ind w:left="20"/>
              <w:spacing w:after="0"/>
              <w:rPr>
                <w:sz w:val="20"/>
                <w:szCs w:val="20"/>
                <w:color w:val="auto"/>
              </w:rPr>
            </w:pPr>
            <w:r>
              <w:rPr>
                <w:rFonts w:ascii="Arial" w:cs="Arial" w:eastAsia="Arial" w:hAnsi="Arial"/>
                <w:sz w:val="16"/>
                <w:szCs w:val="16"/>
                <w:color w:val="auto"/>
              </w:rPr>
              <w:t>Stephen R. Quazzo</w:t>
            </w:r>
          </w:p>
        </w:tc>
        <w:tc>
          <w:tcPr>
            <w:tcW w:w="4160" w:type="dxa"/>
            <w:vAlign w:val="bottom"/>
          </w:tcPr>
          <w:p>
            <w:pPr>
              <w:ind w:left="820"/>
              <w:spacing w:after="0"/>
              <w:rPr>
                <w:sz w:val="20"/>
                <w:szCs w:val="20"/>
                <w:color w:val="auto"/>
              </w:rPr>
            </w:pPr>
            <w:r>
              <w:rPr>
                <w:rFonts w:ascii="Arial" w:cs="Arial" w:eastAsia="Arial" w:hAnsi="Arial"/>
                <w:sz w:val="16"/>
                <w:szCs w:val="16"/>
                <w:color w:val="auto"/>
              </w:rPr>
              <w:t>William W. McCarten** Stephen R. Quazzo</w:t>
            </w:r>
          </w:p>
        </w:tc>
        <w:tc>
          <w:tcPr>
            <w:tcW w:w="4480" w:type="dxa"/>
            <w:vAlign w:val="bottom"/>
          </w:tcPr>
          <w:p>
            <w:pPr>
              <w:ind w:left="240"/>
              <w:spacing w:after="0"/>
              <w:rPr>
                <w:sz w:val="20"/>
                <w:szCs w:val="20"/>
                <w:color w:val="auto"/>
              </w:rPr>
            </w:pPr>
            <w:r>
              <w:rPr>
                <w:rFonts w:ascii="Arial" w:cs="Arial" w:eastAsia="Arial" w:hAnsi="Arial"/>
                <w:sz w:val="16"/>
                <w:szCs w:val="16"/>
                <w:color w:val="auto"/>
              </w:rPr>
              <w:t>Dianna F. Morgan</w:t>
            </w: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Jonice G. Tucker**</w:t>
            </w:r>
          </w:p>
        </w:tc>
        <w:tc>
          <w:tcPr>
            <w:tcW w:w="416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6"/>
                <w:szCs w:val="16"/>
                <w:color w:val="auto"/>
              </w:rPr>
              <w:t>Jonice G. Tucker**</w:t>
            </w:r>
          </w:p>
        </w:tc>
      </w:tr>
      <w:tr>
        <w:trPr>
          <w:trHeight w:val="29"/>
        </w:trPr>
        <w:tc>
          <w:tcPr>
            <w:tcW w:w="2600" w:type="dxa"/>
            <w:vAlign w:val="bottom"/>
            <w:tcBorders>
              <w:bottom w:val="single" w:sz="8" w:color="004987"/>
            </w:tcBorders>
          </w:tcPr>
          <w:p>
            <w:pPr>
              <w:spacing w:after="0"/>
              <w:rPr>
                <w:sz w:val="2"/>
                <w:szCs w:val="2"/>
                <w:color w:val="auto"/>
              </w:rPr>
            </w:pPr>
          </w:p>
        </w:tc>
        <w:tc>
          <w:tcPr>
            <w:tcW w:w="4160" w:type="dxa"/>
            <w:vAlign w:val="bottom"/>
            <w:tcBorders>
              <w:bottom w:val="single" w:sz="8" w:color="004987"/>
            </w:tcBorders>
          </w:tcPr>
          <w:p>
            <w:pPr>
              <w:spacing w:after="0"/>
              <w:rPr>
                <w:sz w:val="2"/>
                <w:szCs w:val="2"/>
                <w:color w:val="auto"/>
              </w:rPr>
            </w:pPr>
          </w:p>
        </w:tc>
        <w:tc>
          <w:tcPr>
            <w:tcW w:w="4480" w:type="dxa"/>
            <w:vAlign w:val="bottom"/>
            <w:tcBorders>
              <w:bottom w:val="single" w:sz="8" w:color="004987"/>
            </w:tcBorders>
          </w:tcPr>
          <w:p>
            <w:pPr>
              <w:spacing w:after="0"/>
              <w:rPr>
                <w:sz w:val="2"/>
                <w:szCs w:val="2"/>
                <w:color w:val="auto"/>
              </w:rPr>
            </w:pPr>
          </w:p>
        </w:tc>
      </w:tr>
    </w:tbl>
    <w:p>
      <w:pPr>
        <w:spacing w:after="0" w:line="107" w:lineRule="exact"/>
        <w:rPr>
          <w:sz w:val="20"/>
          <w:szCs w:val="20"/>
          <w:color w:val="auto"/>
        </w:rPr>
      </w:pPr>
    </w:p>
    <w:p>
      <w:pPr>
        <w:ind w:left="180" w:right="6500" w:hanging="10"/>
        <w:spacing w:after="0" w:line="374" w:lineRule="auto"/>
        <w:tabs>
          <w:tab w:leader="none" w:pos="288"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Served on the committee through the 2022 annual meeting. ** Joined the committee effective with the 2022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has determined that each of the members of the Audit Committee is independent as defined under our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the NYSE Listing Standards and applicable SEC rules for audit committee members. The internal and independent auditors have unrestricted access to the Audit Committee. The Audit Committee meets privately with each of the independent auditors, the internal auditors, and members of management. The Audit Committee met seven times in 2022. Each member of the Audit Committee is financially literate under applicable SEC and NYSE standards. In addition, Mr. Andrews and Mr. McCarten each possesses accounting or related financial management expertise within the meaning of the NYSE Listing Standards and qualifies as an “audit committee financial expert” as defined under the applicable SEC rules. Our Corporate Governance Principles establish a limit on the number of audit committees of publicly traded companies on which members of the Company’s Audit Committee may serve, including our Audit Committee, at three.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Audit Committee include, among other things:</w:t>
      </w:r>
    </w:p>
    <w:p>
      <w:pPr>
        <w:spacing w:after="0" w:line="113" w:lineRule="exact"/>
        <w:rPr>
          <w:sz w:val="20"/>
          <w:szCs w:val="20"/>
          <w:color w:val="auto"/>
        </w:rPr>
      </w:pPr>
    </w:p>
    <w:p>
      <w:pPr>
        <w:ind w:left="360" w:hanging="242"/>
        <w:spacing w:after="0"/>
        <w:tabs>
          <w:tab w:leader="none" w:pos="360" w:val="left"/>
        </w:tabs>
        <w:numPr>
          <w:ilvl w:val="0"/>
          <w:numId w:val="42"/>
        </w:numPr>
        <w:rPr>
          <w:rFonts w:ascii="Arial" w:cs="Arial" w:eastAsia="Arial" w:hAnsi="Arial"/>
          <w:sz w:val="16"/>
          <w:szCs w:val="16"/>
          <w:color w:val="004E7D"/>
        </w:rPr>
      </w:pPr>
      <w:r>
        <w:rPr>
          <w:rFonts w:ascii="Arial" w:cs="Arial" w:eastAsia="Arial" w:hAnsi="Arial"/>
          <w:sz w:val="16"/>
          <w:szCs w:val="16"/>
          <w:color w:val="auto"/>
        </w:rPr>
        <w:t>appointing, retaining, overseeing and determining the compensation of our independent auditor;</w:t>
      </w:r>
    </w:p>
    <w:p>
      <w:pPr>
        <w:spacing w:after="0" w:line="126" w:lineRule="exact"/>
        <w:rPr>
          <w:rFonts w:ascii="Arial" w:cs="Arial" w:eastAsia="Arial" w:hAnsi="Arial"/>
          <w:sz w:val="16"/>
          <w:szCs w:val="16"/>
          <w:color w:val="004E7D"/>
        </w:rPr>
      </w:pPr>
    </w:p>
    <w:p>
      <w:pPr>
        <w:ind w:left="360" w:hanging="242"/>
        <w:spacing w:after="0"/>
        <w:tabs>
          <w:tab w:leader="none" w:pos="360" w:val="left"/>
        </w:tabs>
        <w:numPr>
          <w:ilvl w:val="0"/>
          <w:numId w:val="42"/>
        </w:numPr>
        <w:rPr>
          <w:rFonts w:ascii="Arial" w:cs="Arial" w:eastAsia="Arial" w:hAnsi="Arial"/>
          <w:sz w:val="16"/>
          <w:szCs w:val="16"/>
          <w:color w:val="004E7D"/>
        </w:rPr>
      </w:pPr>
      <w:r>
        <w:rPr>
          <w:rFonts w:ascii="Arial" w:cs="Arial" w:eastAsia="Arial" w:hAnsi="Arial"/>
          <w:sz w:val="16"/>
          <w:szCs w:val="16"/>
          <w:color w:val="auto"/>
        </w:rPr>
        <w:t>approving all terms and fees associated with any audit engagement of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19</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4" w:name="page25"/>
    <w:bookmarkEnd w:id="24"/>
    <w:p>
      <w:pPr>
        <w:ind w:left="360" w:hanging="242"/>
        <w:spacing w:after="0"/>
        <w:tabs>
          <w:tab w:leader="none" w:pos="360" w:val="left"/>
        </w:tabs>
        <w:numPr>
          <w:ilvl w:val="0"/>
          <w:numId w:val="43"/>
        </w:numPr>
        <w:rPr>
          <w:rFonts w:ascii="Arial" w:cs="Arial" w:eastAsia="Arial" w:hAnsi="Arial"/>
          <w:sz w:val="16"/>
          <w:szCs w:val="16"/>
          <w:color w:val="004E7D"/>
        </w:rPr>
      </w:pPr>
      <w:r>
        <w:rPr>
          <w:rFonts w:ascii="Arial" w:cs="Arial" w:eastAsia="Arial" w:hAnsi="Arial"/>
          <w:sz w:val="16"/>
          <w:szCs w:val="16"/>
          <w:color w:val="auto"/>
        </w:rPr>
        <w:t>overseeing our accounting, reporting, financial and cybersecurity practices;</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3"/>
        </w:numPr>
        <w:rPr>
          <w:rFonts w:ascii="Arial" w:cs="Arial" w:eastAsia="Arial" w:hAnsi="Arial"/>
          <w:sz w:val="16"/>
          <w:szCs w:val="16"/>
          <w:color w:val="004E7D"/>
        </w:rPr>
      </w:pPr>
      <w:r>
        <w:rPr>
          <w:rFonts w:ascii="Arial" w:cs="Arial" w:eastAsia="Arial" w:hAnsi="Arial"/>
          <w:sz w:val="16"/>
          <w:szCs w:val="16"/>
          <w:color w:val="auto"/>
        </w:rPr>
        <w:t>overseeing our internal control environment and compliance with legal and regulatory requirements;</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3"/>
        </w:numPr>
        <w:rPr>
          <w:rFonts w:ascii="Arial" w:cs="Arial" w:eastAsia="Arial" w:hAnsi="Arial"/>
          <w:sz w:val="16"/>
          <w:szCs w:val="16"/>
          <w:color w:val="004E7D"/>
        </w:rPr>
      </w:pPr>
      <w:r>
        <w:rPr>
          <w:rFonts w:ascii="Arial" w:cs="Arial" w:eastAsia="Arial" w:hAnsi="Arial"/>
          <w:sz w:val="16"/>
          <w:szCs w:val="16"/>
          <w:color w:val="auto"/>
        </w:rPr>
        <w:t>overseeing our independent auditor’s qualifications and independence;</w:t>
      </w:r>
    </w:p>
    <w:p>
      <w:pPr>
        <w:spacing w:after="0" w:line="126" w:lineRule="exact"/>
        <w:rPr>
          <w:rFonts w:ascii="Arial" w:cs="Arial" w:eastAsia="Arial" w:hAnsi="Arial"/>
          <w:sz w:val="16"/>
          <w:szCs w:val="16"/>
          <w:color w:val="004E7D"/>
        </w:rPr>
      </w:pPr>
    </w:p>
    <w:p>
      <w:pPr>
        <w:ind w:left="360" w:hanging="242"/>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overseeing the performance of our internal audit function and the independent auditor; and</w:t>
      </w:r>
    </w:p>
    <w:p>
      <w:pPr>
        <w:spacing w:after="0" w:line="113" w:lineRule="exact"/>
        <w:rPr>
          <w:rFonts w:ascii="Arial" w:cs="Arial" w:eastAsia="Arial" w:hAnsi="Arial"/>
          <w:sz w:val="16"/>
          <w:szCs w:val="16"/>
          <w:color w:val="auto"/>
        </w:rPr>
      </w:pPr>
    </w:p>
    <w:p>
      <w:pPr>
        <w:ind w:left="220" w:hanging="102"/>
        <w:spacing w:after="0"/>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overseeing the Company’s ESG reporting and internal controls and disclosure procedures concerning ESG matters.</w:t>
      </w:r>
    </w:p>
    <w:p>
      <w:pPr>
        <w:spacing w:after="0" w:line="181"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i w:val="1"/>
          <w:iCs w:val="1"/>
          <w:color w:val="auto"/>
        </w:rPr>
        <w:t xml:space="preserve">Compensation Policy Committee. </w:t>
      </w:r>
      <w:r>
        <w:rPr>
          <w:rFonts w:ascii="Arial" w:cs="Arial" w:eastAsia="Arial" w:hAnsi="Arial"/>
          <w:sz w:val="16"/>
          <w:szCs w:val="16"/>
          <w:color w:val="auto"/>
        </w:rPr>
        <w:t>The Board has determined that each of the members of the CPC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and the NYSE Listing Standards for compensation committee members. The CPC met five times in 2022.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CPC include, among other things:</w:t>
      </w:r>
    </w:p>
    <w:p>
      <w:pPr>
        <w:spacing w:after="0" w:line="127" w:lineRule="exact"/>
        <w:rPr>
          <w:sz w:val="20"/>
          <w:szCs w:val="20"/>
          <w:color w:val="auto"/>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assisting the Board in discharging its responsibilities relating to executive compensation;</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overseeing our overall compensation structure, policies and programs;</w:t>
      </w:r>
    </w:p>
    <w:p>
      <w:pPr>
        <w:spacing w:after="0" w:line="126" w:lineRule="exact"/>
        <w:rPr>
          <w:rFonts w:ascii="Arial" w:cs="Arial" w:eastAsia="Arial" w:hAnsi="Arial"/>
          <w:sz w:val="16"/>
          <w:szCs w:val="16"/>
          <w:color w:val="004E7D"/>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reviewing and approving on an annual basis the corporate goals and objectives with respect to compensation for the Chief Executive Officer;</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overseeing the evaluation and setting the compensation of our other executive officers;</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maintaining management succession plans;</w:t>
      </w:r>
    </w:p>
    <w:p>
      <w:pPr>
        <w:spacing w:after="0" w:line="126" w:lineRule="exact"/>
        <w:rPr>
          <w:rFonts w:ascii="Arial" w:cs="Arial" w:eastAsia="Arial" w:hAnsi="Arial"/>
          <w:sz w:val="16"/>
          <w:szCs w:val="16"/>
          <w:color w:val="004E7D"/>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reviewing the compensation of non-employee directors and recommending any changes in compensation to the Board; and</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4"/>
        </w:numPr>
        <w:rPr>
          <w:rFonts w:ascii="Arial" w:cs="Arial" w:eastAsia="Arial" w:hAnsi="Arial"/>
          <w:sz w:val="16"/>
          <w:szCs w:val="16"/>
          <w:color w:val="004E7D"/>
        </w:rPr>
      </w:pPr>
      <w:r>
        <w:rPr>
          <w:rFonts w:ascii="Arial" w:cs="Arial" w:eastAsia="Arial" w:hAnsi="Arial"/>
          <w:sz w:val="16"/>
          <w:szCs w:val="16"/>
          <w:color w:val="auto"/>
        </w:rPr>
        <w:t>reviewing ESG matters relating to the Company's workforce and key aspects of the Company's human resources strategies, policies and programs.</w:t>
      </w:r>
    </w:p>
    <w:p>
      <w:pPr>
        <w:spacing w:after="0" w:line="167"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Board has determined that each of the members of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independent as defined under our Corporate Governance Principles and the NYSE Listing Standards. The Nominating and Corporate Governance Committee met four times in 2022.</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Nominating and Corporate Governance Committee include, among other things:</w:t>
      </w:r>
    </w:p>
    <w:p>
      <w:pPr>
        <w:spacing w:after="0" w:line="113" w:lineRule="exact"/>
        <w:rPr>
          <w:sz w:val="20"/>
          <w:szCs w:val="20"/>
          <w:color w:val="auto"/>
        </w:rPr>
      </w:pPr>
    </w:p>
    <w:p>
      <w:pPr>
        <w:ind w:left="360" w:hanging="242"/>
        <w:spacing w:after="0"/>
        <w:tabs>
          <w:tab w:leader="none" w:pos="360" w:val="left"/>
        </w:tabs>
        <w:numPr>
          <w:ilvl w:val="0"/>
          <w:numId w:val="45"/>
        </w:numPr>
        <w:rPr>
          <w:rFonts w:ascii="Arial" w:cs="Arial" w:eastAsia="Arial" w:hAnsi="Arial"/>
          <w:sz w:val="16"/>
          <w:szCs w:val="16"/>
          <w:color w:val="004E7D"/>
        </w:rPr>
      </w:pPr>
      <w:r>
        <w:rPr>
          <w:rFonts w:ascii="Arial" w:cs="Arial" w:eastAsia="Arial" w:hAnsi="Arial"/>
          <w:sz w:val="16"/>
          <w:szCs w:val="16"/>
          <w:color w:val="auto"/>
        </w:rPr>
        <w:t>identifying and evaluating director candidates;</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5"/>
        </w:numPr>
        <w:rPr>
          <w:rFonts w:ascii="Arial" w:cs="Arial" w:eastAsia="Arial" w:hAnsi="Arial"/>
          <w:sz w:val="16"/>
          <w:szCs w:val="16"/>
          <w:color w:val="004E7D"/>
        </w:rPr>
      </w:pPr>
      <w:r>
        <w:rPr>
          <w:rFonts w:ascii="Arial" w:cs="Arial" w:eastAsia="Arial" w:hAnsi="Arial"/>
          <w:sz w:val="16"/>
          <w:szCs w:val="16"/>
          <w:color w:val="auto"/>
        </w:rPr>
        <w:t>recommending to the Board director candidates for election;</w:t>
      </w:r>
    </w:p>
    <w:p>
      <w:pPr>
        <w:spacing w:after="0" w:line="126" w:lineRule="exact"/>
        <w:rPr>
          <w:rFonts w:ascii="Arial" w:cs="Arial" w:eastAsia="Arial" w:hAnsi="Arial"/>
          <w:sz w:val="16"/>
          <w:szCs w:val="16"/>
          <w:color w:val="004E7D"/>
        </w:rPr>
      </w:pPr>
    </w:p>
    <w:p>
      <w:pPr>
        <w:ind w:left="220" w:right="80" w:hanging="102"/>
        <w:spacing w:after="0" w:line="286" w:lineRule="auto"/>
        <w:tabs>
          <w:tab w:leader="none" w:pos="347" w:val="left"/>
        </w:tabs>
        <w:numPr>
          <w:ilvl w:val="0"/>
          <w:numId w:val="45"/>
        </w:numPr>
        <w:rPr>
          <w:rFonts w:ascii="Arial" w:cs="Arial" w:eastAsia="Arial" w:hAnsi="Arial"/>
          <w:sz w:val="16"/>
          <w:szCs w:val="16"/>
          <w:color w:val="004E7D"/>
        </w:rPr>
      </w:pPr>
      <w:r>
        <w:rPr>
          <w:rFonts w:ascii="Arial" w:cs="Arial" w:eastAsia="Arial" w:hAnsi="Arial"/>
          <w:sz w:val="16"/>
          <w:szCs w:val="16"/>
          <w:color w:val="auto"/>
        </w:rPr>
        <w:t>recommending to the Board implementation of corporate governance principles and annually reviewing and recommending changes to these principles as appropriate;</w:t>
      </w:r>
    </w:p>
    <w:p>
      <w:pPr>
        <w:spacing w:after="0" w:line="61" w:lineRule="exact"/>
        <w:rPr>
          <w:rFonts w:ascii="Arial" w:cs="Arial" w:eastAsia="Arial" w:hAnsi="Arial"/>
          <w:sz w:val="16"/>
          <w:szCs w:val="16"/>
          <w:color w:val="004E7D"/>
        </w:rPr>
      </w:pPr>
    </w:p>
    <w:p>
      <w:pPr>
        <w:ind w:left="360" w:hanging="242"/>
        <w:spacing w:after="0"/>
        <w:tabs>
          <w:tab w:leader="none" w:pos="360" w:val="left"/>
        </w:tabs>
        <w:numPr>
          <w:ilvl w:val="0"/>
          <w:numId w:val="45"/>
        </w:numPr>
        <w:rPr>
          <w:rFonts w:ascii="Arial" w:cs="Arial" w:eastAsia="Arial" w:hAnsi="Arial"/>
          <w:sz w:val="16"/>
          <w:szCs w:val="16"/>
          <w:color w:val="004E7D"/>
        </w:rPr>
      </w:pPr>
      <w:r>
        <w:rPr>
          <w:rFonts w:ascii="Arial" w:cs="Arial" w:eastAsia="Arial" w:hAnsi="Arial"/>
          <w:sz w:val="16"/>
          <w:szCs w:val="16"/>
          <w:color w:val="auto"/>
        </w:rPr>
        <w:t>reviewing our conflict of interest and related party transactions policies and approving certain related party transactions as provided for in such policies;</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5"/>
        </w:numPr>
        <w:rPr>
          <w:rFonts w:ascii="Arial" w:cs="Arial" w:eastAsia="Arial" w:hAnsi="Arial"/>
          <w:sz w:val="16"/>
          <w:szCs w:val="16"/>
          <w:color w:val="004E7D"/>
        </w:rPr>
      </w:pPr>
      <w:r>
        <w:rPr>
          <w:rFonts w:ascii="Arial" w:cs="Arial" w:eastAsia="Arial" w:hAnsi="Arial"/>
          <w:sz w:val="16"/>
          <w:szCs w:val="16"/>
          <w:color w:val="auto"/>
        </w:rPr>
        <w:t>performing a leadership role in shaping our corporate governance; and</w:t>
      </w:r>
    </w:p>
    <w:p>
      <w:pPr>
        <w:spacing w:after="0" w:line="113" w:lineRule="exact"/>
        <w:rPr>
          <w:rFonts w:ascii="Arial" w:cs="Arial" w:eastAsia="Arial" w:hAnsi="Arial"/>
          <w:sz w:val="16"/>
          <w:szCs w:val="16"/>
          <w:color w:val="004E7D"/>
        </w:rPr>
      </w:pPr>
    </w:p>
    <w:p>
      <w:pPr>
        <w:ind w:left="360" w:hanging="242"/>
        <w:spacing w:after="0"/>
        <w:tabs>
          <w:tab w:leader="none" w:pos="360" w:val="left"/>
        </w:tabs>
        <w:numPr>
          <w:ilvl w:val="0"/>
          <w:numId w:val="45"/>
        </w:numPr>
        <w:rPr>
          <w:rFonts w:ascii="Arial" w:cs="Arial" w:eastAsia="Arial" w:hAnsi="Arial"/>
          <w:sz w:val="16"/>
          <w:szCs w:val="16"/>
          <w:color w:val="004E7D"/>
        </w:rPr>
      </w:pPr>
      <w:r>
        <w:rPr>
          <w:rFonts w:ascii="Arial" w:cs="Arial" w:eastAsia="Arial" w:hAnsi="Arial"/>
          <w:sz w:val="16"/>
          <w:szCs w:val="16"/>
          <w:color w:val="auto"/>
        </w:rPr>
        <w:t>reviewing and making recommendations to the Board regarding sustainability matters, including ESG matters.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1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None of the members of the CPC is or has been an officer or employee of the Company or had any relationship that is required to be disclosed as a transaction with a related party or as an interlocking relationship.</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INDEPENDENT DIRECTORS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Chairman, who is currently Mr. Shaw, presides at such executive sessions.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20</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spacing w:after="0"/>
        <w:rPr>
          <w:sz w:val="20"/>
          <w:szCs w:val="20"/>
          <w:color w:val="auto"/>
        </w:rPr>
      </w:pPr>
      <w:r>
        <w:rPr>
          <w:sz w:val="1"/>
          <w:szCs w:val="1"/>
          <w:color w:val="auto"/>
        </w:rPr>
        <w:drawing>
          <wp:inline distT="0" distB="0" distL="0" distR="0">
            <wp:extent cx="68580" cy="43688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CORPORATE GOVERNANCE</w:t>
      </w:r>
    </w:p>
    <w:p>
      <w:pPr>
        <w:spacing w:after="0" w:line="337" w:lineRule="exact"/>
        <w:rPr>
          <w:sz w:val="20"/>
          <w:szCs w:val="20"/>
          <w:color w:val="auto"/>
        </w:rPr>
      </w:pPr>
    </w:p>
    <w:p>
      <w:pPr>
        <w:ind w:left="40" w:right="60"/>
        <w:spacing w:after="0" w:line="265" w:lineRule="auto"/>
        <w:rPr>
          <w:sz w:val="20"/>
          <w:szCs w:val="20"/>
          <w:color w:val="auto"/>
        </w:rPr>
      </w:pPr>
      <w:r>
        <w:rPr>
          <w:rFonts w:ascii="Arial" w:cs="Arial" w:eastAsia="Arial" w:hAnsi="Arial"/>
          <w:sz w:val="16"/>
          <w:szCs w:val="16"/>
          <w:color w:val="auto"/>
        </w:rPr>
        <w:t>The Board is committed to good corporate governance, good business practices and transparency in financial reporting. The Nominating and Corporate Governance Committee annually reviews the Company’s Corporate Governance Principles, a copy of which is available via the Investor Relations section of our website (www.marriottvacationsworldwide.com) by clicking on “Corporate Governance” under the “Investor Relations” tab. A copy of the Company’s Corporate Governance Principles also may be obtained upon request from our Corporate Secretary.</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SEPARATION OF BOARD CHAIRMAN AND CHIEF EXECUTIVE OFFICER</w:t>
      </w:r>
    </w:p>
    <w:p>
      <w:pPr>
        <w:spacing w:after="0" w:line="112" w:lineRule="exact"/>
        <w:rPr>
          <w:sz w:val="20"/>
          <w:szCs w:val="20"/>
          <w:color w:val="auto"/>
        </w:rPr>
      </w:pPr>
    </w:p>
    <w:p>
      <w:pPr>
        <w:ind w:left="40" w:right="200"/>
        <w:spacing w:after="0" w:line="261" w:lineRule="auto"/>
        <w:rPr>
          <w:sz w:val="20"/>
          <w:szCs w:val="20"/>
          <w:color w:val="auto"/>
        </w:rPr>
      </w:pPr>
      <w:r>
        <w:rPr>
          <w:rFonts w:ascii="Arial" w:cs="Arial" w:eastAsia="Arial" w:hAnsi="Arial"/>
          <w:sz w:val="16"/>
          <w:szCs w:val="16"/>
          <w:color w:val="auto"/>
        </w:rPr>
        <w:t>While the Board has no formal policy requiring the separation of the positions of Chairman of the Board and Chief Executive Officer, William J. Shaw, an independent director, currently serves as Chairman of the Board. Our Board regularly reviews our leadership structure and has determined that separating the roles of Chairman and Chief Executive Officer is the optimal leadership structure for the Company at this time, allowing our Chief Executive Officer to focus on his duties while benefiting from the Chairman’s significant experience at Marriott International and in the hospitality industry. The Board believes that having an independent Chairman improves the ability of the Board to exercise its oversight role over management and provides opportunities for discussion and evaluation of management decisions and the direction of the Company.</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BOARD AND COMMITTEE EVALUATIONS</w:t>
      </w:r>
    </w:p>
    <w:p>
      <w:pPr>
        <w:spacing w:after="0" w:line="126" w:lineRule="exact"/>
        <w:rPr>
          <w:sz w:val="20"/>
          <w:szCs w:val="20"/>
          <w:color w:val="auto"/>
        </w:rPr>
      </w:pPr>
    </w:p>
    <w:p>
      <w:pPr>
        <w:ind w:left="40" w:right="120"/>
        <w:spacing w:after="0" w:line="265" w:lineRule="auto"/>
        <w:rPr>
          <w:sz w:val="20"/>
          <w:szCs w:val="20"/>
          <w:color w:val="auto"/>
        </w:rPr>
      </w:pPr>
      <w:r>
        <w:rPr>
          <w:rFonts w:ascii="Arial" w:cs="Arial" w:eastAsia="Arial" w:hAnsi="Arial"/>
          <w:sz w:val="16"/>
          <w:szCs w:val="16"/>
          <w:color w:val="auto"/>
        </w:rPr>
        <w:t>The Board and its committees annually evaluate their own performance. The evaluation process is overseen by the Nominating and Corporate Governance Committee, which recommends enhancements to Board and committee effectiveness as appropriate. The process includes distribution of questionnaires to each director, Board and committee discussions in executive session led by the Chairman or relevant committee chair, and opportunities for discussions between individual directors and the Chairman, committee chairs, and/or the Corporate Secretary.</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4E7D"/>
        </w:rPr>
        <w:t>Topics covered by the 2022 evaluation process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688340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  Board and committee structure; overall evaluation</w:t>
            </w:r>
          </w:p>
        </w:tc>
        <w:tc>
          <w:tcPr>
            <w:tcW w:w="5580" w:type="dxa"/>
            <w:vAlign w:val="bottom"/>
            <w:gridSpan w:val="2"/>
            <w:vMerge w:val="restart"/>
          </w:tcPr>
          <w:p>
            <w:pPr>
              <w:ind w:left="320"/>
              <w:spacing w:after="0"/>
              <w:rPr>
                <w:sz w:val="20"/>
                <w:szCs w:val="20"/>
                <w:color w:val="auto"/>
              </w:rPr>
            </w:pPr>
            <w:r>
              <w:rPr>
                <w:rFonts w:ascii="Arial" w:cs="Arial" w:eastAsia="Arial" w:hAnsi="Arial"/>
                <w:sz w:val="16"/>
                <w:szCs w:val="16"/>
                <w:color w:val="auto"/>
              </w:rPr>
              <w:t>•  Oversight of key strategic, operational and compliance risks</w:t>
            </w:r>
          </w:p>
        </w:tc>
        <w:tc>
          <w:tcPr>
            <w:tcW w:w="0" w:type="dxa"/>
            <w:vAlign w:val="bottom"/>
          </w:tcPr>
          <w:p>
            <w:pPr>
              <w:spacing w:after="0"/>
              <w:rPr>
                <w:sz w:val="1"/>
                <w:szCs w:val="1"/>
                <w:color w:val="auto"/>
              </w:rPr>
            </w:pPr>
          </w:p>
        </w:tc>
      </w:tr>
      <w:tr>
        <w:trPr>
          <w:trHeight w:val="122"/>
        </w:trPr>
        <w:tc>
          <w:tcPr>
            <w:tcW w:w="42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4840" w:type="dxa"/>
            <w:vAlign w:val="bottom"/>
            <w:vMerge w:val="restart"/>
          </w:tcPr>
          <w:p>
            <w:pPr>
              <w:ind w:left="80"/>
              <w:spacing w:after="0"/>
              <w:rPr>
                <w:sz w:val="20"/>
                <w:szCs w:val="20"/>
                <w:color w:val="auto"/>
              </w:rPr>
            </w:pPr>
            <w:r>
              <w:rPr>
                <w:rFonts w:ascii="Arial" w:cs="Arial" w:eastAsia="Arial" w:hAnsi="Arial"/>
                <w:sz w:val="16"/>
                <w:szCs w:val="16"/>
                <w:color w:val="auto"/>
              </w:rPr>
              <w:t>Effectiveness of meetings</w:t>
            </w:r>
          </w:p>
        </w:tc>
        <w:tc>
          <w:tcPr>
            <w:tcW w:w="5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0" w:type="dxa"/>
            <w:vAlign w:val="bottom"/>
            <w:vMerge w:val="continue"/>
          </w:tcPr>
          <w:p>
            <w:pPr>
              <w:spacing w:after="0"/>
              <w:rPr>
                <w:sz w:val="10"/>
                <w:szCs w:val="10"/>
                <w:color w:val="auto"/>
              </w:rPr>
            </w:pPr>
          </w:p>
        </w:tc>
        <w:tc>
          <w:tcPr>
            <w:tcW w:w="4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4840" w:type="dxa"/>
            <w:vAlign w:val="bottom"/>
          </w:tcPr>
          <w:p>
            <w:pPr>
              <w:ind w:left="80"/>
              <w:spacing w:after="0"/>
              <w:rPr>
                <w:sz w:val="20"/>
                <w:szCs w:val="20"/>
                <w:color w:val="auto"/>
              </w:rPr>
            </w:pPr>
            <w:r>
              <w:rPr>
                <w:rFonts w:ascii="Arial" w:cs="Arial" w:eastAsia="Arial" w:hAnsi="Arial"/>
                <w:sz w:val="16"/>
                <w:szCs w:val="16"/>
                <w:color w:val="auto"/>
              </w:rPr>
              <w:t>Adequacy of materials</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5100" w:type="dxa"/>
            <w:vAlign w:val="bottom"/>
          </w:tcPr>
          <w:p>
            <w:pPr>
              <w:ind w:left="80"/>
              <w:spacing w:after="0"/>
              <w:rPr>
                <w:sz w:val="20"/>
                <w:szCs w:val="20"/>
                <w:color w:val="auto"/>
              </w:rPr>
            </w:pPr>
            <w:r>
              <w:rPr>
                <w:rFonts w:ascii="Arial" w:cs="Arial" w:eastAsia="Arial" w:hAnsi="Arial"/>
                <w:sz w:val="16"/>
                <w:szCs w:val="16"/>
                <w:color w:val="auto"/>
              </w:rPr>
              <w:t>Frequency and breadth of executive sessions</w:t>
            </w:r>
          </w:p>
        </w:tc>
        <w:tc>
          <w:tcPr>
            <w:tcW w:w="0" w:type="dxa"/>
            <w:vAlign w:val="bottom"/>
          </w:tcPr>
          <w:p>
            <w:pPr>
              <w:spacing w:after="0"/>
              <w:rPr>
                <w:sz w:val="1"/>
                <w:szCs w:val="1"/>
                <w:color w:val="auto"/>
              </w:rPr>
            </w:pPr>
          </w:p>
        </w:tc>
      </w:tr>
      <w:tr>
        <w:trPr>
          <w:trHeight w:val="243"/>
        </w:trPr>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4840" w:type="dxa"/>
            <w:vAlign w:val="bottom"/>
          </w:tcPr>
          <w:p>
            <w:pPr>
              <w:ind w:left="80"/>
              <w:spacing w:after="0"/>
              <w:rPr>
                <w:sz w:val="20"/>
                <w:szCs w:val="20"/>
                <w:color w:val="auto"/>
              </w:rPr>
            </w:pPr>
            <w:r>
              <w:rPr>
                <w:rFonts w:ascii="Arial" w:cs="Arial" w:eastAsia="Arial" w:hAnsi="Arial"/>
                <w:sz w:val="16"/>
                <w:szCs w:val="16"/>
                <w:color w:val="auto"/>
              </w:rPr>
              <w:t>Quality of deliberations and communication with management</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5100" w:type="dxa"/>
            <w:vAlign w:val="bottom"/>
          </w:tcPr>
          <w:p>
            <w:pPr>
              <w:ind w:left="80"/>
              <w:spacing w:after="0"/>
              <w:rPr>
                <w:sz w:val="20"/>
                <w:szCs w:val="20"/>
                <w:color w:val="auto"/>
              </w:rPr>
            </w:pPr>
            <w:r>
              <w:rPr>
                <w:rFonts w:ascii="Arial" w:cs="Arial" w:eastAsia="Arial" w:hAnsi="Arial"/>
                <w:sz w:val="16"/>
                <w:szCs w:val="16"/>
                <w:color w:val="auto"/>
              </w:rPr>
              <w:t>Skills and qualifications of Board and Committee members</w:t>
            </w:r>
          </w:p>
        </w:tc>
        <w:tc>
          <w:tcPr>
            <w:tcW w:w="0" w:type="dxa"/>
            <w:vAlign w:val="bottom"/>
          </w:tcPr>
          <w:p>
            <w:pPr>
              <w:spacing w:after="0"/>
              <w:rPr>
                <w:sz w:val="1"/>
                <w:szCs w:val="1"/>
                <w:color w:val="auto"/>
              </w:rPr>
            </w:pPr>
          </w:p>
        </w:tc>
      </w:tr>
      <w:tr>
        <w:trPr>
          <w:trHeight w:val="83"/>
        </w:trPr>
        <w:tc>
          <w:tcPr>
            <w:tcW w:w="420" w:type="dxa"/>
            <w:vAlign w:val="bottom"/>
            <w:tcBorders>
              <w:bottom w:val="single" w:sz="8" w:color="004987"/>
            </w:tcBorders>
          </w:tcPr>
          <w:p>
            <w:pPr>
              <w:spacing w:after="0"/>
              <w:rPr>
                <w:sz w:val="7"/>
                <w:szCs w:val="7"/>
                <w:color w:val="auto"/>
              </w:rPr>
            </w:pPr>
          </w:p>
        </w:tc>
        <w:tc>
          <w:tcPr>
            <w:tcW w:w="4840" w:type="dxa"/>
            <w:vAlign w:val="bottom"/>
            <w:tcBorders>
              <w:bottom w:val="single" w:sz="8" w:color="004987"/>
            </w:tcBorders>
          </w:tcPr>
          <w:p>
            <w:pPr>
              <w:spacing w:after="0"/>
              <w:rPr>
                <w:sz w:val="7"/>
                <w:szCs w:val="7"/>
                <w:color w:val="auto"/>
              </w:rPr>
            </w:pPr>
          </w:p>
        </w:tc>
        <w:tc>
          <w:tcPr>
            <w:tcW w:w="480" w:type="dxa"/>
            <w:vAlign w:val="bottom"/>
            <w:tcBorders>
              <w:bottom w:val="single" w:sz="8" w:color="004987"/>
            </w:tcBorders>
          </w:tcPr>
          <w:p>
            <w:pPr>
              <w:spacing w:after="0"/>
              <w:rPr>
                <w:sz w:val="7"/>
                <w:szCs w:val="7"/>
                <w:color w:val="auto"/>
              </w:rPr>
            </w:pPr>
          </w:p>
        </w:tc>
        <w:tc>
          <w:tcPr>
            <w:tcW w:w="510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right="700"/>
        <w:spacing w:after="0" w:line="286" w:lineRule="auto"/>
        <w:rPr>
          <w:sz w:val="20"/>
          <w:szCs w:val="20"/>
          <w:color w:val="auto"/>
        </w:rPr>
      </w:pPr>
      <w:r>
        <w:rPr>
          <w:rFonts w:ascii="Arial" w:cs="Arial" w:eastAsia="Arial" w:hAnsi="Arial"/>
          <w:sz w:val="16"/>
          <w:szCs w:val="16"/>
          <w:color w:val="auto"/>
        </w:rPr>
        <w:t>The results from the 2022 evaluation process were positive and confirmed our belief that our Board upholds a high level of Board effectiveness and governance.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21</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280" w:top="1416"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INCLUSION AND DIVERSITY</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At Marriott Vacations Worldwide, we are in the business of bringing people together. Like our customers, our associates come from diverse backgrounds, offering invaluably distinct perspectives. Throughout the year, we infused our associate communications and associate experience programming with touchpoints designed to educate, commemorate, and celebrate key events and milestones, and further build on our vibrant culture of inclusion. We have established an Executive Inclusion Council, which is comprised of senior leaders dedicated to enabling and championing inclusion and diversity initiatives throughout the organization. Our inclusion and diversity commitment statement is “MVW is committed to advancing and cultivating inclusion and diversity in all aspects of our business. We provide treasured vacation experiences to our customers around the world and foster an inclusive, diverse, and caring work environment for our associates. We support a life fulfilled for all individuals and embrace that we are better together.”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2022 Workforce Composition </w:t>
      </w:r>
      <w:r>
        <w:rPr>
          <w:rFonts w:ascii="Arial" w:cs="Arial" w:eastAsia="Arial" w:hAnsi="Arial"/>
          <w:sz w:val="17"/>
          <w:szCs w:val="17"/>
          <w:color w:val="auto"/>
        </w:rPr>
        <w:t>(as of 12/31/2022)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shd w:val="clear" w:color="auto" w:fill="005285"/>
          </w:tcPr>
          <w:p>
            <w:pPr>
              <w:jc w:val="center"/>
              <w:spacing w:after="0"/>
              <w:rPr>
                <w:sz w:val="20"/>
                <w:szCs w:val="20"/>
                <w:color w:val="auto"/>
              </w:rPr>
            </w:pPr>
            <w:r>
              <w:rPr>
                <w:rFonts w:ascii="Arial" w:cs="Arial" w:eastAsia="Arial" w:hAnsi="Arial"/>
                <w:sz w:val="16"/>
                <w:szCs w:val="16"/>
                <w:b w:val="1"/>
                <w:bCs w:val="1"/>
                <w:color w:val="FFFFFF"/>
              </w:rPr>
              <w:t>AGE</w:t>
            </w:r>
          </w:p>
        </w:tc>
        <w:tc>
          <w:tcPr>
            <w:tcW w:w="3760" w:type="dxa"/>
            <w:vAlign w:val="bottom"/>
            <w:shd w:val="clear" w:color="auto" w:fill="005285"/>
          </w:tcPr>
          <w:p>
            <w:pPr>
              <w:jc w:val="center"/>
              <w:spacing w:after="0"/>
              <w:rPr>
                <w:sz w:val="20"/>
                <w:szCs w:val="20"/>
                <w:color w:val="auto"/>
              </w:rPr>
            </w:pPr>
            <w:r>
              <w:rPr>
                <w:rFonts w:ascii="Arial" w:cs="Arial" w:eastAsia="Arial" w:hAnsi="Arial"/>
                <w:sz w:val="16"/>
                <w:szCs w:val="16"/>
                <w:b w:val="1"/>
                <w:bCs w:val="1"/>
                <w:color w:val="FFFFFF"/>
              </w:rPr>
              <w:t>GENDER</w:t>
            </w:r>
          </w:p>
        </w:tc>
        <w:tc>
          <w:tcPr>
            <w:tcW w:w="3740" w:type="dxa"/>
            <w:vAlign w:val="bottom"/>
            <w:shd w:val="clear" w:color="auto" w:fill="005285"/>
          </w:tcPr>
          <w:p>
            <w:pPr>
              <w:jc w:val="center"/>
              <w:spacing w:after="0"/>
              <w:rPr>
                <w:sz w:val="20"/>
                <w:szCs w:val="20"/>
                <w:color w:val="auto"/>
              </w:rPr>
            </w:pPr>
            <w:r>
              <w:rPr>
                <w:rFonts w:ascii="Arial" w:cs="Arial" w:eastAsia="Arial" w:hAnsi="Arial"/>
                <w:sz w:val="16"/>
                <w:szCs w:val="16"/>
                <w:b w:val="1"/>
                <w:bCs w:val="1"/>
                <w:color w:val="FFFFFF"/>
                <w:w w:val="94"/>
              </w:rPr>
              <w:t>RACE</w:t>
            </w:r>
            <w:r>
              <w:rPr>
                <w:rFonts w:ascii="Arial" w:cs="Arial" w:eastAsia="Arial" w:hAnsi="Arial"/>
                <w:sz w:val="21"/>
                <w:szCs w:val="21"/>
                <w:b w:val="1"/>
                <w:bCs w:val="1"/>
                <w:color w:val="FFFFFF"/>
                <w:w w:val="94"/>
                <w:vertAlign w:val="superscript"/>
              </w:rPr>
              <w:t>1</w:t>
            </w:r>
          </w:p>
        </w:tc>
      </w:tr>
      <w:tr>
        <w:trPr>
          <w:trHeight w:val="276"/>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9"/>
              </w:rPr>
              <w:t>TOTAL WORKFORCE</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99"/>
              </w:rPr>
              <w:t>TOTAL WORKFORCE</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rPr>
              <w:t>TOTAL WORKFORCE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13335</wp:posOffset>
            </wp:positionV>
            <wp:extent cx="6883400" cy="20999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8340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0"/>
        <w:spacing w:after="0"/>
        <w:tabs>
          <w:tab w:leader="none" w:pos="4540" w:val="left"/>
          <w:tab w:leader="none" w:pos="8300" w:val="left"/>
        </w:tabs>
        <w:rPr>
          <w:sz w:val="20"/>
          <w:szCs w:val="20"/>
          <w:color w:val="auto"/>
        </w:rPr>
      </w:pPr>
      <w:r>
        <w:rPr>
          <w:rFonts w:ascii="Arial" w:cs="Arial" w:eastAsia="Arial" w:hAnsi="Arial"/>
          <w:sz w:val="16"/>
          <w:szCs w:val="16"/>
          <w:b w:val="1"/>
          <w:bCs w:val="1"/>
          <w:color w:val="auto"/>
        </w:rPr>
        <w:t>MANAGEMENT POSITIONS</w:t>
      </w:r>
      <w:r>
        <w:rPr>
          <w:sz w:val="20"/>
          <w:szCs w:val="20"/>
          <w:color w:val="auto"/>
        </w:rPr>
        <w:tab/>
      </w:r>
      <w:r>
        <w:rPr>
          <w:rFonts w:ascii="Arial" w:cs="Arial" w:eastAsia="Arial" w:hAnsi="Arial"/>
          <w:sz w:val="16"/>
          <w:szCs w:val="16"/>
          <w:b w:val="1"/>
          <w:bCs w:val="1"/>
          <w:color w:val="auto"/>
        </w:rPr>
        <w:t>MANAGEMENT POSITIONS</w:t>
      </w:r>
      <w:r>
        <w:rPr>
          <w:sz w:val="20"/>
          <w:szCs w:val="20"/>
          <w:color w:val="auto"/>
        </w:rPr>
        <w:tab/>
      </w:r>
      <w:r>
        <w:rPr>
          <w:rFonts w:ascii="Arial" w:cs="Arial" w:eastAsia="Arial" w:hAnsi="Arial"/>
          <w:sz w:val="16"/>
          <w:szCs w:val="16"/>
          <w:b w:val="1"/>
          <w:bCs w:val="1"/>
          <w:color w:val="auto"/>
        </w:rPr>
        <w:t>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20955</wp:posOffset>
            </wp:positionV>
            <wp:extent cx="6926580" cy="3077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658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hanging="112"/>
        <w:spacing w:after="0"/>
        <w:tabs>
          <w:tab w:leader="none" w:pos="12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Based on voluntarily disclosed data from United States associates.</w:t>
      </w:r>
    </w:p>
    <w:p>
      <w:pPr>
        <w:sectPr>
          <w:pgSz w:w="11900" w:h="16838" w:orient="portrait"/>
          <w:cols w:equalWidth="0" w:num="1">
            <w:col w:w="11220"/>
          </w:cols>
          <w:pgMar w:left="320" w:top="12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SELECTION OF DIRECTOR NOMINEES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Nominating and Corporate Governance Committee identifies and recruits candidates for election to the Board. The Nominating and Corporate Governance Committee evaluates the composition of the Board at least annually to assess the skills and experience that are currently represented on the Board as a whole, and in individual directors, as well as the skills and experience that the Board may find valuable in the future. The Nominating and Corporate Governance Committee selects and recommends to the Board director candidates based on the Nominating and Corporate Governance Committee’s evaluation of each candidate’s character, judgment, personal and professional ethics, personal and professional integrity, values, background experience, technical skills, affiliations, familiarity with national and international issues affecting our business and demonstrated exceptional ability and judgment. Although we do not have a formal policy regarding diversity, our Board views diversity as a priority and seeks diverse representation among its members and evaluates its effectiveness in accounting for diversity as part of its annual evaluation of the composition of the Board. Candidates are selected who not only bring a depth of experience but also provide skills and knowledge complementary to the Board and our business. Candidates must be committed to representing the long-term interests of our stockholders and fulfilling a director’s duties and responsibilities, which include attending Board meetings and our annual stockholders meeting, and preparing for Board meetings by advance review of any meeting materials. The Nominating and Corporate Governance Committee recommends to the Board the Company’s candidates for election or reelection to the Board at each annual meeting of stockholders, as well as candidates to be elected by the Board as necessary to fill vacancies and newly created directorships. The Board proposes a slate of nominees to the stockholders for election to the Board. The Board also determines the number of directors on the Board.</w:t>
      </w:r>
    </w:p>
    <w:p>
      <w:pPr>
        <w:spacing w:after="0" w:line="74"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Nominating and Corporate Governance Committee identifies candidates for director on its own as well as by considering recommendations from other members of the Board, officers and employees of the Company, and other sources that the Nominating and Corporate Governance Committee deems appropriate. The Nominating and Corporate Governance Committee will also consider candidates for Board membership recommended by stockholders. Stockholders may recommend candidates for consideration by the Nominating and Corporate Governance Committee by submitting the names and supporting information to: Marriott Vacations Worldwide Corporation, 9002 San Marco Court, Orlando, Florida, 32819, Attention: Corporate Secretary. Candidates recommended by stockholders are considered on the same basis as those from other sources.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supporting information should include the information required by our Bylaws in connection with the nominations of persons for election to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will evaluate all candidates, regardless of source, in light of the Board-approved criteria.</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2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has determined that all of the current directors, other than John E. Geller, Jr., have no material relationship with the Company and are independent under the criteria set forth in the applicable rules of the SEC, the NYSE Listing Standards and the Company’s Corporate Governance Principles. Additionally, all of the members of the Audit Committee, Compensation Policy Committee, and Nominating and Corporate Governance Committee are independent under such standards, including any heightened standards applicable to committee members.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12"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enterprise risk assessment report from our Executive Vice President and Chief Financial Officer and our Senior Vice President, Internal Audit (who is our Chief Audit Executive) and discusses the most significant risks facing us. The Board believes that its risk oversight process would be effective under a variety of Board leadership structures, and therefore, it does not materially affect the Board’s choice of leadership structure.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Each of the Board’s committees addresses risks that fall within that committee’s area of responsibility.</w:t>
      </w:r>
    </w:p>
    <w:p>
      <w:pPr>
        <w:spacing w:after="0" w:line="12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Audit Committee is responsible for a number of risk oversight functions, including the periodic review of the audit plan of the internal audit department, the tax function, treasury operations, and insurance, as well as conducting oversight of legal and regulatory risks and cybersecurity. The Audit Committee receives regular reports from: the corporate controllership and our outside independent accounting firm on financial reporting matters; the internal audit department about significant findings; and the General Counsel regarding legal and regulatory risks, and as discussed below with respect to cybersecurity. The Audit Committee incorporates its risk assessment function into its reports to the Board.</w:t>
      </w:r>
    </w:p>
    <w:p>
      <w:pPr>
        <w:spacing w:after="0" w:line="8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CPC evaluates any incentives and risks arising from or related to our compensation programs and plans and assesses whether the incentives and risks are appropriate. As discussed in the Compensation Discussion and Analysis below, the CPC believes that our compensation programs do not present risks that are reasonably likely to have a material adverse effect on the Company. The CPC is also responsible for oversight of risks related to our workforce and key aspects of the Company’s human resources strategies, policies and programs with respect to organizational development activities, including, but not limited to, initiatives relating to diversity and inclusion and other social responsibility matters.</w:t>
      </w:r>
    </w:p>
    <w:p>
      <w:pPr>
        <w:spacing w:after="0" w:line="8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Nominating and Corporate Governance Committee plays a central role in oversight of ESG risk and the Company’s ESG functions, objectives, strategy, and performance, as further discussed below.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23</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OVERSIGHT OF CYBERSECURITY</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Audit Committee is responsible for oversight of cybersecurity risk. The Company's Senior Vice President, Global Information Security, and its Executive Vice President and Chief Information Officer review cybersecurity and data security risks and mitigation strategies with the Audit Committee at least twice per year. The Company has a dedicated team that is responsible for managing enterprise-wide information security strategy, policy, standards, architecture and processes. This team follows a documented process to identify, quantify and mitigate security risks. Risks are reported to and reviewed by senior leadership, and more significant risks are reported to our executive officers and the Audit Committee. In addition, we require our associates to receive annual training on our information security policies. This includes but is not limited to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OVERSIGHT OF ENVIRONMENTAL, SOCIAL AND GOVERNANCE</w:t>
      </w:r>
    </w:p>
    <w:p>
      <w:pPr>
        <w:spacing w:after="0" w:line="11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In 2021, we implemented a governance structure for our ESG program. Oversight of ESG matters happens at multiple levels within our ESG governance structure. Our Board has overall responsibility for managing ESG risks and opportunities, and is provided with updates on ESG matters at least quarterly. Each of the Board's committees assist the board in fulfilling this responsibility by overseeing the ESG-related risks in areas over which they have responsibility.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E7D"/>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3" w:lineRule="exact"/>
        <w:rPr>
          <w:sz w:val="20"/>
          <w:szCs w:val="20"/>
          <w:color w:val="auto"/>
        </w:rPr>
      </w:pPr>
    </w:p>
    <w:p>
      <w:pPr>
        <w:jc w:val="center"/>
        <w:ind w:left="340" w:right="300"/>
        <w:spacing w:after="0" w:line="286" w:lineRule="auto"/>
        <w:rPr>
          <w:sz w:val="20"/>
          <w:szCs w:val="20"/>
          <w:color w:val="auto"/>
        </w:rPr>
      </w:pPr>
      <w:r>
        <w:rPr>
          <w:rFonts w:ascii="Arial" w:cs="Arial" w:eastAsia="Arial" w:hAnsi="Arial"/>
          <w:sz w:val="16"/>
          <w:szCs w:val="16"/>
          <w:color w:val="auto"/>
        </w:rPr>
        <w:t>The Board has overall responsibility for overseeing ESG risks and opportunities, and is provided with updates on ESG matters at least quarterly. Our Board plays a critical role in understanding how ESG issues affect our business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E7D"/>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3" w:lineRule="exact"/>
        <w:rPr>
          <w:sz w:val="20"/>
          <w:szCs w:val="20"/>
          <w:color w:val="auto"/>
        </w:rPr>
      </w:pPr>
    </w:p>
    <w:p>
      <w:pPr>
        <w:jc w:val="center"/>
        <w:ind w:left="340" w:right="380"/>
        <w:spacing w:after="0" w:line="304" w:lineRule="auto"/>
        <w:rPr>
          <w:sz w:val="20"/>
          <w:szCs w:val="20"/>
          <w:color w:val="auto"/>
        </w:rPr>
      </w:pPr>
      <w:r>
        <w:rPr>
          <w:rFonts w:ascii="Arial" w:cs="Arial" w:eastAsia="Arial" w:hAnsi="Arial"/>
          <w:sz w:val="16"/>
          <w:szCs w:val="16"/>
          <w:color w:val="auto"/>
        </w:rPr>
        <w:t>The Nominating and Corporate Governance Committee oversees the Company’s ESG priorities, objectives, strategy, and performance and makes recommendations to the Board and reviews ESG risks and opportunities with management.</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Compensation Policy Committee oversees initiatives relative to inclusion, diversity, and other social responsibility matters.</w:t>
      </w:r>
    </w:p>
    <w:p>
      <w:pPr>
        <w:spacing w:after="0" w:line="10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Audit Committee oversees reporting, internal control, and disclosure procedures with respect to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E7D"/>
        </w:rPr>
        <w:t>ESG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3" w:lineRule="exact"/>
        <w:rPr>
          <w:sz w:val="20"/>
          <w:szCs w:val="20"/>
          <w:color w:val="auto"/>
        </w:rPr>
      </w:pPr>
    </w:p>
    <w:p>
      <w:pPr>
        <w:jc w:val="center"/>
        <w:spacing w:after="0" w:line="265" w:lineRule="auto"/>
        <w:rPr>
          <w:sz w:val="20"/>
          <w:szCs w:val="20"/>
          <w:color w:val="auto"/>
        </w:rPr>
      </w:pPr>
      <w:r>
        <w:rPr>
          <w:rFonts w:ascii="Arial" w:cs="Arial" w:eastAsia="Arial" w:hAnsi="Arial"/>
          <w:sz w:val="16"/>
          <w:szCs w:val="16"/>
          <w:color w:val="auto"/>
        </w:rPr>
        <w:t>The ESG Steering Committee has overall responsibility for managing climate-related risks and opportunities. The ESG Steering Committee is a cross-functional management committee of the Company comprised of C-Suite executives that is responsible for (a) setting general strategy relating to ESG matters, (b) developing, implementing, and monitoring initiatives and policies based on that strategy, (c) overseeing communications with employees, investors, and other stakeholders with respect to ESG matters, and (d) monitoring and assessing developments relating to, and improving our understanding of, ESG matters. The ESG Steering Committee established the ESG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E7D"/>
        </w:rPr>
        <w:t>ESG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3" w:lineRule="exact"/>
        <w:rPr>
          <w:sz w:val="20"/>
          <w:szCs w:val="20"/>
          <w:color w:val="auto"/>
        </w:rPr>
      </w:pPr>
    </w:p>
    <w:p>
      <w:pPr>
        <w:jc w:val="center"/>
        <w:ind w:left="340" w:right="340"/>
        <w:spacing w:after="0" w:line="286" w:lineRule="auto"/>
        <w:rPr>
          <w:sz w:val="20"/>
          <w:szCs w:val="20"/>
          <w:color w:val="auto"/>
        </w:rPr>
      </w:pPr>
      <w:r>
        <w:rPr>
          <w:rFonts w:ascii="Arial" w:cs="Arial" w:eastAsia="Arial" w:hAnsi="Arial"/>
          <w:sz w:val="16"/>
          <w:szCs w:val="16"/>
          <w:color w:val="auto"/>
        </w:rPr>
        <w:t>The ESG Task Force is responsible for the day-to-day progress of the Company’s ESG activities. The ESG Task Force is a cross-functional team of senior leaders that is responsible for specific ESG programs and is overseen by the ESG Steering Committee.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task force consists of associates from these departments: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Investor Relations</w:t>
            </w:r>
          </w:p>
        </w:tc>
        <w:tc>
          <w:tcPr>
            <w:tcW w:w="1640" w:type="dxa"/>
            <w:vAlign w:val="bottom"/>
          </w:tcPr>
          <w:p>
            <w:pPr>
              <w:ind w:left="1540"/>
              <w:spacing w:after="0"/>
              <w:rPr>
                <w:sz w:val="20"/>
                <w:szCs w:val="20"/>
                <w:color w:val="auto"/>
              </w:rPr>
            </w:pPr>
            <w:r>
              <w:rPr>
                <w:rFonts w:ascii="Arial" w:cs="Arial" w:eastAsia="Arial" w:hAnsi="Arial"/>
                <w:sz w:val="16"/>
                <w:szCs w:val="16"/>
                <w:color w:val="auto"/>
              </w:rPr>
              <w:t>•</w:t>
            </w:r>
          </w:p>
        </w:tc>
        <w:tc>
          <w:tcPr>
            <w:tcW w:w="4360" w:type="dxa"/>
            <w:vAlign w:val="bottom"/>
          </w:tcPr>
          <w:p>
            <w:pPr>
              <w:ind w:left="40"/>
              <w:spacing w:after="0"/>
              <w:rPr>
                <w:sz w:val="20"/>
                <w:szCs w:val="20"/>
                <w:color w:val="auto"/>
              </w:rPr>
            </w:pPr>
            <w:r>
              <w:rPr>
                <w:rFonts w:ascii="Arial" w:cs="Arial" w:eastAsia="Arial" w:hAnsi="Arial"/>
                <w:sz w:val="16"/>
                <w:szCs w:val="16"/>
                <w:color w:val="auto"/>
              </w:rPr>
              <w:t>Procurement</w:t>
            </w:r>
          </w:p>
        </w:tc>
      </w:tr>
      <w:tr>
        <w:trPr>
          <w:trHeight w:val="243"/>
        </w:trPr>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Legal</w:t>
            </w:r>
          </w:p>
        </w:tc>
        <w:tc>
          <w:tcPr>
            <w:tcW w:w="1640" w:type="dxa"/>
            <w:vAlign w:val="bottom"/>
          </w:tcPr>
          <w:p>
            <w:pPr>
              <w:ind w:left="1540"/>
              <w:spacing w:after="0"/>
              <w:rPr>
                <w:sz w:val="20"/>
                <w:szCs w:val="20"/>
                <w:color w:val="auto"/>
              </w:rPr>
            </w:pPr>
            <w:r>
              <w:rPr>
                <w:rFonts w:ascii="Arial" w:cs="Arial" w:eastAsia="Arial" w:hAnsi="Arial"/>
                <w:sz w:val="16"/>
                <w:szCs w:val="16"/>
                <w:color w:val="auto"/>
              </w:rPr>
              <w:t>•</w:t>
            </w:r>
          </w:p>
        </w:tc>
        <w:tc>
          <w:tcPr>
            <w:tcW w:w="4360" w:type="dxa"/>
            <w:vAlign w:val="bottom"/>
          </w:tcPr>
          <w:p>
            <w:pPr>
              <w:ind w:left="40"/>
              <w:spacing w:after="0"/>
              <w:rPr>
                <w:sz w:val="20"/>
                <w:szCs w:val="20"/>
                <w:color w:val="auto"/>
              </w:rPr>
            </w:pPr>
            <w:r>
              <w:rPr>
                <w:rFonts w:ascii="Arial" w:cs="Arial" w:eastAsia="Arial" w:hAnsi="Arial"/>
                <w:sz w:val="16"/>
                <w:szCs w:val="16"/>
                <w:color w:val="auto"/>
              </w:rPr>
              <w:t>Financial Reporting</w:t>
            </w:r>
          </w:p>
        </w:tc>
      </w:tr>
      <w:tr>
        <w:trPr>
          <w:trHeight w:val="243"/>
        </w:trPr>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Global Communications</w:t>
            </w:r>
          </w:p>
        </w:tc>
        <w:tc>
          <w:tcPr>
            <w:tcW w:w="1640" w:type="dxa"/>
            <w:vAlign w:val="bottom"/>
          </w:tcPr>
          <w:p>
            <w:pPr>
              <w:ind w:left="1540"/>
              <w:spacing w:after="0"/>
              <w:rPr>
                <w:sz w:val="20"/>
                <w:szCs w:val="20"/>
                <w:color w:val="auto"/>
              </w:rPr>
            </w:pPr>
            <w:r>
              <w:rPr>
                <w:rFonts w:ascii="Arial" w:cs="Arial" w:eastAsia="Arial" w:hAnsi="Arial"/>
                <w:sz w:val="16"/>
                <w:szCs w:val="16"/>
                <w:color w:val="auto"/>
              </w:rPr>
              <w:t>•</w:t>
            </w:r>
          </w:p>
        </w:tc>
        <w:tc>
          <w:tcPr>
            <w:tcW w:w="4360" w:type="dxa"/>
            <w:vAlign w:val="bottom"/>
          </w:tcPr>
          <w:p>
            <w:pPr>
              <w:ind w:left="40"/>
              <w:spacing w:after="0"/>
              <w:rPr>
                <w:sz w:val="20"/>
                <w:szCs w:val="20"/>
                <w:color w:val="auto"/>
              </w:rPr>
            </w:pPr>
            <w:r>
              <w:rPr>
                <w:rFonts w:ascii="Arial" w:cs="Arial" w:eastAsia="Arial" w:hAnsi="Arial"/>
                <w:sz w:val="16"/>
                <w:szCs w:val="16"/>
                <w:color w:val="auto"/>
              </w:rPr>
              <w:t>Capital Markets</w:t>
            </w:r>
          </w:p>
        </w:tc>
      </w:tr>
      <w:tr>
        <w:trPr>
          <w:trHeight w:val="243"/>
        </w:trPr>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Human Resources</w:t>
            </w:r>
          </w:p>
        </w:tc>
        <w:tc>
          <w:tcPr>
            <w:tcW w:w="1640" w:type="dxa"/>
            <w:vAlign w:val="bottom"/>
          </w:tcPr>
          <w:p>
            <w:pPr>
              <w:ind w:left="1540"/>
              <w:spacing w:after="0"/>
              <w:rPr>
                <w:sz w:val="20"/>
                <w:szCs w:val="20"/>
                <w:color w:val="auto"/>
              </w:rPr>
            </w:pPr>
            <w:r>
              <w:rPr>
                <w:rFonts w:ascii="Arial" w:cs="Arial" w:eastAsia="Arial" w:hAnsi="Arial"/>
                <w:sz w:val="16"/>
                <w:szCs w:val="16"/>
                <w:color w:val="auto"/>
              </w:rPr>
              <w:t>•</w:t>
            </w:r>
          </w:p>
        </w:tc>
        <w:tc>
          <w:tcPr>
            <w:tcW w:w="4360" w:type="dxa"/>
            <w:vAlign w:val="bottom"/>
          </w:tcPr>
          <w:p>
            <w:pPr>
              <w:ind w:left="40"/>
              <w:spacing w:after="0"/>
              <w:rPr>
                <w:sz w:val="20"/>
                <w:szCs w:val="20"/>
                <w:color w:val="auto"/>
              </w:rPr>
            </w:pPr>
            <w:r>
              <w:rPr>
                <w:rFonts w:ascii="Arial" w:cs="Arial" w:eastAsia="Arial" w:hAnsi="Arial"/>
                <w:sz w:val="16"/>
                <w:szCs w:val="16"/>
                <w:color w:val="auto"/>
              </w:rPr>
              <w:t>Market Operations</w:t>
            </w:r>
          </w:p>
        </w:tc>
      </w:tr>
      <w:tr>
        <w:trPr>
          <w:trHeight w:val="243"/>
        </w:trPr>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Internal Audit</w:t>
            </w:r>
          </w:p>
        </w:tc>
        <w:tc>
          <w:tcPr>
            <w:tcW w:w="1640" w:type="dxa"/>
            <w:vAlign w:val="bottom"/>
          </w:tcPr>
          <w:p>
            <w:pPr>
              <w:ind w:left="1540"/>
              <w:spacing w:after="0"/>
              <w:rPr>
                <w:sz w:val="20"/>
                <w:szCs w:val="20"/>
                <w:color w:val="auto"/>
              </w:rPr>
            </w:pPr>
            <w:r>
              <w:rPr>
                <w:rFonts w:ascii="Arial" w:cs="Arial" w:eastAsia="Arial" w:hAnsi="Arial"/>
                <w:sz w:val="16"/>
                <w:szCs w:val="16"/>
                <w:color w:val="auto"/>
              </w:rPr>
              <w:t>•</w:t>
            </w:r>
          </w:p>
        </w:tc>
        <w:tc>
          <w:tcPr>
            <w:tcW w:w="4360" w:type="dxa"/>
            <w:vAlign w:val="bottom"/>
          </w:tcPr>
          <w:p>
            <w:pPr>
              <w:ind w:left="40"/>
              <w:spacing w:after="0"/>
              <w:rPr>
                <w:sz w:val="20"/>
                <w:szCs w:val="20"/>
                <w:color w:val="auto"/>
              </w:rPr>
            </w:pPr>
            <w:r>
              <w:rPr>
                <w:rFonts w:ascii="Arial" w:cs="Arial" w:eastAsia="Arial" w:hAnsi="Arial"/>
                <w:sz w:val="16"/>
                <w:szCs w:val="16"/>
                <w:color w:val="auto"/>
              </w:rPr>
              <w:t>Global Information Security</w:t>
            </w:r>
          </w:p>
        </w:tc>
      </w:tr>
      <w:tr>
        <w:trPr>
          <w:trHeight w:val="243"/>
        </w:trPr>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Architecture and Design</w:t>
            </w:r>
          </w:p>
        </w:tc>
        <w:tc>
          <w:tcPr>
            <w:tcW w:w="1640" w:type="dxa"/>
            <w:vAlign w:val="bottom"/>
          </w:tcPr>
          <w:p>
            <w:pPr>
              <w:ind w:left="1540"/>
              <w:spacing w:after="0"/>
              <w:rPr>
                <w:sz w:val="20"/>
                <w:szCs w:val="20"/>
                <w:color w:val="auto"/>
              </w:rPr>
            </w:pPr>
            <w:r>
              <w:rPr>
                <w:rFonts w:ascii="Arial" w:cs="Arial" w:eastAsia="Arial" w:hAnsi="Arial"/>
                <w:sz w:val="16"/>
                <w:szCs w:val="16"/>
                <w:color w:val="auto"/>
              </w:rPr>
              <w:t>•</w:t>
            </w:r>
          </w:p>
        </w:tc>
        <w:tc>
          <w:tcPr>
            <w:tcW w:w="4360" w:type="dxa"/>
            <w:vAlign w:val="bottom"/>
          </w:tcPr>
          <w:p>
            <w:pPr>
              <w:ind w:left="40"/>
              <w:spacing w:after="0"/>
              <w:rPr>
                <w:sz w:val="20"/>
                <w:szCs w:val="20"/>
                <w:color w:val="auto"/>
              </w:rPr>
            </w:pPr>
            <w:r>
              <w:rPr>
                <w:rFonts w:ascii="Arial" w:cs="Arial" w:eastAsia="Arial" w:hAnsi="Arial"/>
                <w:sz w:val="16"/>
                <w:szCs w:val="16"/>
                <w:color w:val="auto"/>
              </w:rPr>
              <w:t>Insurance and Risk Management</w:t>
            </w:r>
          </w:p>
        </w:tc>
      </w:tr>
      <w:tr>
        <w:trPr>
          <w:trHeight w:val="83"/>
        </w:trPr>
        <w:tc>
          <w:tcPr>
            <w:tcW w:w="1920" w:type="dxa"/>
            <w:vAlign w:val="bottom"/>
            <w:tcBorders>
              <w:bottom w:val="single" w:sz="8" w:color="004987"/>
            </w:tcBorders>
          </w:tcPr>
          <w:p>
            <w:pPr>
              <w:spacing w:after="0"/>
              <w:rPr>
                <w:sz w:val="7"/>
                <w:szCs w:val="7"/>
                <w:color w:val="auto"/>
              </w:rPr>
            </w:pPr>
          </w:p>
        </w:tc>
        <w:tc>
          <w:tcPr>
            <w:tcW w:w="3320" w:type="dxa"/>
            <w:vAlign w:val="bottom"/>
            <w:tcBorders>
              <w:bottom w:val="single" w:sz="8" w:color="004987"/>
            </w:tcBorders>
          </w:tcPr>
          <w:p>
            <w:pPr>
              <w:spacing w:after="0"/>
              <w:rPr>
                <w:sz w:val="7"/>
                <w:szCs w:val="7"/>
                <w:color w:val="auto"/>
              </w:rPr>
            </w:pPr>
          </w:p>
        </w:tc>
        <w:tc>
          <w:tcPr>
            <w:tcW w:w="1640" w:type="dxa"/>
            <w:vAlign w:val="bottom"/>
            <w:tcBorders>
              <w:bottom w:val="single" w:sz="8" w:color="004987"/>
            </w:tcBorders>
          </w:tcPr>
          <w:p>
            <w:pPr>
              <w:spacing w:after="0"/>
              <w:rPr>
                <w:sz w:val="7"/>
                <w:szCs w:val="7"/>
                <w:color w:val="auto"/>
              </w:rPr>
            </w:pPr>
          </w:p>
        </w:tc>
        <w:tc>
          <w:tcPr>
            <w:tcW w:w="4360" w:type="dxa"/>
            <w:vAlign w:val="bottom"/>
            <w:tcBorders>
              <w:bottom w:val="single" w:sz="8" w:color="004987"/>
            </w:tcBorders>
          </w:tcPr>
          <w:p>
            <w:pPr>
              <w:spacing w:after="0"/>
              <w:rPr>
                <w:sz w:val="7"/>
                <w:szCs w:val="7"/>
                <w:color w:val="auto"/>
              </w:rPr>
            </w:pPr>
          </w:p>
        </w:tc>
      </w:tr>
    </w:tbl>
    <w:p>
      <w:pPr>
        <w:spacing w:after="0" w:line="22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Our business conduct guide, supplier code of conduct, human rights policy and 2021 ESG Report are posted on our website. We encourage you to read more about how we are working to build a more inclusive and purpose-driven culture on our Investor Relations website at: www.marriotvacationsworldwide.com.</w:t>
      </w:r>
    </w:p>
    <w:p>
      <w:pPr>
        <w:sectPr>
          <w:pgSz w:w="11900" w:h="16838" w:orient="portrait"/>
          <w:cols w:equalWidth="0" w:num="1">
            <w:col w:w="11240"/>
          </w:cols>
          <w:pgMar w:left="320" w:top="12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COMMUNICATIONS WITH THE BOARD</w:t>
      </w:r>
    </w:p>
    <w:p>
      <w:pPr>
        <w:spacing w:after="0" w:line="11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Stockholders and other interested parties wishing to communicate with our Board as a group or with any individual director (including the Chairman of the Board) may do so by sending an e-mail to business.ethics@mvwc.com or sending a letter to Marriott Vacations Worldwide Corporation, 9002 San Marco Court, Orlando, Florida, 32819, Attention: Chief Audit Executive. Such communications may be confidential and/or anonymous. All such concerns are forwarded to the appropriate directors for their review and are reviewed and addressed by us in the same way that we address other concerns.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DIRECTORSHIPS</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Corporate Governance Principles limit the number of boards of publicly traded companies on which the Company’s directors may serve to two, including our Board, for directors who are executive officers of publicly traded companies, and four for other directors.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2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President and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or on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25</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30" w:name="page31"/>
    <w:bookmarkEnd w:id="30"/>
    <w:p>
      <w:pPr>
        <w:spacing w:after="0" w:line="32" w:lineRule="exact"/>
        <w:rPr>
          <w:sz w:val="20"/>
          <w:szCs w:val="20"/>
          <w:color w:val="auto"/>
        </w:rPr>
      </w:pPr>
    </w:p>
    <w:p>
      <w:pPr>
        <w:ind w:left="280" w:right="2200"/>
        <w:spacing w:after="0" w:line="266" w:lineRule="auto"/>
        <w:rPr>
          <w:sz w:val="20"/>
          <w:szCs w:val="20"/>
          <w:color w:val="auto"/>
        </w:rPr>
      </w:pPr>
      <w:r>
        <w:rPr>
          <w:rFonts w:ascii="Arial" w:cs="Arial" w:eastAsia="Arial" w:hAnsi="Arial"/>
          <w:sz w:val="53"/>
          <w:szCs w:val="53"/>
          <w:b w:val="1"/>
          <w:bCs w:val="1"/>
          <w:color w:val="auto"/>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-819785</wp:posOffset>
            </wp:positionV>
            <wp:extent cx="68580" cy="7797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77978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AUDIT COMMITTEE</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Audit Committee is composed solely of independent directors meeting the requirements of applicable SEC and NYSE rules. Each member is financially literate for audit committee purposes under the NYSE rules, and two members of the Audit Committee also qualify as an “audit committee financial expert” within the meaning of SEC regulations. The key responsibilities of the Audit Committee are set forth in its charter, which was adopted by us and approved by the Board and is posted under “Corporate Governance” in the Investor Relations section of our website at www.marriottvacationsworldwide.com.</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As more fully described in the Audit Committee charter, our Audit Committee assists the Board in its oversight of risks related to financial reporting, accounting, financial practices and cybersecurity. Our Audit Committee also oversees reporting and internal controls and disclosure procedures concerning the Company’s environmental, social and governance program. Management is responsible for the preparation, presentation and integrity of our consolidated financial statements, accounting and financial reporting principles, and maintaining an effective system of internal controls over financial reporting. Ernst &amp; Young, our independent registered public accountant, is responsible for performing an independent audit of our consolidated financial statements and the effectiveness of internal controls over financial reporting in accordance with the auditing standards of the Public Company Accounting Oversight Board (“PCAOB”).</w:t>
      </w:r>
    </w:p>
    <w:p>
      <w:pPr>
        <w:spacing w:after="0" w:line="8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Audit Committee has selected Ernst &amp; Young as our independent registered public accountant for 2023. Ernst &amp; Young has served as our independent registered public accountant since 2011. The Audit Committee is responsible for the appointment, compensation and oversight of our independent registered public accountant. The Audit Committee regularly reviews Ernst &amp; Young’s independence and performance in deciding whether to retain Ernst &amp; Young or engage another firm as our independent registered public accountant. In the course of these reviews, the Audit Committee considers, among other things:</w:t>
      </w:r>
    </w:p>
    <w:p>
      <w:pPr>
        <w:spacing w:after="0" w:line="65" w:lineRule="exact"/>
        <w:rPr>
          <w:sz w:val="20"/>
          <w:szCs w:val="20"/>
          <w:color w:val="auto"/>
        </w:rPr>
      </w:pPr>
    </w:p>
    <w:p>
      <w:pPr>
        <w:ind w:left="240" w:hanging="232"/>
        <w:spacing w:after="0"/>
        <w:tabs>
          <w:tab w:leader="none" w:pos="240" w:val="left"/>
        </w:tabs>
        <w:numPr>
          <w:ilvl w:val="0"/>
          <w:numId w:val="47"/>
        </w:numPr>
        <w:rPr>
          <w:rFonts w:ascii="Arial" w:cs="Arial" w:eastAsia="Arial" w:hAnsi="Arial"/>
          <w:sz w:val="16"/>
          <w:szCs w:val="16"/>
          <w:color w:val="004E7D"/>
        </w:rPr>
      </w:pPr>
      <w:r>
        <w:rPr>
          <w:rFonts w:ascii="Arial" w:cs="Arial" w:eastAsia="Arial" w:hAnsi="Arial"/>
          <w:sz w:val="16"/>
          <w:szCs w:val="16"/>
          <w:color w:val="auto"/>
        </w:rPr>
        <w:t>Ernst &amp; Young’s historical and recent performance on our audit;</w:t>
      </w:r>
    </w:p>
    <w:p>
      <w:pPr>
        <w:spacing w:after="0" w:line="126" w:lineRule="exact"/>
        <w:rPr>
          <w:rFonts w:ascii="Arial" w:cs="Arial" w:eastAsia="Arial" w:hAnsi="Arial"/>
          <w:sz w:val="16"/>
          <w:szCs w:val="16"/>
          <w:color w:val="004E7D"/>
        </w:rPr>
      </w:pPr>
    </w:p>
    <w:p>
      <w:pPr>
        <w:ind w:left="240" w:hanging="232"/>
        <w:spacing w:after="0"/>
        <w:tabs>
          <w:tab w:leader="none" w:pos="240" w:val="left"/>
        </w:tabs>
        <w:numPr>
          <w:ilvl w:val="0"/>
          <w:numId w:val="47"/>
        </w:numPr>
        <w:rPr>
          <w:rFonts w:ascii="Arial" w:cs="Arial" w:eastAsia="Arial" w:hAnsi="Arial"/>
          <w:sz w:val="16"/>
          <w:szCs w:val="16"/>
          <w:color w:val="004E7D"/>
        </w:rPr>
      </w:pPr>
      <w:r>
        <w:rPr>
          <w:rFonts w:ascii="Arial" w:cs="Arial" w:eastAsia="Arial" w:hAnsi="Arial"/>
          <w:sz w:val="16"/>
          <w:szCs w:val="16"/>
          <w:color w:val="auto"/>
        </w:rPr>
        <w:t>Ernst &amp; Young’s capability and expertise in handling the breadth and complexity of our operations;</w:t>
      </w:r>
    </w:p>
    <w:p>
      <w:pPr>
        <w:spacing w:after="0" w:line="113" w:lineRule="exact"/>
        <w:rPr>
          <w:rFonts w:ascii="Arial" w:cs="Arial" w:eastAsia="Arial" w:hAnsi="Arial"/>
          <w:sz w:val="16"/>
          <w:szCs w:val="16"/>
          <w:color w:val="004E7D"/>
        </w:rPr>
      </w:pPr>
    </w:p>
    <w:p>
      <w:pPr>
        <w:ind w:left="240" w:hanging="232"/>
        <w:spacing w:after="0"/>
        <w:tabs>
          <w:tab w:leader="none" w:pos="240" w:val="left"/>
        </w:tabs>
        <w:numPr>
          <w:ilvl w:val="0"/>
          <w:numId w:val="47"/>
        </w:numPr>
        <w:rPr>
          <w:rFonts w:ascii="Arial" w:cs="Arial" w:eastAsia="Arial" w:hAnsi="Arial"/>
          <w:sz w:val="16"/>
          <w:szCs w:val="16"/>
          <w:color w:val="004E7D"/>
        </w:rPr>
      </w:pPr>
      <w:r>
        <w:rPr>
          <w:rFonts w:ascii="Arial" w:cs="Arial" w:eastAsia="Arial" w:hAnsi="Arial"/>
          <w:sz w:val="16"/>
          <w:szCs w:val="16"/>
          <w:color w:val="auto"/>
        </w:rPr>
        <w:t>data on audit quality and performance, including recent PCAOB reports on Ernst &amp; Young and its peer firms;</w:t>
      </w:r>
    </w:p>
    <w:p>
      <w:pPr>
        <w:spacing w:after="0" w:line="113" w:lineRule="exact"/>
        <w:rPr>
          <w:rFonts w:ascii="Arial" w:cs="Arial" w:eastAsia="Arial" w:hAnsi="Arial"/>
          <w:sz w:val="16"/>
          <w:szCs w:val="16"/>
          <w:color w:val="004E7D"/>
        </w:rPr>
      </w:pPr>
    </w:p>
    <w:p>
      <w:pPr>
        <w:ind w:left="240" w:hanging="232"/>
        <w:spacing w:after="0"/>
        <w:tabs>
          <w:tab w:leader="none" w:pos="240" w:val="left"/>
        </w:tabs>
        <w:numPr>
          <w:ilvl w:val="0"/>
          <w:numId w:val="47"/>
        </w:numPr>
        <w:rPr>
          <w:rFonts w:ascii="Arial" w:cs="Arial" w:eastAsia="Arial" w:hAnsi="Arial"/>
          <w:sz w:val="16"/>
          <w:szCs w:val="16"/>
          <w:color w:val="004E7D"/>
        </w:rPr>
      </w:pPr>
      <w:r>
        <w:rPr>
          <w:rFonts w:ascii="Arial" w:cs="Arial" w:eastAsia="Arial" w:hAnsi="Arial"/>
          <w:sz w:val="16"/>
          <w:szCs w:val="16"/>
          <w:color w:val="auto"/>
        </w:rPr>
        <w:t>the appropriateness of Ernst &amp; Young’s fees for audit and non-audit services, on both an absolute basis and as compared to its peer firms;</w:t>
      </w:r>
    </w:p>
    <w:p>
      <w:pPr>
        <w:spacing w:after="0" w:line="126" w:lineRule="exact"/>
        <w:rPr>
          <w:rFonts w:ascii="Arial" w:cs="Arial" w:eastAsia="Arial" w:hAnsi="Arial"/>
          <w:sz w:val="16"/>
          <w:szCs w:val="16"/>
          <w:color w:val="004E7D"/>
        </w:rPr>
      </w:pPr>
    </w:p>
    <w:p>
      <w:pPr>
        <w:ind w:left="240" w:hanging="232"/>
        <w:spacing w:after="0"/>
        <w:tabs>
          <w:tab w:leader="none" w:pos="240" w:val="left"/>
        </w:tabs>
        <w:numPr>
          <w:ilvl w:val="0"/>
          <w:numId w:val="47"/>
        </w:numPr>
        <w:rPr>
          <w:rFonts w:ascii="Arial" w:cs="Arial" w:eastAsia="Arial" w:hAnsi="Arial"/>
          <w:sz w:val="16"/>
          <w:szCs w:val="16"/>
          <w:color w:val="004E7D"/>
        </w:rPr>
      </w:pPr>
      <w:r>
        <w:rPr>
          <w:rFonts w:ascii="Arial" w:cs="Arial" w:eastAsia="Arial" w:hAnsi="Arial"/>
          <w:sz w:val="16"/>
          <w:szCs w:val="16"/>
          <w:color w:val="auto"/>
        </w:rPr>
        <w:t>Ernst &amp; Young’s independence, including the possible effects of its provision of non-audit services and associated fees on its independence; and</w:t>
      </w:r>
    </w:p>
    <w:p>
      <w:pPr>
        <w:spacing w:after="0" w:line="113" w:lineRule="exact"/>
        <w:rPr>
          <w:rFonts w:ascii="Arial" w:cs="Arial" w:eastAsia="Arial" w:hAnsi="Arial"/>
          <w:sz w:val="16"/>
          <w:szCs w:val="16"/>
          <w:color w:val="004E7D"/>
        </w:rPr>
      </w:pPr>
    </w:p>
    <w:p>
      <w:pPr>
        <w:ind w:left="180" w:right="300" w:hanging="172"/>
        <w:spacing w:after="0" w:line="304" w:lineRule="auto"/>
        <w:tabs>
          <w:tab w:leader="none" w:pos="255" w:val="left"/>
        </w:tabs>
        <w:numPr>
          <w:ilvl w:val="0"/>
          <w:numId w:val="47"/>
        </w:numPr>
        <w:rPr>
          <w:rFonts w:ascii="Arial" w:cs="Arial" w:eastAsia="Arial" w:hAnsi="Arial"/>
          <w:sz w:val="16"/>
          <w:szCs w:val="16"/>
          <w:color w:val="004E7D"/>
        </w:rPr>
      </w:pPr>
      <w:r>
        <w:rPr>
          <w:rFonts w:ascii="Arial" w:cs="Arial" w:eastAsia="Arial" w:hAnsi="Arial"/>
          <w:sz w:val="16"/>
          <w:szCs w:val="16"/>
          <w:color w:val="auto"/>
        </w:rPr>
        <w:t>Ernst &amp; Young’s tenure as our independent registered public accountant, including the benefits of having an independent registered public accountant that is familiar with us, and the controls and processes that help ensure Ernst &amp; Young’s independence.</w:t>
      </w:r>
    </w:p>
    <w:p>
      <w:pPr>
        <w:spacing w:after="0" w:line="3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accordance with SEC rules and Ernst &amp; Young policies, audit partners are subject to rotation requirements to limit the number of consecutive years an individual partner may provide service to us. For lead and concurring audit partners, the maximum number of consecutive years of service in that capacity is five years. The process for selection of our lead audit partner pursuant to this rotation policy involves a meeting between the Chair of the Audit Committee and the candidate for the role, as well as discussion by the full Audit Committee and with management. The lead partner from Ernst &amp; Young who was assigned to us in 2020 will complete her five years of service with us in 2024, and a new lead partner will be assigned to us beginning in 2025.</w:t>
      </w:r>
    </w:p>
    <w:p>
      <w:pPr>
        <w:spacing w:after="0" w:line="6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Audit Committee engages in an annual evaluation of our independent registered public accounting firm’s qualifications, assessing the firm’s quality of service, the firm’s sufficiency of resources, the quality of the communication and interaction with the firm, and the firm’s independence, objectivity, and professional skepticism. The Audit Committee also considers the advisability and potential impact of selecting a different independent public accounting firm.</w:t>
      </w:r>
    </w:p>
    <w:p>
      <w:pPr>
        <w:spacing w:after="0" w:line="5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Audit Committee and the Board believe that the continued retention of Ernst &amp; Young as our independent registered public accounting firm is in the best interest of our stockholders.</w:t>
      </w:r>
    </w:p>
    <w:p>
      <w:pPr>
        <w:spacing w:after="0" w:line="3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Audit Committee regularly meets and holds separate discussions with management, our internal auditors, and Ernst &amp; Young. Prior to their issuance, the Audit Committee reviews and discussed our quarterly and annual consolidated financial statements (including the presentation of non-GAAP financial information) and disclosures under “Management’s Discussion and Analysis of Financial Condition and Results of Operations” (including significant accounting policies and judgments) with management, our internal auditors and Ernst &amp; Young. During 2022, management, our internal auditors and Ernst &amp; Young also made presentations to the Audit Committee on specific topics of interest, including: ESG matters, our information technology systems and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26</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right="380"/>
        <w:spacing w:after="0" w:line="286" w:lineRule="auto"/>
        <w:rPr>
          <w:sz w:val="20"/>
          <w:szCs w:val="20"/>
          <w:color w:val="auto"/>
        </w:rPr>
      </w:pPr>
      <w:r>
        <w:rPr>
          <w:rFonts w:ascii="Arial" w:cs="Arial" w:eastAsia="Arial" w:hAnsi="Arial"/>
          <w:sz w:val="16"/>
          <w:szCs w:val="16"/>
          <w:color w:val="auto"/>
        </w:rPr>
        <w:t>changes in significant estimates; our critical accounting policies; new accounting guidance and the potential impact of new accounting pronouncements; integration and transformation initiatives; our strategy and the implementation of new systems; and cybersecurity.</w:t>
      </w:r>
    </w:p>
    <w:p>
      <w:pPr>
        <w:spacing w:after="0" w:line="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Audit Committee has met and held discussions with management and Ernst &amp; Young regarding the fair and complete presentation of our results and the assessment of our internal control over financial reporting. Management has represented to the Audit Committee that our consolidated financial statements were prepared in accordance with accounting principles generally accepted in the United States of America, and the Audit Committee has reviewed and discussed the consolidated financial statements with management and Ernst &amp; Young. The Audit Committee has discussed with Ernst &amp; Young the matters that are required to be discussed by the applicable requirements of the PCAOB. The Audit Committee discussed with Ernst &amp; Young their independence from the Company and our management, including the matters, if any, in the written disclosures delivered pursuant to the applicable requirements of the PCAOB. The Audit Committee has concluded that Ernst &amp; Young’s provision of audit and non-audit services to us and our affiliates is compatible with Ernst &amp; Young’s independence.</w:t>
      </w:r>
    </w:p>
    <w:p>
      <w:pPr>
        <w:spacing w:after="0" w:line="8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Audit Committee discussed with Ernst &amp; Young the overall scope and plans for their audit, including the estimated audit fees and non-audit fees. The Audit Committee has also discussed with our Senior Vice President, Internal Audit, the overall scope of and plans for our internal audits. The Audit Committee met with Ernst &amp; Young and with our internal auditors, in each case, with and without other members of management present, to discuss the results of their respective examinations, the evaluations of our internal controls and the overall quality and integrity of our financial reporting. Additionally, the Audit Committee has reviewed the performance, responsibilities, budget, and staffing of our internal audit department.</w:t>
      </w:r>
    </w:p>
    <w:p>
      <w:pPr>
        <w:spacing w:after="0" w:line="70"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the Company’s Annual Report on Form 10-K for the year ended December 31, 2022, for filing with the Securities and Exchange Commission.</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Members of the Audit</w:t>
      </w:r>
    </w:p>
    <w:p>
      <w:pPr>
        <w:ind w:left="5860"/>
        <w:spacing w:after="0"/>
        <w:rPr>
          <w:sz w:val="20"/>
          <w:szCs w:val="20"/>
          <w:color w:val="auto"/>
        </w:rPr>
      </w:pPr>
      <w:r>
        <w:rPr>
          <w:rFonts w:ascii="Arial" w:cs="Arial" w:eastAsia="Arial" w:hAnsi="Arial"/>
          <w:sz w:val="16"/>
          <w:szCs w:val="16"/>
          <w:color w:val="auto"/>
        </w:rPr>
        <w:t>Committee:</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C.E. Andrews, Chair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Raymond L. Gellein, Jr.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William W. McCarten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Stephen R. Quazzo</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Jonice G. Tucker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27</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PRE-APPROVAL OF INDEPENDENT AUDITOR FEES AND SERVICES POLICY</w:t>
      </w:r>
    </w:p>
    <w:p>
      <w:pPr>
        <w:spacing w:after="0" w:line="16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Audit Committee’s Pre-Approval of Independent Auditor Fees and Services Policy provides for pre-approval of all audit, audit-related, tax and other permissible non-audit services provided by our principal independent auditor on an annual basis and as needed. The Audit Committee has delegated authority to the Audit Committee Chair to pre-approve principal independent auditor services where we deem it necessary or advisable that such services commence prior to the next regularly scheduled meeting (provided that the Audit Committee Chair informs the Audit Committee of any such services and the estimated fees that were pre-approved at the next regularly scheduled meeting). During 2022, all such services were pre-approved by the Audit Committee.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 FEE DISCLOSURE</w:t>
      </w:r>
    </w:p>
    <w:p>
      <w:pPr>
        <w:spacing w:after="0" w:line="16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following table presents aggregate fees billed for professional services rendered by our independent registered public accounting firm, Ernst &amp; Young, for the audit of our annual consolidated financial statements and statutory audits for fiscal 2022 and fiscal 2021 and aggregate fees billed in fiscal 2022 and fiscal 2021 for audit-related services, tax services and all other permissible non-audit services rendered by our independent registered public accounting firm. The Audit Committee approved all of the fees presented in the table below. The Audit Committee is also responsible for overseeing the fee negotiations associated with the retention of Ernst &amp; Young for the audit of our financial statements and internal control over financial reporting.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004987"/>
            </w:tcBorders>
          </w:tcPr>
          <w:p>
            <w:pPr>
              <w:spacing w:after="0"/>
              <w:rPr>
                <w:sz w:val="17"/>
                <w:szCs w:val="17"/>
                <w:color w:val="auto"/>
              </w:rPr>
            </w:pPr>
          </w:p>
        </w:tc>
        <w:tc>
          <w:tcPr>
            <w:tcW w:w="3560" w:type="dxa"/>
            <w:vAlign w:val="bottom"/>
            <w:tcBorders>
              <w:bottom w:val="single" w:sz="8" w:color="004987"/>
            </w:tcBorders>
          </w:tcPr>
          <w:p>
            <w:pPr>
              <w:spacing w:after="0"/>
              <w:rPr>
                <w:sz w:val="17"/>
                <w:szCs w:val="17"/>
                <w:color w:val="auto"/>
              </w:rPr>
            </w:pPr>
          </w:p>
        </w:tc>
        <w:tc>
          <w:tcPr>
            <w:tcW w:w="1260" w:type="dxa"/>
            <w:vAlign w:val="bottom"/>
            <w:tcBorders>
              <w:bottom w:val="single" w:sz="8" w:color="004987"/>
            </w:tcBorders>
          </w:tcPr>
          <w:p>
            <w:pPr>
              <w:jc w:val="right"/>
              <w:ind w:right="681"/>
              <w:spacing w:after="0"/>
              <w:rPr>
                <w:sz w:val="20"/>
                <w:szCs w:val="20"/>
                <w:color w:val="auto"/>
              </w:rPr>
            </w:pPr>
            <w:r>
              <w:rPr>
                <w:rFonts w:ascii="Arial" w:cs="Arial" w:eastAsia="Arial" w:hAnsi="Arial"/>
                <w:sz w:val="14"/>
                <w:szCs w:val="14"/>
                <w:b w:val="1"/>
                <w:bCs w:val="1"/>
                <w:color w:val="004E7D"/>
              </w:rPr>
              <w:t>2022</w:t>
            </w:r>
          </w:p>
        </w:tc>
        <w:tc>
          <w:tcPr>
            <w:tcW w:w="560" w:type="dxa"/>
            <w:vAlign w:val="bottom"/>
            <w:tcBorders>
              <w:bottom w:val="single" w:sz="8" w:color="004987"/>
            </w:tcBorders>
          </w:tcPr>
          <w:p>
            <w:pPr>
              <w:spacing w:after="0"/>
              <w:rPr>
                <w:sz w:val="17"/>
                <w:szCs w:val="17"/>
                <w:color w:val="auto"/>
              </w:rPr>
            </w:pPr>
          </w:p>
        </w:tc>
        <w:tc>
          <w:tcPr>
            <w:tcW w:w="1160" w:type="dxa"/>
            <w:vAlign w:val="bottom"/>
            <w:tcBorders>
              <w:bottom w:val="single" w:sz="8" w:color="004987"/>
            </w:tcBorders>
          </w:tcPr>
          <w:p>
            <w:pPr>
              <w:jc w:val="right"/>
              <w:ind w:right="521"/>
              <w:spacing w:after="0"/>
              <w:rPr>
                <w:sz w:val="20"/>
                <w:szCs w:val="20"/>
                <w:color w:val="auto"/>
              </w:rPr>
            </w:pPr>
            <w:r>
              <w:rPr>
                <w:rFonts w:ascii="Arial" w:cs="Arial" w:eastAsia="Arial" w:hAnsi="Arial"/>
                <w:sz w:val="14"/>
                <w:szCs w:val="14"/>
                <w:b w:val="1"/>
                <w:bCs w:val="1"/>
                <w:color w:val="004E7D"/>
              </w:rPr>
              <w:t>2021</w:t>
            </w:r>
          </w:p>
        </w:tc>
      </w:tr>
      <w:tr>
        <w:trPr>
          <w:trHeight w:val="215"/>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3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8,187,227</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8,634,631</w:t>
            </w:r>
          </w:p>
        </w:tc>
      </w:tr>
      <w:tr>
        <w:trPr>
          <w:trHeight w:val="209"/>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3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404,303</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398,600</w:t>
            </w:r>
          </w:p>
        </w:tc>
      </w:tr>
      <w:tr>
        <w:trPr>
          <w:trHeight w:val="209"/>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3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241,006</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1,089,990</w:t>
            </w:r>
          </w:p>
        </w:tc>
      </w:tr>
      <w:tr>
        <w:trPr>
          <w:trHeight w:val="21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3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3,000</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1,320</w:t>
            </w:r>
          </w:p>
        </w:tc>
      </w:tr>
      <w:tr>
        <w:trPr>
          <w:trHeight w:val="210"/>
        </w:trPr>
        <w:tc>
          <w:tcPr>
            <w:tcW w:w="4560" w:type="dxa"/>
            <w:vAlign w:val="bottom"/>
            <w:tcBorders>
              <w:bottom w:val="single" w:sz="8" w:color="004987"/>
            </w:tcBorders>
          </w:tcPr>
          <w:p>
            <w:pPr>
              <w:ind w:left="240"/>
              <w:spacing w:after="0"/>
              <w:rPr>
                <w:sz w:val="20"/>
                <w:szCs w:val="20"/>
                <w:color w:val="auto"/>
              </w:rPr>
            </w:pPr>
            <w:r>
              <w:rPr>
                <w:rFonts w:ascii="Arial" w:cs="Arial" w:eastAsia="Arial" w:hAnsi="Arial"/>
                <w:sz w:val="16"/>
                <w:szCs w:val="16"/>
                <w:b w:val="1"/>
                <w:bCs w:val="1"/>
                <w:color w:val="auto"/>
              </w:rPr>
              <w:t>Total</w:t>
            </w:r>
          </w:p>
        </w:tc>
        <w:tc>
          <w:tcPr>
            <w:tcW w:w="3560" w:type="dxa"/>
            <w:vAlign w:val="bottom"/>
            <w:tcBorders>
              <w:bottom w:val="single" w:sz="8" w:color="004987"/>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004987"/>
            </w:tcBorders>
          </w:tcPr>
          <w:p>
            <w:pPr>
              <w:jc w:val="right"/>
              <w:ind w:right="261"/>
              <w:spacing w:after="0"/>
              <w:rPr>
                <w:sz w:val="20"/>
                <w:szCs w:val="20"/>
                <w:color w:val="auto"/>
              </w:rPr>
            </w:pPr>
            <w:r>
              <w:rPr>
                <w:rFonts w:ascii="Arial" w:cs="Arial" w:eastAsia="Arial" w:hAnsi="Arial"/>
                <w:sz w:val="16"/>
                <w:szCs w:val="16"/>
                <w:b w:val="1"/>
                <w:bCs w:val="1"/>
                <w:color w:val="auto"/>
              </w:rPr>
              <w:t>8,835,536</w:t>
            </w:r>
          </w:p>
        </w:tc>
        <w:tc>
          <w:tcPr>
            <w:tcW w:w="560" w:type="dxa"/>
            <w:vAlign w:val="bottom"/>
            <w:tcBorders>
              <w:bottom w:val="single" w:sz="8" w:color="004987"/>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987"/>
            </w:tcBorders>
          </w:tcPr>
          <w:p>
            <w:pPr>
              <w:jc w:val="right"/>
              <w:ind w:right="101"/>
              <w:spacing w:after="0"/>
              <w:rPr>
                <w:sz w:val="20"/>
                <w:szCs w:val="20"/>
                <w:color w:val="auto"/>
              </w:rPr>
            </w:pPr>
            <w:r>
              <w:rPr>
                <w:rFonts w:ascii="Arial" w:cs="Arial" w:eastAsia="Arial" w:hAnsi="Arial"/>
                <w:sz w:val="16"/>
                <w:szCs w:val="16"/>
                <w:b w:val="1"/>
                <w:bCs w:val="1"/>
                <w:color w:val="auto"/>
              </w:rPr>
              <w:t>10,124,541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preceding table, the professional fees are classified as follows:</w:t>
      </w:r>
    </w:p>
    <w:p>
      <w:pPr>
        <w:spacing w:after="0" w:line="113" w:lineRule="exact"/>
        <w:rPr>
          <w:sz w:val="20"/>
          <w:szCs w:val="20"/>
          <w:color w:val="auto"/>
        </w:rPr>
      </w:pPr>
    </w:p>
    <w:p>
      <w:pPr>
        <w:ind w:left="340" w:right="260" w:hanging="118"/>
        <w:spacing w:after="0" w:line="261" w:lineRule="auto"/>
        <w:tabs>
          <w:tab w:leader="none" w:pos="458" w:val="left"/>
        </w:tabs>
        <w:numPr>
          <w:ilvl w:val="0"/>
          <w:numId w:val="48"/>
        </w:numPr>
        <w:rPr>
          <w:rFonts w:ascii="Arial" w:cs="Arial" w:eastAsia="Arial" w:hAnsi="Arial"/>
          <w:sz w:val="16"/>
          <w:szCs w:val="16"/>
          <w:color w:val="004E7D"/>
        </w:rPr>
      </w:pPr>
      <w:r>
        <w:rPr>
          <w:rFonts w:ascii="Arial" w:cs="Arial" w:eastAsia="Arial" w:hAnsi="Arial"/>
          <w:sz w:val="16"/>
          <w:szCs w:val="16"/>
          <w:color w:val="auto"/>
        </w:rPr>
        <w:t>Audit fees – These are fees for professional services performed for the audit of our annual financial statements and the required review of quarterly financial statements and other procedures performed by the independent auditors in order for them to be able to form an opinion on our consolidated financial statements. These fees also cover services that are normally provided by independent auditors in connection with statutory and regulatory filings or engagements and other services that generally only the independent auditor reasonably can provide, such as services associated with filing registration statements, periodic reports and other filings with the SEC, and audits of acquired properties or businesses or statutory audits for our subsidiaries or its affiliates.</w:t>
      </w:r>
    </w:p>
    <w:p>
      <w:pPr>
        <w:spacing w:after="0" w:line="68" w:lineRule="exact"/>
        <w:rPr>
          <w:rFonts w:ascii="Arial" w:cs="Arial" w:eastAsia="Arial" w:hAnsi="Arial"/>
          <w:sz w:val="16"/>
          <w:szCs w:val="16"/>
          <w:color w:val="004E7D"/>
        </w:rPr>
      </w:pPr>
    </w:p>
    <w:p>
      <w:pPr>
        <w:ind w:left="460" w:hanging="231"/>
        <w:spacing w:after="0"/>
        <w:tabs>
          <w:tab w:leader="none" w:pos="460" w:val="left"/>
        </w:tabs>
        <w:numPr>
          <w:ilvl w:val="0"/>
          <w:numId w:val="48"/>
        </w:numPr>
        <w:rPr>
          <w:rFonts w:ascii="Arial" w:cs="Arial" w:eastAsia="Arial" w:hAnsi="Arial"/>
          <w:sz w:val="16"/>
          <w:szCs w:val="16"/>
          <w:color w:val="004E7D"/>
        </w:rPr>
      </w:pPr>
      <w:r>
        <w:rPr>
          <w:rFonts w:ascii="Arial" w:cs="Arial" w:eastAsia="Arial" w:hAnsi="Arial"/>
          <w:sz w:val="16"/>
          <w:szCs w:val="16"/>
          <w:color w:val="auto"/>
        </w:rPr>
        <w:t>Audit-related fees – These are fees for assurance and related services for agreed-upon procedures and attestation reports.</w:t>
      </w:r>
    </w:p>
    <w:p>
      <w:pPr>
        <w:spacing w:after="0" w:line="126" w:lineRule="exact"/>
        <w:rPr>
          <w:rFonts w:ascii="Arial" w:cs="Arial" w:eastAsia="Arial" w:hAnsi="Arial"/>
          <w:sz w:val="16"/>
          <w:szCs w:val="16"/>
          <w:color w:val="004E7D"/>
        </w:rPr>
      </w:pPr>
    </w:p>
    <w:p>
      <w:pPr>
        <w:jc w:val="both"/>
        <w:ind w:left="340" w:right="40" w:hanging="118"/>
        <w:spacing w:after="0" w:line="265" w:lineRule="auto"/>
        <w:tabs>
          <w:tab w:leader="none" w:pos="464" w:val="left"/>
        </w:tabs>
        <w:numPr>
          <w:ilvl w:val="0"/>
          <w:numId w:val="48"/>
        </w:numPr>
        <w:rPr>
          <w:rFonts w:ascii="Arial" w:cs="Arial" w:eastAsia="Arial" w:hAnsi="Arial"/>
          <w:sz w:val="16"/>
          <w:szCs w:val="16"/>
          <w:color w:val="004E7D"/>
        </w:rPr>
      </w:pPr>
      <w:r>
        <w:rPr>
          <w:rFonts w:ascii="Arial" w:cs="Arial" w:eastAsia="Arial" w:hAnsi="Arial"/>
          <w:sz w:val="16"/>
          <w:szCs w:val="16"/>
          <w:color w:val="auto"/>
        </w:rPr>
        <w:t>Tax fees – These are fees for all professional services performed by professional staff in Ernst &amp; Young’s tax division, except those services related to the audit of our consolidated financial statements. These include fees for tax compliance, tax planning, and tax advice, including federal, state, and local issues. Services may also include assistance with tax audits and appeals before the IRS and similar state and local agencies, as well as federal, state, and local tax issues related to due diligence.</w:t>
      </w:r>
    </w:p>
    <w:p>
      <w:pPr>
        <w:spacing w:after="0" w:line="64" w:lineRule="exact"/>
        <w:rPr>
          <w:rFonts w:ascii="Arial" w:cs="Arial" w:eastAsia="Arial" w:hAnsi="Arial"/>
          <w:sz w:val="16"/>
          <w:szCs w:val="16"/>
          <w:color w:val="004E7D"/>
        </w:rPr>
      </w:pPr>
    </w:p>
    <w:p>
      <w:pPr>
        <w:ind w:left="340" w:right="200" w:hanging="118"/>
        <w:spacing w:after="0" w:line="304" w:lineRule="auto"/>
        <w:tabs>
          <w:tab w:leader="none" w:pos="458" w:val="left"/>
        </w:tabs>
        <w:numPr>
          <w:ilvl w:val="0"/>
          <w:numId w:val="48"/>
        </w:numPr>
        <w:rPr>
          <w:rFonts w:ascii="Arial" w:cs="Arial" w:eastAsia="Arial" w:hAnsi="Arial"/>
          <w:sz w:val="16"/>
          <w:szCs w:val="16"/>
          <w:color w:val="004E7D"/>
        </w:rPr>
      </w:pPr>
      <w:r>
        <w:rPr>
          <w:rFonts w:ascii="Arial" w:cs="Arial" w:eastAsia="Arial" w:hAnsi="Arial"/>
          <w:sz w:val="16"/>
          <w:szCs w:val="16"/>
          <w:color w:val="auto"/>
        </w:rPr>
        <w:t>All other fees – These are fees for other permissible work performed that do not meet the above-described categories, including a subscription to an accounting research website.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28</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33" w:name="page34"/>
    <w:bookmarkEnd w:id="33"/>
    <w:p>
      <w:pPr>
        <w:spacing w:after="0" w:line="34" w:lineRule="exact"/>
        <w:rPr>
          <w:sz w:val="20"/>
          <w:szCs w:val="20"/>
          <w:color w:val="auto"/>
        </w:rPr>
      </w:pPr>
    </w:p>
    <w:p>
      <w:pPr>
        <w:ind w:left="280" w:right="3640"/>
        <w:spacing w:after="0" w:line="254" w:lineRule="auto"/>
        <w:rPr>
          <w:sz w:val="20"/>
          <w:szCs w:val="20"/>
          <w:color w:val="auto"/>
        </w:rPr>
      </w:pPr>
      <w:r>
        <w:rPr>
          <w:rFonts w:ascii="Arial" w:cs="Arial" w:eastAsia="Arial" w:hAnsi="Arial"/>
          <w:sz w:val="53"/>
          <w:szCs w:val="53"/>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-782320</wp:posOffset>
            </wp:positionV>
            <wp:extent cx="68580" cy="7797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77978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COMPENSATION DISCUSSION AND ANALYSIS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Our NEOs for whom compensation information is presented in the Summary Compensation Table below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080885" cy="9944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80885" cy="994410"/>
                    </a:xfrm>
                    <a:prstGeom prst="rect">
                      <a:avLst/>
                    </a:prstGeom>
                    <a:noFill/>
                  </pic:spPr>
                </pic:pic>
              </a:graphicData>
            </a:graphic>
          </wp:anchor>
        </w:drawing>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497F"/>
        </w:rPr>
        <w:t xml:space="preserve">Stephen P. Weisz, </w:t>
      </w:r>
      <w:r>
        <w:rPr>
          <w:rFonts w:ascii="Arial" w:cs="Arial" w:eastAsia="Arial" w:hAnsi="Arial"/>
          <w:sz w:val="16"/>
          <w:szCs w:val="16"/>
          <w:color w:val="00497F"/>
        </w:rPr>
        <w:t>Chief Executive Officer*</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497F"/>
        </w:rPr>
        <w:t>John E. Geller, Jr.</w:t>
      </w:r>
      <w:r>
        <w:rPr>
          <w:rFonts w:ascii="Arial" w:cs="Arial" w:eastAsia="Arial" w:hAnsi="Arial"/>
          <w:sz w:val="16"/>
          <w:szCs w:val="16"/>
          <w:color w:val="00497F"/>
        </w:rPr>
        <w:t>, President*</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497F"/>
        </w:rPr>
        <w:t>Anthony E. Terry</w:t>
      </w:r>
      <w:r>
        <w:rPr>
          <w:rFonts w:ascii="Arial" w:cs="Arial" w:eastAsia="Arial" w:hAnsi="Arial"/>
          <w:sz w:val="16"/>
          <w:szCs w:val="16"/>
          <w:color w:val="00497F"/>
        </w:rPr>
        <w:t>, Executive Vice President and Chief Financial Officer</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497F"/>
        </w:rPr>
        <w:t xml:space="preserve">Brian E. Miller, </w:t>
      </w:r>
      <w:r>
        <w:rPr>
          <w:rFonts w:ascii="Arial" w:cs="Arial" w:eastAsia="Arial" w:hAnsi="Arial"/>
          <w:sz w:val="16"/>
          <w:szCs w:val="16"/>
          <w:color w:val="00497F"/>
        </w:rPr>
        <w:t>President, Vacation Ownership</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497F"/>
        </w:rPr>
        <w:t>Jeanette E. Marbert</w:t>
      </w:r>
      <w:r>
        <w:rPr>
          <w:rFonts w:ascii="Arial" w:cs="Arial" w:eastAsia="Arial" w:hAnsi="Arial"/>
          <w:sz w:val="16"/>
          <w:szCs w:val="16"/>
          <w:color w:val="00497F"/>
        </w:rPr>
        <w:t>, President, Exchange and Third-Party Management</w:t>
      </w:r>
    </w:p>
    <w:p>
      <w:pPr>
        <w:spacing w:after="0" w:line="140" w:lineRule="exact"/>
        <w:rPr>
          <w:sz w:val="20"/>
          <w:szCs w:val="20"/>
          <w:color w:val="auto"/>
        </w:rPr>
      </w:pPr>
    </w:p>
    <w:p>
      <w:pPr>
        <w:ind w:left="180" w:hanging="80"/>
        <w:spacing w:after="0" w:line="286" w:lineRule="auto"/>
        <w:rPr>
          <w:sz w:val="20"/>
          <w:szCs w:val="20"/>
          <w:color w:val="auto"/>
        </w:rPr>
      </w:pPr>
      <w:r>
        <w:rPr>
          <w:rFonts w:ascii="Arial" w:cs="Arial" w:eastAsia="Arial" w:hAnsi="Arial"/>
          <w:sz w:val="16"/>
          <w:szCs w:val="16"/>
          <w:color w:val="auto"/>
        </w:rPr>
        <w:t>*As previously announced, Mr. Weisz retired as the Company’s Chief Executive Officer at the end of the 2022 fiscal year and Mr. Geller assumed the role of President and Chief Executive Officer effective January 1, 2023.</w:t>
      </w:r>
    </w:p>
    <w:p>
      <w:pPr>
        <w:spacing w:after="0" w:line="4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Our executive compensation programs are designed to reward financial results and effective strategic leadership to build sustainable value for stockholders by correlating the timing and amount of actual pay with performance goals over various time horizons without excessive risk-taking.</w:t>
      </w:r>
    </w:p>
    <w:p>
      <w:pPr>
        <w:spacing w:after="0" w:line="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During 2022, our seasoned management team was led by Stephen P. Weisz, our CEO, who had over 50 years of combined experience at Marriott Vacations Worldwide and Marriott International. As of December 31, 2022, our 11 executive officers had an average of over 25 years of total combined experience at Marriott Vacations Worldwide, our subsidiaries and Marriott International. We believe our management team’s extensive public company and vacation ownership industry experience has enabled us to achieve solid performance and will enable us to continue to respond quickly and effectively to changing market conditions and consumer trends.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includes the following key elements:</w:t>
      </w:r>
    </w:p>
    <w:p>
      <w:pPr>
        <w:spacing w:after="0" w:line="59" w:lineRule="exact"/>
        <w:rPr>
          <w:sz w:val="20"/>
          <w:szCs w:val="20"/>
          <w:color w:val="auto"/>
        </w:rPr>
      </w:pPr>
    </w:p>
    <w:p>
      <w:pPr>
        <w:ind w:left="460" w:hanging="238"/>
        <w:spacing w:after="0"/>
        <w:tabs>
          <w:tab w:leader="none" w:pos="460" w:val="left"/>
        </w:tabs>
        <w:numPr>
          <w:ilvl w:val="0"/>
          <w:numId w:val="49"/>
        </w:numPr>
        <w:rPr>
          <w:rFonts w:ascii="Arial" w:cs="Arial" w:eastAsia="Arial" w:hAnsi="Arial"/>
          <w:sz w:val="16"/>
          <w:szCs w:val="16"/>
          <w:color w:val="004E7D"/>
        </w:rPr>
      </w:pPr>
      <w:r>
        <w:rPr>
          <w:rFonts w:ascii="Arial" w:cs="Arial" w:eastAsia="Arial" w:hAnsi="Arial"/>
          <w:sz w:val="16"/>
          <w:szCs w:val="16"/>
          <w:color w:val="auto"/>
        </w:rPr>
        <w:t>base salary, which provides our named executive officers a fixed level of compensation;</w:t>
      </w:r>
    </w:p>
    <w:p>
      <w:pPr>
        <w:spacing w:after="0" w:line="72" w:lineRule="exact"/>
        <w:rPr>
          <w:rFonts w:ascii="Arial" w:cs="Arial" w:eastAsia="Arial" w:hAnsi="Arial"/>
          <w:sz w:val="16"/>
          <w:szCs w:val="16"/>
          <w:color w:val="004E7D"/>
        </w:rPr>
      </w:pPr>
    </w:p>
    <w:p>
      <w:pPr>
        <w:ind w:left="460" w:hanging="238"/>
        <w:spacing w:after="0"/>
        <w:tabs>
          <w:tab w:leader="none" w:pos="460" w:val="left"/>
        </w:tabs>
        <w:numPr>
          <w:ilvl w:val="0"/>
          <w:numId w:val="49"/>
        </w:numPr>
        <w:rPr>
          <w:rFonts w:ascii="Arial" w:cs="Arial" w:eastAsia="Arial" w:hAnsi="Arial"/>
          <w:sz w:val="16"/>
          <w:szCs w:val="16"/>
          <w:color w:val="004E7D"/>
        </w:rPr>
      </w:pPr>
      <w:r>
        <w:rPr>
          <w:rFonts w:ascii="Arial" w:cs="Arial" w:eastAsia="Arial" w:hAnsi="Arial"/>
          <w:sz w:val="16"/>
          <w:szCs w:val="16"/>
          <w:color w:val="auto"/>
        </w:rPr>
        <w:t>annual bonus, which encourages the achievement of current year objectives; and</w:t>
      </w:r>
    </w:p>
    <w:p>
      <w:pPr>
        <w:spacing w:after="0" w:line="59" w:lineRule="exact"/>
        <w:rPr>
          <w:rFonts w:ascii="Arial" w:cs="Arial" w:eastAsia="Arial" w:hAnsi="Arial"/>
          <w:sz w:val="16"/>
          <w:szCs w:val="16"/>
          <w:color w:val="004E7D"/>
        </w:rPr>
      </w:pPr>
    </w:p>
    <w:p>
      <w:pPr>
        <w:ind w:left="340" w:right="440" w:hanging="118"/>
        <w:spacing w:after="0" w:line="304" w:lineRule="auto"/>
        <w:tabs>
          <w:tab w:leader="none" w:pos="467" w:val="left"/>
        </w:tabs>
        <w:numPr>
          <w:ilvl w:val="0"/>
          <w:numId w:val="49"/>
        </w:numPr>
        <w:rPr>
          <w:rFonts w:ascii="Arial" w:cs="Arial" w:eastAsia="Arial" w:hAnsi="Arial"/>
          <w:sz w:val="16"/>
          <w:szCs w:val="16"/>
          <w:color w:val="004E7D"/>
        </w:rPr>
      </w:pPr>
      <w:r>
        <w:rPr>
          <w:rFonts w:ascii="Arial" w:cs="Arial" w:eastAsia="Arial" w:hAnsi="Arial"/>
          <w:sz w:val="16"/>
          <w:szCs w:val="16"/>
          <w:color w:val="auto"/>
        </w:rPr>
        <w:t>stock based awards, which align the long-term interests of our named executive officers with the interests of our stockholders and encourage the achievement of longer-term objectives.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2022 Compensation Actions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CPC made the following key compensation decisions for 2022, which are discussed in greater detail in the following pages: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jc w:val="center"/>
              <w:ind w:left="139"/>
              <w:spacing w:after="0"/>
              <w:rPr>
                <w:sz w:val="20"/>
                <w:szCs w:val="20"/>
                <w:color w:val="auto"/>
              </w:rPr>
            </w:pPr>
            <w:r>
              <w:rPr>
                <w:rFonts w:ascii="Arial" w:cs="Arial" w:eastAsia="Arial" w:hAnsi="Arial"/>
                <w:sz w:val="16"/>
                <w:szCs w:val="16"/>
                <w:b w:val="1"/>
                <w:bCs w:val="1"/>
                <w:color w:val="004E7D"/>
              </w:rPr>
              <w:t>Compensation</w:t>
            </w:r>
          </w:p>
        </w:tc>
        <w:tc>
          <w:tcPr>
            <w:tcW w:w="9460" w:type="dxa"/>
            <w:vAlign w:val="bottom"/>
            <w:vMerge w:val="restart"/>
          </w:tcPr>
          <w:p>
            <w:pPr>
              <w:ind w:left="3860"/>
              <w:spacing w:after="0"/>
              <w:rPr>
                <w:sz w:val="20"/>
                <w:szCs w:val="20"/>
                <w:color w:val="auto"/>
              </w:rPr>
            </w:pPr>
            <w:r>
              <w:rPr>
                <w:rFonts w:ascii="Arial" w:cs="Arial" w:eastAsia="Arial" w:hAnsi="Arial"/>
                <w:sz w:val="16"/>
                <w:szCs w:val="16"/>
                <w:b w:val="1"/>
                <w:bCs w:val="1"/>
                <w:color w:val="004E7D"/>
              </w:rPr>
              <w:t>Compensation Decisions</w:t>
            </w:r>
          </w:p>
        </w:tc>
        <w:tc>
          <w:tcPr>
            <w:tcW w:w="0" w:type="dxa"/>
            <w:vAlign w:val="bottom"/>
          </w:tcPr>
          <w:p>
            <w:pPr>
              <w:spacing w:after="0"/>
              <w:rPr>
                <w:sz w:val="1"/>
                <w:szCs w:val="1"/>
                <w:color w:val="auto"/>
              </w:rPr>
            </w:pPr>
          </w:p>
        </w:tc>
      </w:tr>
      <w:tr>
        <w:trPr>
          <w:trHeight w:val="128"/>
        </w:trPr>
        <w:tc>
          <w:tcPr>
            <w:tcW w:w="178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004E7D"/>
                <w:w w:val="99"/>
              </w:rPr>
              <w:t>Element</w:t>
            </w: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80" w:type="dxa"/>
            <w:vAlign w:val="bottom"/>
            <w:tcBorders>
              <w:bottom w:val="single" w:sz="8" w:color="004987"/>
            </w:tcBorders>
            <w:vMerge w:val="continue"/>
          </w:tcPr>
          <w:p>
            <w:pPr>
              <w:spacing w:after="0"/>
              <w:rPr>
                <w:sz w:val="8"/>
                <w:szCs w:val="8"/>
                <w:color w:val="auto"/>
              </w:rPr>
            </w:pPr>
          </w:p>
        </w:tc>
        <w:tc>
          <w:tcPr>
            <w:tcW w:w="9460" w:type="dxa"/>
            <w:vAlign w:val="bottom"/>
            <w:tcBorders>
              <w:bottom w:val="single" w:sz="8" w:color="004987"/>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9460" w:type="dxa"/>
            <w:vAlign w:val="bottom"/>
          </w:tcPr>
          <w:p>
            <w:pPr>
              <w:ind w:left="220"/>
              <w:spacing w:after="0"/>
              <w:rPr>
                <w:sz w:val="20"/>
                <w:szCs w:val="20"/>
                <w:color w:val="auto"/>
              </w:rPr>
            </w:pPr>
            <w:r>
              <w:rPr>
                <w:rFonts w:ascii="Arial" w:cs="Arial" w:eastAsia="Arial" w:hAnsi="Arial"/>
                <w:sz w:val="16"/>
                <w:szCs w:val="16"/>
                <w:color w:val="auto"/>
              </w:rPr>
              <w:t>Each of our named executive officers received a base salary increase for fiscal 2022 of approximately 3% except for Mr. Terry. In</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460" w:type="dxa"/>
            <w:vAlign w:val="bottom"/>
          </w:tcPr>
          <w:p>
            <w:pPr>
              <w:ind w:left="220"/>
              <w:spacing w:after="0"/>
              <w:rPr>
                <w:sz w:val="20"/>
                <w:szCs w:val="20"/>
                <w:color w:val="auto"/>
              </w:rPr>
            </w:pPr>
            <w:r>
              <w:rPr>
                <w:rFonts w:ascii="Arial" w:cs="Arial" w:eastAsia="Arial" w:hAnsi="Arial"/>
                <w:sz w:val="16"/>
                <w:szCs w:val="16"/>
                <w:color w:val="auto"/>
              </w:rPr>
              <w:t>determining the amount of the adjustments, the CPC considered individual contributions to overall corporate results, company</w:t>
            </w:r>
          </w:p>
        </w:tc>
        <w:tc>
          <w:tcPr>
            <w:tcW w:w="0" w:type="dxa"/>
            <w:vAlign w:val="bottom"/>
          </w:tcPr>
          <w:p>
            <w:pPr>
              <w:spacing w:after="0"/>
              <w:rPr>
                <w:sz w:val="1"/>
                <w:szCs w:val="1"/>
                <w:color w:val="auto"/>
              </w:rPr>
            </w:pPr>
          </w:p>
        </w:tc>
      </w:tr>
      <w:tr>
        <w:trPr>
          <w:trHeight w:val="189"/>
        </w:trPr>
        <w:tc>
          <w:tcPr>
            <w:tcW w:w="178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Base Salary</w:t>
            </w:r>
          </w:p>
        </w:tc>
        <w:tc>
          <w:tcPr>
            <w:tcW w:w="9460" w:type="dxa"/>
            <w:vAlign w:val="bottom"/>
          </w:tcPr>
          <w:p>
            <w:pPr>
              <w:ind w:left="220"/>
              <w:spacing w:after="0"/>
              <w:rPr>
                <w:sz w:val="20"/>
                <w:szCs w:val="20"/>
                <w:color w:val="auto"/>
              </w:rPr>
            </w:pPr>
            <w:r>
              <w:rPr>
                <w:rFonts w:ascii="Arial" w:cs="Arial" w:eastAsia="Arial" w:hAnsi="Arial"/>
                <w:sz w:val="16"/>
                <w:szCs w:val="16"/>
                <w:color w:val="auto"/>
              </w:rPr>
              <w:t>budget, salary level relative to market and prior compensation actions. In connection with Mr. Terry’s promotion in October 2021,</w:t>
            </w:r>
          </w:p>
        </w:tc>
        <w:tc>
          <w:tcPr>
            <w:tcW w:w="0" w:type="dxa"/>
            <w:vAlign w:val="bottom"/>
          </w:tcPr>
          <w:p>
            <w:pPr>
              <w:spacing w:after="0"/>
              <w:rPr>
                <w:sz w:val="1"/>
                <w:szCs w:val="1"/>
                <w:color w:val="auto"/>
              </w:rPr>
            </w:pPr>
          </w:p>
        </w:tc>
      </w:tr>
      <w:tr>
        <w:trPr>
          <w:trHeight w:val="128"/>
        </w:trPr>
        <w:tc>
          <w:tcPr>
            <w:tcW w:w="1780" w:type="dxa"/>
            <w:vAlign w:val="bottom"/>
            <w:vMerge w:val="continue"/>
          </w:tcPr>
          <w:p>
            <w:pPr>
              <w:spacing w:after="0"/>
              <w:rPr>
                <w:sz w:val="11"/>
                <w:szCs w:val="11"/>
                <w:color w:val="auto"/>
              </w:rPr>
            </w:pPr>
          </w:p>
        </w:tc>
        <w:tc>
          <w:tcPr>
            <w:tcW w:w="9460" w:type="dxa"/>
            <w:vAlign w:val="bottom"/>
            <w:vMerge w:val="restart"/>
          </w:tcPr>
          <w:p>
            <w:pPr>
              <w:ind w:left="220"/>
              <w:spacing w:after="0"/>
              <w:rPr>
                <w:sz w:val="20"/>
                <w:szCs w:val="20"/>
                <w:color w:val="auto"/>
              </w:rPr>
            </w:pPr>
            <w:r>
              <w:rPr>
                <w:rFonts w:ascii="Arial" w:cs="Arial" w:eastAsia="Arial" w:hAnsi="Arial"/>
                <w:sz w:val="16"/>
                <w:szCs w:val="16"/>
                <w:color w:val="auto"/>
              </w:rPr>
              <w:t>he received a 38.26% base salary increase which reflected the Committee’s desire to bring Mr. Terry’s compensation more in</w:t>
            </w:r>
          </w:p>
        </w:tc>
        <w:tc>
          <w:tcPr>
            <w:tcW w:w="0" w:type="dxa"/>
            <w:vAlign w:val="bottom"/>
          </w:tcPr>
          <w:p>
            <w:pPr>
              <w:spacing w:after="0"/>
              <w:rPr>
                <w:sz w:val="1"/>
                <w:szCs w:val="1"/>
                <w:color w:val="auto"/>
              </w:rPr>
            </w:pPr>
          </w:p>
        </w:tc>
      </w:tr>
      <w:tr>
        <w:trPr>
          <w:trHeight w:val="74"/>
        </w:trPr>
        <w:tc>
          <w:tcPr>
            <w:tcW w:w="1780" w:type="dxa"/>
            <w:vAlign w:val="bottom"/>
          </w:tcPr>
          <w:p>
            <w:pPr>
              <w:spacing w:after="0"/>
              <w:rPr>
                <w:sz w:val="6"/>
                <w:szCs w:val="6"/>
                <w:color w:val="auto"/>
              </w:rPr>
            </w:pPr>
          </w:p>
        </w:tc>
        <w:tc>
          <w:tcPr>
            <w:tcW w:w="9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9460" w:type="dxa"/>
            <w:vAlign w:val="bottom"/>
          </w:tcPr>
          <w:p>
            <w:pPr>
              <w:ind w:left="220"/>
              <w:spacing w:after="0"/>
              <w:rPr>
                <w:sz w:val="20"/>
                <w:szCs w:val="20"/>
                <w:color w:val="auto"/>
              </w:rPr>
            </w:pPr>
            <w:r>
              <w:rPr>
                <w:rFonts w:ascii="Arial" w:cs="Arial" w:eastAsia="Arial" w:hAnsi="Arial"/>
                <w:sz w:val="16"/>
                <w:szCs w:val="16"/>
                <w:color w:val="auto"/>
              </w:rPr>
              <w:t>line with the market median. Because Mr. Terry’s compensation was significantly below market median, the CPC plans to bring</w:t>
            </w:r>
          </w:p>
        </w:tc>
        <w:tc>
          <w:tcPr>
            <w:tcW w:w="0" w:type="dxa"/>
            <w:vAlign w:val="bottom"/>
          </w:tcPr>
          <w:p>
            <w:pPr>
              <w:spacing w:after="0"/>
              <w:rPr>
                <w:sz w:val="1"/>
                <w:szCs w:val="1"/>
                <w:color w:val="auto"/>
              </w:rPr>
            </w:pPr>
          </w:p>
        </w:tc>
      </w:tr>
      <w:tr>
        <w:trPr>
          <w:trHeight w:val="224"/>
        </w:trPr>
        <w:tc>
          <w:tcPr>
            <w:tcW w:w="178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his compensation more in line with market median for his position over time.</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9460" w:type="dxa"/>
            <w:vAlign w:val="bottom"/>
          </w:tcPr>
          <w:p>
            <w:pPr>
              <w:ind w:left="220"/>
              <w:spacing w:after="0"/>
              <w:rPr>
                <w:sz w:val="20"/>
                <w:szCs w:val="20"/>
                <w:color w:val="auto"/>
              </w:rPr>
            </w:pPr>
            <w:r>
              <w:rPr>
                <w:rFonts w:ascii="Arial" w:cs="Arial" w:eastAsia="Arial" w:hAnsi="Arial"/>
                <w:sz w:val="16"/>
                <w:szCs w:val="16"/>
                <w:color w:val="auto"/>
              </w:rPr>
              <w:t>For 2022, our financial objectives, which account for 90% of the amounts payable under our management bonus plan (the</w:t>
            </w:r>
          </w:p>
        </w:tc>
        <w:tc>
          <w:tcPr>
            <w:tcW w:w="0" w:type="dxa"/>
            <w:vAlign w:val="bottom"/>
          </w:tcPr>
          <w:p>
            <w:pPr>
              <w:spacing w:after="0"/>
              <w:rPr>
                <w:sz w:val="1"/>
                <w:szCs w:val="1"/>
                <w:color w:val="auto"/>
              </w:rPr>
            </w:pPr>
          </w:p>
        </w:tc>
      </w:tr>
      <w:tr>
        <w:trPr>
          <w:trHeight w:val="203"/>
        </w:trPr>
        <w:tc>
          <w:tcPr>
            <w:tcW w:w="1780" w:type="dxa"/>
            <w:vAlign w:val="bottom"/>
          </w:tcPr>
          <w:p>
            <w:pPr>
              <w:jc w:val="center"/>
              <w:ind w:left="119"/>
              <w:spacing w:after="0"/>
              <w:rPr>
                <w:sz w:val="20"/>
                <w:szCs w:val="20"/>
                <w:color w:val="auto"/>
              </w:rPr>
            </w:pPr>
            <w:r>
              <w:rPr>
                <w:rFonts w:ascii="Arial" w:cs="Arial" w:eastAsia="Arial" w:hAnsi="Arial"/>
                <w:sz w:val="16"/>
                <w:szCs w:val="16"/>
                <w:b w:val="1"/>
                <w:bCs w:val="1"/>
                <w:color w:val="auto"/>
              </w:rPr>
              <w:t>Annual Bonus</w:t>
            </w:r>
          </w:p>
        </w:tc>
        <w:tc>
          <w:tcPr>
            <w:tcW w:w="9460" w:type="dxa"/>
            <w:vAlign w:val="bottom"/>
          </w:tcPr>
          <w:p>
            <w:pPr>
              <w:ind w:left="220"/>
              <w:spacing w:after="0"/>
              <w:rPr>
                <w:sz w:val="20"/>
                <w:szCs w:val="20"/>
                <w:color w:val="auto"/>
              </w:rPr>
            </w:pPr>
            <w:r>
              <w:rPr>
                <w:rFonts w:ascii="Arial" w:cs="Arial" w:eastAsia="Arial" w:hAnsi="Arial"/>
                <w:sz w:val="16"/>
                <w:szCs w:val="16"/>
                <w:color w:val="auto"/>
              </w:rPr>
              <w:t>“Bonus Plan”), consisted of Adjusted EBITDA and Total Revenue (which are defined below). The remaining 10% of amounts</w:t>
            </w:r>
          </w:p>
        </w:tc>
        <w:tc>
          <w:tcPr>
            <w:tcW w:w="0" w:type="dxa"/>
            <w:vAlign w:val="bottom"/>
          </w:tcPr>
          <w:p>
            <w:pPr>
              <w:spacing w:after="0"/>
              <w:rPr>
                <w:sz w:val="1"/>
                <w:szCs w:val="1"/>
                <w:color w:val="auto"/>
              </w:rPr>
            </w:pPr>
          </w:p>
        </w:tc>
      </w:tr>
      <w:tr>
        <w:trPr>
          <w:trHeight w:val="224"/>
        </w:trPr>
        <w:tc>
          <w:tcPr>
            <w:tcW w:w="178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payable under the Bonus Plan was based on associate engagement.</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9460" w:type="dxa"/>
            <w:vAlign w:val="bottom"/>
          </w:tcPr>
          <w:p>
            <w:pPr>
              <w:ind w:left="220"/>
              <w:spacing w:after="0"/>
              <w:rPr>
                <w:sz w:val="20"/>
                <w:szCs w:val="20"/>
                <w:color w:val="auto"/>
              </w:rPr>
            </w:pPr>
            <w:r>
              <w:rPr>
                <w:rFonts w:ascii="Arial" w:cs="Arial" w:eastAsia="Arial" w:hAnsi="Arial"/>
                <w:sz w:val="16"/>
                <w:szCs w:val="16"/>
                <w:color w:val="auto"/>
              </w:rPr>
              <w:t>Our equity awards for 2022 were a combination of performance based stock units (“Performance Units”), stock appreciation</w:t>
            </w:r>
          </w:p>
        </w:tc>
        <w:tc>
          <w:tcPr>
            <w:tcW w:w="0" w:type="dxa"/>
            <w:vAlign w:val="bottom"/>
          </w:tcPr>
          <w:p>
            <w:pPr>
              <w:spacing w:after="0"/>
              <w:rPr>
                <w:sz w:val="1"/>
                <w:szCs w:val="1"/>
                <w:color w:val="auto"/>
              </w:rPr>
            </w:pPr>
          </w:p>
        </w:tc>
      </w:tr>
      <w:tr>
        <w:trPr>
          <w:trHeight w:val="203"/>
        </w:trPr>
        <w:tc>
          <w:tcPr>
            <w:tcW w:w="1780" w:type="dxa"/>
            <w:vAlign w:val="bottom"/>
          </w:tcPr>
          <w:p>
            <w:pPr>
              <w:jc w:val="center"/>
              <w:ind w:left="119"/>
              <w:spacing w:after="0"/>
              <w:rPr>
                <w:sz w:val="20"/>
                <w:szCs w:val="20"/>
                <w:color w:val="auto"/>
              </w:rPr>
            </w:pPr>
            <w:r>
              <w:rPr>
                <w:rFonts w:ascii="Arial" w:cs="Arial" w:eastAsia="Arial" w:hAnsi="Arial"/>
                <w:sz w:val="16"/>
                <w:szCs w:val="16"/>
                <w:b w:val="1"/>
                <w:bCs w:val="1"/>
                <w:color w:val="auto"/>
              </w:rPr>
              <w:t>Equity</w:t>
            </w:r>
          </w:p>
        </w:tc>
        <w:tc>
          <w:tcPr>
            <w:tcW w:w="9460" w:type="dxa"/>
            <w:vAlign w:val="bottom"/>
          </w:tcPr>
          <w:p>
            <w:pPr>
              <w:ind w:left="220"/>
              <w:spacing w:after="0"/>
              <w:rPr>
                <w:sz w:val="20"/>
                <w:szCs w:val="20"/>
                <w:color w:val="auto"/>
              </w:rPr>
            </w:pPr>
            <w:r>
              <w:rPr>
                <w:rFonts w:ascii="Arial" w:cs="Arial" w:eastAsia="Arial" w:hAnsi="Arial"/>
                <w:sz w:val="16"/>
                <w:szCs w:val="16"/>
                <w:color w:val="auto"/>
              </w:rPr>
              <w:t>rights (“SARs”) and restricted stock units (“RSUs”), with 50% consisting of Performance Units, 30% consisting of SARs and 20%</w:t>
            </w:r>
          </w:p>
        </w:tc>
        <w:tc>
          <w:tcPr>
            <w:tcW w:w="0" w:type="dxa"/>
            <w:vAlign w:val="bottom"/>
          </w:tcPr>
          <w:p>
            <w:pPr>
              <w:spacing w:after="0"/>
              <w:rPr>
                <w:sz w:val="1"/>
                <w:szCs w:val="1"/>
                <w:color w:val="auto"/>
              </w:rPr>
            </w:pPr>
          </w:p>
        </w:tc>
      </w:tr>
      <w:tr>
        <w:trPr>
          <w:trHeight w:val="189"/>
        </w:trPr>
        <w:tc>
          <w:tcPr>
            <w:tcW w:w="1780" w:type="dxa"/>
            <w:vAlign w:val="bottom"/>
          </w:tcPr>
          <w:p>
            <w:pPr>
              <w:jc w:val="center"/>
              <w:ind w:left="139"/>
              <w:spacing w:after="0"/>
              <w:rPr>
                <w:sz w:val="20"/>
                <w:szCs w:val="20"/>
                <w:color w:val="auto"/>
              </w:rPr>
            </w:pPr>
            <w:r>
              <w:rPr>
                <w:rFonts w:ascii="Arial" w:cs="Arial" w:eastAsia="Arial" w:hAnsi="Arial"/>
                <w:sz w:val="16"/>
                <w:szCs w:val="16"/>
                <w:b w:val="1"/>
                <w:bCs w:val="1"/>
                <w:color w:val="auto"/>
              </w:rPr>
              <w:t>Compensation</w:t>
            </w:r>
          </w:p>
        </w:tc>
        <w:tc>
          <w:tcPr>
            <w:tcW w:w="9460" w:type="dxa"/>
            <w:vAlign w:val="bottom"/>
          </w:tcPr>
          <w:p>
            <w:pPr>
              <w:ind w:left="220"/>
              <w:spacing w:after="0"/>
              <w:rPr>
                <w:sz w:val="20"/>
                <w:szCs w:val="20"/>
                <w:color w:val="auto"/>
              </w:rPr>
            </w:pPr>
            <w:r>
              <w:rPr>
                <w:rFonts w:ascii="Arial" w:cs="Arial" w:eastAsia="Arial" w:hAnsi="Arial"/>
                <w:sz w:val="16"/>
                <w:szCs w:val="16"/>
                <w:color w:val="auto"/>
              </w:rPr>
              <w:t>consisting of RSUs, based on grant date value. The amount of each named executive officer’s award was determined by</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6"/>
                <w:szCs w:val="16"/>
                <w:color w:val="auto"/>
              </w:rPr>
              <w:t>considering market data and internal factors.</w:t>
            </w:r>
          </w:p>
        </w:tc>
        <w:tc>
          <w:tcPr>
            <w:tcW w:w="0" w:type="dxa"/>
            <w:vAlign w:val="bottom"/>
          </w:tcPr>
          <w:p>
            <w:pPr>
              <w:spacing w:after="0"/>
              <w:rPr>
                <w:sz w:val="1"/>
                <w:szCs w:val="1"/>
                <w:color w:val="auto"/>
              </w:rPr>
            </w:pPr>
          </w:p>
        </w:tc>
      </w:tr>
      <w:tr>
        <w:trPr>
          <w:trHeight w:val="29"/>
        </w:trPr>
        <w:tc>
          <w:tcPr>
            <w:tcW w:w="1780" w:type="dxa"/>
            <w:vAlign w:val="bottom"/>
            <w:tcBorders>
              <w:bottom w:val="single" w:sz="8" w:color="004987"/>
            </w:tcBorders>
          </w:tcPr>
          <w:p>
            <w:pPr>
              <w:spacing w:after="0"/>
              <w:rPr>
                <w:sz w:val="2"/>
                <w:szCs w:val="2"/>
                <w:color w:val="auto"/>
              </w:rPr>
            </w:pPr>
          </w:p>
        </w:tc>
        <w:tc>
          <w:tcPr>
            <w:tcW w:w="9460" w:type="dxa"/>
            <w:vAlign w:val="bottom"/>
            <w:tcBorders>
              <w:bottom w:val="single" w:sz="8" w:color="00498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2"/>
          <w:szCs w:val="22"/>
          <w:b w:val="1"/>
          <w:bCs w:val="1"/>
          <w:color w:val="004E7D"/>
        </w:rPr>
        <w:t>PHILOSOPHY</w:t>
      </w:r>
    </w:p>
    <w:p>
      <w:pPr>
        <w:spacing w:after="0" w:line="9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CPC has approved, and periodically reviews, compensation principles that form the basis of our compensation philosophy and reflect our belief that strong and consistent leadership is the key to long-term success in our industry. Accordingly, our program is designed around the following three principles:</w:t>
      </w:r>
    </w:p>
    <w:p>
      <w:pPr>
        <w:spacing w:after="0" w:line="48" w:lineRule="exact"/>
        <w:rPr>
          <w:sz w:val="20"/>
          <w:szCs w:val="20"/>
          <w:color w:val="auto"/>
        </w:rPr>
      </w:pPr>
    </w:p>
    <w:p>
      <w:pPr>
        <w:ind w:left="340" w:right="440" w:hanging="118"/>
        <w:spacing w:after="0" w:line="304" w:lineRule="auto"/>
        <w:tabs>
          <w:tab w:leader="none" w:pos="467" w:val="left"/>
        </w:tabs>
        <w:numPr>
          <w:ilvl w:val="0"/>
          <w:numId w:val="50"/>
        </w:numPr>
        <w:rPr>
          <w:rFonts w:ascii="Arial" w:cs="Arial" w:eastAsia="Arial" w:hAnsi="Arial"/>
          <w:sz w:val="16"/>
          <w:szCs w:val="16"/>
          <w:color w:val="004E7D"/>
        </w:rPr>
      </w:pPr>
      <w:r>
        <w:rPr>
          <w:rFonts w:ascii="Arial" w:cs="Arial" w:eastAsia="Arial" w:hAnsi="Arial"/>
          <w:sz w:val="16"/>
          <w:szCs w:val="16"/>
          <w:b w:val="1"/>
          <w:bCs w:val="1"/>
          <w:color w:val="auto"/>
        </w:rPr>
        <w:t xml:space="preserve">Drive Stockholder Value: </w:t>
      </w:r>
      <w:r>
        <w:rPr>
          <w:rFonts w:ascii="Arial" w:cs="Arial" w:eastAsia="Arial" w:hAnsi="Arial"/>
          <w:sz w:val="16"/>
          <w:szCs w:val="16"/>
          <w:color w:val="auto"/>
        </w:rPr>
        <w:t>Executive officers should be paid in a manner that is primarily focused on driving stockholder value. Therefore,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is and has been a significant component of total pay opportunity for the named executive officers.</w:t>
      </w:r>
    </w:p>
    <w:p>
      <w:pPr>
        <w:spacing w:after="0" w:line="33" w:lineRule="exact"/>
        <w:rPr>
          <w:rFonts w:ascii="Arial" w:cs="Arial" w:eastAsia="Arial" w:hAnsi="Arial"/>
          <w:sz w:val="16"/>
          <w:szCs w:val="16"/>
          <w:color w:val="004E7D"/>
        </w:rPr>
      </w:pPr>
    </w:p>
    <w:p>
      <w:pPr>
        <w:ind w:left="340" w:right="160" w:hanging="118"/>
        <w:spacing w:after="0" w:line="275" w:lineRule="auto"/>
        <w:tabs>
          <w:tab w:leader="none" w:pos="467" w:val="left"/>
        </w:tabs>
        <w:numPr>
          <w:ilvl w:val="0"/>
          <w:numId w:val="50"/>
        </w:numPr>
        <w:rPr>
          <w:rFonts w:ascii="Arial" w:cs="Arial" w:eastAsia="Arial" w:hAnsi="Arial"/>
          <w:sz w:val="16"/>
          <w:szCs w:val="16"/>
          <w:color w:val="004E7D"/>
        </w:rPr>
      </w:pPr>
      <w:r>
        <w:rPr>
          <w:rFonts w:ascii="Arial" w:cs="Arial" w:eastAsia="Arial" w:hAnsi="Arial"/>
          <w:sz w:val="16"/>
          <w:szCs w:val="16"/>
          <w:b w:val="1"/>
          <w:bCs w:val="1"/>
          <w:color w:val="auto"/>
        </w:rPr>
        <w:t xml:space="preserve">Motivate and Balance Short-term and Long-term Performance: </w:t>
      </w:r>
      <w:r>
        <w:rPr>
          <w:rFonts w:ascii="Arial" w:cs="Arial" w:eastAsia="Arial" w:hAnsi="Arial"/>
          <w:sz w:val="16"/>
          <w:szCs w:val="16"/>
          <w:color w:val="auto"/>
        </w:rPr>
        <w:t>Compensation should be designed to motivate executive officers to perform their</w:t>
      </w:r>
      <w:r>
        <w:rPr>
          <w:rFonts w:ascii="Arial" w:cs="Arial" w:eastAsia="Arial" w:hAnsi="Arial"/>
          <w:sz w:val="16"/>
          <w:szCs w:val="16"/>
          <w:b w:val="1"/>
          <w:bCs w:val="1"/>
          <w:color w:val="auto"/>
        </w:rPr>
        <w:t xml:space="preserve"> </w:t>
      </w:r>
      <w:r>
        <w:rPr>
          <w:rFonts w:ascii="Arial" w:cs="Arial" w:eastAsia="Arial" w:hAnsi="Arial"/>
          <w:sz w:val="16"/>
          <w:szCs w:val="16"/>
          <w:color w:val="auto"/>
        </w:rPr>
        <w:t>duties in ways that would help achieve current year as well as longer-term objectives. This has been achieved by offering a mix of short-term cash-based and long-term equity-based incentives.</w:t>
      </w:r>
    </w:p>
    <w:p>
      <w:pPr>
        <w:spacing w:after="0" w:line="56" w:lineRule="exact"/>
        <w:rPr>
          <w:rFonts w:ascii="Arial" w:cs="Arial" w:eastAsia="Arial" w:hAnsi="Arial"/>
          <w:sz w:val="16"/>
          <w:szCs w:val="16"/>
          <w:color w:val="004E7D"/>
        </w:rPr>
      </w:pPr>
    </w:p>
    <w:p>
      <w:pPr>
        <w:ind w:left="340" w:right="160" w:hanging="118"/>
        <w:spacing w:after="0" w:line="271" w:lineRule="auto"/>
        <w:tabs>
          <w:tab w:leader="none" w:pos="467" w:val="left"/>
        </w:tabs>
        <w:numPr>
          <w:ilvl w:val="0"/>
          <w:numId w:val="50"/>
        </w:numPr>
        <w:rPr>
          <w:rFonts w:ascii="Arial" w:cs="Arial" w:eastAsia="Arial" w:hAnsi="Arial"/>
          <w:sz w:val="16"/>
          <w:szCs w:val="16"/>
          <w:color w:val="004E7D"/>
        </w:rPr>
      </w:pPr>
      <w:r>
        <w:rPr>
          <w:rFonts w:ascii="Arial" w:cs="Arial" w:eastAsia="Arial" w:hAnsi="Arial"/>
          <w:sz w:val="16"/>
          <w:szCs w:val="16"/>
          <w:b w:val="1"/>
          <w:bCs w:val="1"/>
          <w:color w:val="auto"/>
        </w:rPr>
        <w:t xml:space="preserve">Retain Talent: </w:t>
      </w:r>
      <w:r>
        <w:rPr>
          <w:rFonts w:ascii="Arial" w:cs="Arial" w:eastAsia="Arial" w:hAnsi="Arial"/>
          <w:sz w:val="16"/>
          <w:szCs w:val="16"/>
          <w:color w:val="auto"/>
        </w:rPr>
        <w:t>The compensation program must be competitive in order to attract key talent from within and outside of our industry and retain key</w:t>
      </w:r>
      <w:r>
        <w:rPr>
          <w:rFonts w:ascii="Arial" w:cs="Arial" w:eastAsia="Arial" w:hAnsi="Arial"/>
          <w:sz w:val="16"/>
          <w:szCs w:val="16"/>
          <w:b w:val="1"/>
          <w:bCs w:val="1"/>
          <w:color w:val="auto"/>
        </w:rPr>
        <w:t xml:space="preserve"> </w:t>
      </w:r>
      <w:r>
        <w:rPr>
          <w:rFonts w:ascii="Arial" w:cs="Arial" w:eastAsia="Arial" w:hAnsi="Arial"/>
          <w:sz w:val="16"/>
          <w:szCs w:val="16"/>
          <w:color w:val="auto"/>
        </w:rPr>
        <w:t>talent at costs consistent with market practice. We work to achieve this, in part, through our review of the market data and internal pay equity considerations described below in making compensation decisions. The CPC seeks to establish compensation generally consistent with the median in total direct compensation, while also considering performance and scope of job.</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COMPENSATION PROGRAM PRINCIPLES AND GOVERNANCE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for Performance is Key Compensation Program Principle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 large portion of the total pay opportunity for our named executive officers is performance based or tied to stock performance. This means that it is contingent upon achieving specific results that are essential to the Company’s short- and long-term success and growth in stockholder value. As described in more detail in the following pages, the performance-based components of the 2022 compensation program include annual and long-term incentives that are comprised of Performance Units, SARs and RSUs, which represents a return to our historical equity mix after the temporary 2021 mix of 50% SARs and 50% RSUs. The CPC has not established a specific formula for the allocation of performance-based compensation components and instead retains the discretion to modify the allocation from year to year. The chart below reflects the percentage of each named executive officer’s total target compensation that was performance-based in 2022:</w:t>
      </w:r>
    </w:p>
    <w:p>
      <w:pPr>
        <w:spacing w:after="0" w:line="163" w:lineRule="exact"/>
        <w:rPr>
          <w:sz w:val="20"/>
          <w:szCs w:val="20"/>
          <w:color w:val="auto"/>
        </w:rPr>
      </w:pPr>
    </w:p>
    <w:p>
      <w:pPr>
        <w:ind w:left="1680"/>
        <w:spacing w:after="0"/>
        <w:tabs>
          <w:tab w:leader="none" w:pos="6580" w:val="left"/>
        </w:tabs>
        <w:rPr>
          <w:sz w:val="20"/>
          <w:szCs w:val="20"/>
          <w:color w:val="auto"/>
        </w:rPr>
      </w:pPr>
      <w:r>
        <w:rPr>
          <w:rFonts w:ascii="Arial" w:cs="Arial" w:eastAsia="Arial" w:hAnsi="Arial"/>
          <w:sz w:val="16"/>
          <w:szCs w:val="16"/>
          <w:b w:val="1"/>
          <w:bCs w:val="1"/>
          <w:color w:val="auto"/>
        </w:rPr>
        <w:t>2022 Target Pay Matrix — CEO</w:t>
      </w:r>
      <w:r>
        <w:rPr>
          <w:sz w:val="20"/>
          <w:szCs w:val="20"/>
          <w:color w:val="auto"/>
        </w:rPr>
        <w:tab/>
      </w:r>
      <w:r>
        <w:rPr>
          <w:rFonts w:ascii="Arial" w:cs="Arial" w:eastAsia="Arial" w:hAnsi="Arial"/>
          <w:sz w:val="16"/>
          <w:szCs w:val="16"/>
          <w:b w:val="1"/>
          <w:bCs w:val="1"/>
          <w:color w:val="auto"/>
        </w:rPr>
        <w:t>2022 Target Pay Matrix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38100</wp:posOffset>
            </wp:positionV>
            <wp:extent cx="5751830" cy="2297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5183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Principles and Corporate Governance Policies</w:t>
      </w:r>
    </w:p>
    <w:p>
      <w:pPr>
        <w:spacing w:after="0" w:line="131" w:lineRule="exact"/>
        <w:rPr>
          <w:sz w:val="20"/>
          <w:szCs w:val="20"/>
          <w:color w:val="auto"/>
        </w:rPr>
      </w:pPr>
    </w:p>
    <w:p>
      <w:pPr>
        <w:ind w:right="940"/>
        <w:spacing w:after="0" w:line="286" w:lineRule="auto"/>
        <w:rPr>
          <w:sz w:val="20"/>
          <w:szCs w:val="20"/>
          <w:color w:val="auto"/>
        </w:rPr>
      </w:pPr>
      <w:r>
        <w:rPr>
          <w:rFonts w:ascii="Arial" w:cs="Arial" w:eastAsia="Arial" w:hAnsi="Arial"/>
          <w:sz w:val="16"/>
          <w:szCs w:val="16"/>
          <w:color w:val="auto"/>
        </w:rPr>
        <w:t>Our executive compensation programs contain features that are intended to embody our compensation principles and promote strong executive compensation corporate governance.</w:t>
      </w:r>
    </w:p>
    <w:p>
      <w:pPr>
        <w:spacing w:after="0" w:line="48" w:lineRule="exact"/>
        <w:rPr>
          <w:sz w:val="20"/>
          <w:szCs w:val="20"/>
          <w:color w:val="auto"/>
        </w:rPr>
      </w:pPr>
    </w:p>
    <w:p>
      <w:pPr>
        <w:ind w:left="180" w:right="320" w:hanging="172"/>
        <w:spacing w:after="0" w:line="271" w:lineRule="auto"/>
        <w:tabs>
          <w:tab w:leader="none" w:pos="255" w:val="left"/>
        </w:tabs>
        <w:numPr>
          <w:ilvl w:val="0"/>
          <w:numId w:val="51"/>
        </w:numPr>
        <w:rPr>
          <w:rFonts w:ascii="Arial" w:cs="Arial" w:eastAsia="Arial" w:hAnsi="Arial"/>
          <w:sz w:val="16"/>
          <w:szCs w:val="16"/>
          <w:color w:val="004E7D"/>
        </w:rPr>
      </w:pPr>
      <w:r>
        <w:rPr>
          <w:rFonts w:ascii="Arial" w:cs="Arial" w:eastAsia="Arial" w:hAnsi="Arial"/>
          <w:sz w:val="16"/>
          <w:szCs w:val="16"/>
          <w:color w:val="auto"/>
        </w:rPr>
        <w:t>We have a clawback policy applicable to incentive compensation paid to our executive officers and directors, which is in addition to the clawback provision that applies to equity awards under the Marriott Vacations Worldwide 2020 Equity Incentive Plan (the “2020 Equity Plan”) and the Marriott Vacations Worldwide Corporation Stock and Cash Incentive Plan (the “Prior Equity Plan” and, together with the 2020 Equity Plan, the “Equity Plans”). Upon final release of the NYSE rules under Dodd Frank, the clawback policy will be updated as necessary to comply with any additional requirements.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30</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35" w:name="page36"/>
    <w:bookmarkEnd w:id="35"/>
    <w:p>
      <w:pPr>
        <w:ind w:left="240" w:hanging="232"/>
        <w:spacing w:after="0"/>
        <w:tabs>
          <w:tab w:leader="none" w:pos="240"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We do not provide for a gross-up of excise taxes on any “parachute payments” that could become payable in connection with a change in control.</w:t>
      </w:r>
    </w:p>
    <w:p>
      <w:pPr>
        <w:spacing w:after="0" w:line="113" w:lineRule="exact"/>
        <w:rPr>
          <w:rFonts w:ascii="Arial" w:cs="Arial" w:eastAsia="Arial" w:hAnsi="Arial"/>
          <w:sz w:val="16"/>
          <w:szCs w:val="16"/>
          <w:color w:val="004E7D"/>
        </w:rPr>
      </w:pPr>
    </w:p>
    <w:p>
      <w:pPr>
        <w:ind w:left="240" w:hanging="232"/>
        <w:spacing w:after="0"/>
        <w:tabs>
          <w:tab w:leader="none" w:pos="240"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Executive officers are provided only limited perquisites and are not provided with tax gross-ups with respect to such perquisites.</w:t>
      </w:r>
    </w:p>
    <w:p>
      <w:pPr>
        <w:spacing w:after="0" w:line="113" w:lineRule="exact"/>
        <w:rPr>
          <w:rFonts w:ascii="Arial" w:cs="Arial" w:eastAsia="Arial" w:hAnsi="Arial"/>
          <w:sz w:val="16"/>
          <w:szCs w:val="16"/>
          <w:color w:val="004E7D"/>
        </w:rPr>
      </w:pPr>
    </w:p>
    <w:p>
      <w:pPr>
        <w:ind w:left="240" w:hanging="232"/>
        <w:spacing w:after="0"/>
        <w:tabs>
          <w:tab w:leader="none" w:pos="240"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The Equity Plans do not include an “evergreen” provision.</w:t>
      </w:r>
    </w:p>
    <w:p>
      <w:pPr>
        <w:spacing w:after="0" w:line="126" w:lineRule="exact"/>
        <w:rPr>
          <w:rFonts w:ascii="Arial" w:cs="Arial" w:eastAsia="Arial" w:hAnsi="Arial"/>
          <w:sz w:val="16"/>
          <w:szCs w:val="16"/>
          <w:color w:val="004E7D"/>
        </w:rPr>
      </w:pPr>
    </w:p>
    <w:p>
      <w:pPr>
        <w:ind w:left="180" w:hanging="172"/>
        <w:spacing w:after="0" w:line="275" w:lineRule="auto"/>
        <w:tabs>
          <w:tab w:leader="none" w:pos="255"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We cannot, without stockholder approval, “reprice” stock options or SARs by reducing the exercise or base price of such stock option or SAR, exchanging such stock option or SAR for a new award with a lower exercise or base price, or exchanging such stock option or SAR for cash (other than in connection with specified corporate transactions).</w:t>
      </w:r>
    </w:p>
    <w:p>
      <w:pPr>
        <w:spacing w:after="0" w:line="56" w:lineRule="exact"/>
        <w:rPr>
          <w:rFonts w:ascii="Arial" w:cs="Arial" w:eastAsia="Arial" w:hAnsi="Arial"/>
          <w:sz w:val="16"/>
          <w:szCs w:val="16"/>
          <w:color w:val="004E7D"/>
        </w:rPr>
      </w:pPr>
    </w:p>
    <w:p>
      <w:pPr>
        <w:ind w:left="180" w:right="440" w:hanging="172"/>
        <w:spacing w:after="0" w:line="286" w:lineRule="auto"/>
        <w:tabs>
          <w:tab w:leader="none" w:pos="255"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We do not provide “single trigger” change in control benefits, except with respect to equity awards which are not retained or replaced with substitute awards following a change in control.</w:t>
      </w:r>
    </w:p>
    <w:p>
      <w:pPr>
        <w:spacing w:after="0" w:line="61" w:lineRule="exact"/>
        <w:rPr>
          <w:rFonts w:ascii="Arial" w:cs="Arial" w:eastAsia="Arial" w:hAnsi="Arial"/>
          <w:sz w:val="16"/>
          <w:szCs w:val="16"/>
          <w:color w:val="004E7D"/>
        </w:rPr>
      </w:pPr>
    </w:p>
    <w:p>
      <w:pPr>
        <w:ind w:left="180" w:right="260" w:hanging="172"/>
        <w:spacing w:after="0" w:line="260" w:lineRule="auto"/>
        <w:tabs>
          <w:tab w:leader="none" w:pos="255"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We have stock ownership guidelines that require our Chief Executive Officer to own shares of our common stock (as determined under the guidelines) with a market value equal to five times base salary and other executive officers to own shares of our common stock with a market value equal to two to three times annual base salary. All but two of our executive officers have achieved the holding requirements specified in the guidelines as of the end of 2022. The executive officers who have not achieved the holding requirements specified in the guidelines were appointed on November 20, 2020 and October 16, 2021, and each has five calendar years, or by year-end 2025 and 2026, respectively, to achieve the required target ownership.</w:t>
      </w:r>
    </w:p>
    <w:p>
      <w:pPr>
        <w:spacing w:after="0" w:line="83" w:lineRule="exact"/>
        <w:rPr>
          <w:rFonts w:ascii="Arial" w:cs="Arial" w:eastAsia="Arial" w:hAnsi="Arial"/>
          <w:sz w:val="16"/>
          <w:szCs w:val="16"/>
          <w:color w:val="004E7D"/>
        </w:rPr>
      </w:pPr>
    </w:p>
    <w:p>
      <w:pPr>
        <w:ind w:left="180" w:right="160" w:hanging="172"/>
        <w:spacing w:after="0" w:line="266" w:lineRule="auto"/>
        <w:tabs>
          <w:tab w:leader="none" w:pos="255"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Equity grants are made on a consistent schedule and are not made in anticipation of significant developments that may impact the price of our common shares. Annual grants are typically made during the first quarter, after the release of our earnings for the prior year and guidance for the current year, which is intended to ensure that we do not make equity grants when we have material, non-public information.</w:t>
      </w:r>
    </w:p>
    <w:p>
      <w:pPr>
        <w:spacing w:after="0" w:line="76" w:lineRule="exact"/>
        <w:rPr>
          <w:rFonts w:ascii="Arial" w:cs="Arial" w:eastAsia="Arial" w:hAnsi="Arial"/>
          <w:sz w:val="16"/>
          <w:szCs w:val="16"/>
          <w:color w:val="004E7D"/>
        </w:rPr>
      </w:pPr>
    </w:p>
    <w:p>
      <w:pPr>
        <w:ind w:left="180" w:right="80" w:hanging="172"/>
        <w:spacing w:after="0" w:line="286" w:lineRule="auto"/>
        <w:tabs>
          <w:tab w:leader="none" w:pos="255"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Our associates, officers and directors may not at any time engage in any form of derivative transactions (such as “short” sales or “option puts or calls”) in our securities.</w:t>
      </w:r>
    </w:p>
    <w:p>
      <w:pPr>
        <w:spacing w:after="0" w:line="61" w:lineRule="exact"/>
        <w:rPr>
          <w:rFonts w:ascii="Arial" w:cs="Arial" w:eastAsia="Arial" w:hAnsi="Arial"/>
          <w:sz w:val="16"/>
          <w:szCs w:val="16"/>
          <w:color w:val="004E7D"/>
        </w:rPr>
      </w:pPr>
    </w:p>
    <w:p>
      <w:pPr>
        <w:ind w:left="240" w:hanging="232"/>
        <w:spacing w:after="0"/>
        <w:tabs>
          <w:tab w:leader="none" w:pos="240"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Our associates, officers and directors are prohibited from including our securities in a margin account or pledging such securities as collateral for a loan.</w:t>
      </w:r>
    </w:p>
    <w:p>
      <w:pPr>
        <w:spacing w:after="0" w:line="113" w:lineRule="exact"/>
        <w:rPr>
          <w:rFonts w:ascii="Arial" w:cs="Arial" w:eastAsia="Arial" w:hAnsi="Arial"/>
          <w:sz w:val="16"/>
          <w:szCs w:val="16"/>
          <w:color w:val="004E7D"/>
        </w:rPr>
      </w:pPr>
    </w:p>
    <w:p>
      <w:pPr>
        <w:ind w:left="180" w:right="780" w:hanging="172"/>
        <w:spacing w:after="0" w:line="286" w:lineRule="auto"/>
        <w:tabs>
          <w:tab w:leader="none" w:pos="255"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We, as a practice, do not have employment agreements with any of our named executive officers or other executive officers. However, with the acquisition of ILG, we assumed an employment agreement for Jeanette E. Marbert, President, Exchange and Third-Party Management.</w:t>
      </w:r>
    </w:p>
    <w:p>
      <w:pPr>
        <w:spacing w:after="0" w:line="61" w:lineRule="exact"/>
        <w:rPr>
          <w:rFonts w:ascii="Arial" w:cs="Arial" w:eastAsia="Arial" w:hAnsi="Arial"/>
          <w:sz w:val="16"/>
          <w:szCs w:val="16"/>
          <w:color w:val="004E7D"/>
        </w:rPr>
      </w:pPr>
    </w:p>
    <w:p>
      <w:pPr>
        <w:ind w:left="240" w:hanging="232"/>
        <w:spacing w:after="0"/>
        <w:tabs>
          <w:tab w:leader="none" w:pos="240" w:val="left"/>
        </w:tabs>
        <w:numPr>
          <w:ilvl w:val="0"/>
          <w:numId w:val="52"/>
        </w:numPr>
        <w:rPr>
          <w:rFonts w:ascii="Arial" w:cs="Arial" w:eastAsia="Arial" w:hAnsi="Arial"/>
          <w:sz w:val="16"/>
          <w:szCs w:val="16"/>
          <w:color w:val="004E7D"/>
        </w:rPr>
      </w:pPr>
      <w:r>
        <w:rPr>
          <w:rFonts w:ascii="Arial" w:cs="Arial" w:eastAsia="Arial" w:hAnsi="Arial"/>
          <w:sz w:val="16"/>
          <w:szCs w:val="16"/>
          <w:color w:val="auto"/>
        </w:rPr>
        <w:t>None of our named executive officers are entitled to guaranteed annual bonuses.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COMPENSATION PROCESS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Data</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To assist in determining the levels of compensation for our named executive officers in 2022, Exequity LLP (“Exequity”), the CPC’s compensation consultant, recommended an appropriate peer group for approval by the CPC and management. Considerations for developing the peer group included company size as measured by revenues (generally one-half to two times the Company’s revenues) and market capitalization (companies with very low or very high market capitalization relative to the Company were excluded), industry and business model similarities, and trading on a major exchange.</w:t>
      </w:r>
    </w:p>
    <w:p>
      <w:pPr>
        <w:spacing w:after="0" w:line="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companies in the peer group used as the basis for 2022 compensation decisions, which are the same companies used as the basis for the CPC’s 2021 and 2020 compensation decisions, consisted of the following:</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3380" w:type="dxa"/>
            <w:vAlign w:val="bottom"/>
            <w:tcBorders>
              <w:bottom w:val="single" w:sz="8" w:color="004987"/>
            </w:tcBorders>
          </w:tcPr>
          <w:p>
            <w:pPr>
              <w:spacing w:after="0"/>
              <w:rPr>
                <w:sz w:val="17"/>
                <w:szCs w:val="17"/>
                <w:color w:val="auto"/>
              </w:rPr>
            </w:pPr>
          </w:p>
        </w:tc>
        <w:tc>
          <w:tcPr>
            <w:tcW w:w="6800" w:type="dxa"/>
            <w:vAlign w:val="bottom"/>
            <w:tcBorders>
              <w:bottom w:val="single" w:sz="8" w:color="004987"/>
            </w:tcBorders>
          </w:tcPr>
          <w:p>
            <w:pPr>
              <w:ind w:left="900"/>
              <w:spacing w:after="0"/>
              <w:rPr>
                <w:sz w:val="20"/>
                <w:szCs w:val="20"/>
                <w:color w:val="auto"/>
              </w:rPr>
            </w:pPr>
            <w:r>
              <w:rPr>
                <w:rFonts w:ascii="Arial" w:cs="Arial" w:eastAsia="Arial" w:hAnsi="Arial"/>
                <w:sz w:val="14"/>
                <w:szCs w:val="14"/>
                <w:b w:val="1"/>
                <w:bCs w:val="1"/>
                <w:color w:val="004E7D"/>
              </w:rPr>
              <w:t>Peer Group Companies</w:t>
            </w:r>
          </w:p>
        </w:tc>
      </w:tr>
      <w:tr>
        <w:trPr>
          <w:trHeight w:val="175"/>
        </w:trPr>
        <w:tc>
          <w:tcPr>
            <w:tcW w:w="3380" w:type="dxa"/>
            <w:vAlign w:val="bottom"/>
          </w:tcPr>
          <w:p>
            <w:pPr>
              <w:ind w:left="200"/>
              <w:spacing w:after="0" w:line="175" w:lineRule="exact"/>
              <w:rPr>
                <w:sz w:val="20"/>
                <w:szCs w:val="20"/>
                <w:color w:val="auto"/>
              </w:rPr>
            </w:pPr>
            <w:r>
              <w:rPr>
                <w:rFonts w:ascii="Arial" w:cs="Arial" w:eastAsia="Arial" w:hAnsi="Arial"/>
                <w:sz w:val="16"/>
                <w:szCs w:val="16"/>
                <w:color w:val="auto"/>
              </w:rPr>
              <w:t>Bloomin’ Brands, Inc.</w:t>
            </w:r>
          </w:p>
        </w:tc>
        <w:tc>
          <w:tcPr>
            <w:tcW w:w="6800" w:type="dxa"/>
            <w:vAlign w:val="bottom"/>
          </w:tcPr>
          <w:p>
            <w:pPr>
              <w:ind w:left="1900"/>
              <w:spacing w:after="0" w:line="175" w:lineRule="exact"/>
              <w:rPr>
                <w:sz w:val="20"/>
                <w:szCs w:val="20"/>
                <w:color w:val="auto"/>
              </w:rPr>
            </w:pPr>
            <w:r>
              <w:rPr>
                <w:rFonts w:ascii="Arial" w:cs="Arial" w:eastAsia="Arial" w:hAnsi="Arial"/>
                <w:sz w:val="16"/>
                <w:szCs w:val="16"/>
                <w:color w:val="auto"/>
              </w:rPr>
              <w:t>Norwegian Cruise Line Holdings Ltd.</w:t>
            </w:r>
          </w:p>
        </w:tc>
      </w:tr>
      <w:tr>
        <w:trPr>
          <w:trHeight w:val="189"/>
        </w:trPr>
        <w:tc>
          <w:tcPr>
            <w:tcW w:w="3380" w:type="dxa"/>
            <w:vAlign w:val="bottom"/>
          </w:tcPr>
          <w:p>
            <w:pPr>
              <w:ind w:left="200"/>
              <w:spacing w:after="0"/>
              <w:rPr>
                <w:sz w:val="20"/>
                <w:szCs w:val="20"/>
                <w:color w:val="auto"/>
              </w:rPr>
            </w:pPr>
            <w:r>
              <w:rPr>
                <w:rFonts w:ascii="Arial" w:cs="Arial" w:eastAsia="Arial" w:hAnsi="Arial"/>
                <w:sz w:val="16"/>
                <w:szCs w:val="16"/>
                <w:color w:val="auto"/>
              </w:rPr>
              <w:t>Boyd Gaming Corporation</w:t>
            </w:r>
          </w:p>
        </w:tc>
        <w:tc>
          <w:tcPr>
            <w:tcW w:w="6800" w:type="dxa"/>
            <w:vAlign w:val="bottom"/>
          </w:tcPr>
          <w:p>
            <w:pPr>
              <w:ind w:left="1900"/>
              <w:spacing w:after="0"/>
              <w:rPr>
                <w:sz w:val="20"/>
                <w:szCs w:val="20"/>
                <w:color w:val="auto"/>
              </w:rPr>
            </w:pPr>
            <w:r>
              <w:rPr>
                <w:rFonts w:ascii="Arial" w:cs="Arial" w:eastAsia="Arial" w:hAnsi="Arial"/>
                <w:sz w:val="16"/>
                <w:szCs w:val="16"/>
                <w:color w:val="auto"/>
              </w:rPr>
              <w:t>Park Hotels &amp; Resorts Inc.</w:t>
            </w:r>
          </w:p>
        </w:tc>
      </w:tr>
      <w:tr>
        <w:trPr>
          <w:trHeight w:val="175"/>
        </w:trPr>
        <w:tc>
          <w:tcPr>
            <w:tcW w:w="3380" w:type="dxa"/>
            <w:vAlign w:val="bottom"/>
          </w:tcPr>
          <w:p>
            <w:pPr>
              <w:ind w:left="200"/>
              <w:spacing w:after="0" w:line="175" w:lineRule="exact"/>
              <w:rPr>
                <w:sz w:val="20"/>
                <w:szCs w:val="20"/>
                <w:color w:val="auto"/>
              </w:rPr>
            </w:pPr>
            <w:r>
              <w:rPr>
                <w:rFonts w:ascii="Arial" w:cs="Arial" w:eastAsia="Arial" w:hAnsi="Arial"/>
                <w:sz w:val="16"/>
                <w:szCs w:val="16"/>
                <w:color w:val="auto"/>
              </w:rPr>
              <w:t>Brookdale Senior Living Inc.</w:t>
            </w:r>
          </w:p>
        </w:tc>
        <w:tc>
          <w:tcPr>
            <w:tcW w:w="6800" w:type="dxa"/>
            <w:vAlign w:val="bottom"/>
          </w:tcPr>
          <w:p>
            <w:pPr>
              <w:ind w:left="1900"/>
              <w:spacing w:after="0" w:line="175" w:lineRule="exact"/>
              <w:rPr>
                <w:sz w:val="20"/>
                <w:szCs w:val="20"/>
                <w:color w:val="auto"/>
              </w:rPr>
            </w:pPr>
            <w:r>
              <w:rPr>
                <w:rFonts w:ascii="Arial" w:cs="Arial" w:eastAsia="Arial" w:hAnsi="Arial"/>
                <w:sz w:val="16"/>
                <w:szCs w:val="16"/>
                <w:color w:val="auto"/>
              </w:rPr>
              <w:t>Penn National Gaming, Inc.</w:t>
            </w:r>
          </w:p>
        </w:tc>
      </w:tr>
      <w:tr>
        <w:trPr>
          <w:trHeight w:val="189"/>
        </w:trPr>
        <w:tc>
          <w:tcPr>
            <w:tcW w:w="3380" w:type="dxa"/>
            <w:vAlign w:val="bottom"/>
          </w:tcPr>
          <w:p>
            <w:pPr>
              <w:ind w:left="200"/>
              <w:spacing w:after="0"/>
              <w:rPr>
                <w:sz w:val="20"/>
                <w:szCs w:val="20"/>
                <w:color w:val="auto"/>
              </w:rPr>
            </w:pPr>
            <w:r>
              <w:rPr>
                <w:rFonts w:ascii="Arial" w:cs="Arial" w:eastAsia="Arial" w:hAnsi="Arial"/>
                <w:sz w:val="16"/>
                <w:szCs w:val="16"/>
                <w:color w:val="auto"/>
              </w:rPr>
              <w:t>Choice Hotels International, Inc.</w:t>
            </w:r>
          </w:p>
        </w:tc>
        <w:tc>
          <w:tcPr>
            <w:tcW w:w="6800" w:type="dxa"/>
            <w:vAlign w:val="bottom"/>
          </w:tcPr>
          <w:p>
            <w:pPr>
              <w:ind w:left="1900"/>
              <w:spacing w:after="0"/>
              <w:rPr>
                <w:sz w:val="20"/>
                <w:szCs w:val="20"/>
                <w:color w:val="auto"/>
              </w:rPr>
            </w:pPr>
            <w:r>
              <w:rPr>
                <w:rFonts w:ascii="Arial" w:cs="Arial" w:eastAsia="Arial" w:hAnsi="Arial"/>
                <w:sz w:val="16"/>
                <w:szCs w:val="16"/>
                <w:color w:val="auto"/>
              </w:rPr>
              <w:t>Toll Brothers, Inc.</w:t>
            </w:r>
          </w:p>
        </w:tc>
      </w:tr>
      <w:tr>
        <w:trPr>
          <w:trHeight w:val="175"/>
        </w:trPr>
        <w:tc>
          <w:tcPr>
            <w:tcW w:w="3380" w:type="dxa"/>
            <w:vAlign w:val="bottom"/>
          </w:tcPr>
          <w:p>
            <w:pPr>
              <w:ind w:left="200"/>
              <w:spacing w:after="0" w:line="175" w:lineRule="exact"/>
              <w:rPr>
                <w:sz w:val="20"/>
                <w:szCs w:val="20"/>
                <w:color w:val="auto"/>
              </w:rPr>
            </w:pPr>
            <w:r>
              <w:rPr>
                <w:rFonts w:ascii="Arial" w:cs="Arial" w:eastAsia="Arial" w:hAnsi="Arial"/>
                <w:sz w:val="16"/>
                <w:szCs w:val="16"/>
                <w:color w:val="auto"/>
              </w:rPr>
              <w:t>Darden Restaurants, Inc.</w:t>
            </w:r>
          </w:p>
        </w:tc>
        <w:tc>
          <w:tcPr>
            <w:tcW w:w="6800" w:type="dxa"/>
            <w:vAlign w:val="bottom"/>
          </w:tcPr>
          <w:p>
            <w:pPr>
              <w:ind w:left="1900"/>
              <w:spacing w:after="0" w:line="175" w:lineRule="exact"/>
              <w:rPr>
                <w:sz w:val="20"/>
                <w:szCs w:val="20"/>
                <w:color w:val="auto"/>
              </w:rPr>
            </w:pPr>
            <w:r>
              <w:rPr>
                <w:rFonts w:ascii="Arial" w:cs="Arial" w:eastAsia="Arial" w:hAnsi="Arial"/>
                <w:sz w:val="16"/>
                <w:szCs w:val="16"/>
                <w:color w:val="auto"/>
              </w:rPr>
              <w:t>Travel+Leisure Co.</w:t>
            </w:r>
          </w:p>
        </w:tc>
      </w:tr>
      <w:tr>
        <w:trPr>
          <w:trHeight w:val="189"/>
        </w:trPr>
        <w:tc>
          <w:tcPr>
            <w:tcW w:w="3380" w:type="dxa"/>
            <w:vAlign w:val="bottom"/>
          </w:tcPr>
          <w:p>
            <w:pPr>
              <w:ind w:left="200"/>
              <w:spacing w:after="0"/>
              <w:rPr>
                <w:sz w:val="20"/>
                <w:szCs w:val="20"/>
                <w:color w:val="auto"/>
              </w:rPr>
            </w:pPr>
            <w:r>
              <w:rPr>
                <w:rFonts w:ascii="Arial" w:cs="Arial" w:eastAsia="Arial" w:hAnsi="Arial"/>
                <w:sz w:val="16"/>
                <w:szCs w:val="16"/>
                <w:color w:val="auto"/>
              </w:rPr>
              <w:t>Hilton Grand Vacations Inc.</w:t>
            </w:r>
          </w:p>
        </w:tc>
        <w:tc>
          <w:tcPr>
            <w:tcW w:w="6800" w:type="dxa"/>
            <w:vAlign w:val="bottom"/>
          </w:tcPr>
          <w:p>
            <w:pPr>
              <w:ind w:left="1900"/>
              <w:spacing w:after="0"/>
              <w:rPr>
                <w:sz w:val="20"/>
                <w:szCs w:val="20"/>
                <w:color w:val="auto"/>
              </w:rPr>
            </w:pPr>
            <w:r>
              <w:rPr>
                <w:rFonts w:ascii="Arial" w:cs="Arial" w:eastAsia="Arial" w:hAnsi="Arial"/>
                <w:sz w:val="16"/>
                <w:szCs w:val="16"/>
                <w:color w:val="auto"/>
              </w:rPr>
              <w:t>Vail Resorts, Inc.</w:t>
            </w:r>
          </w:p>
        </w:tc>
      </w:tr>
      <w:tr>
        <w:trPr>
          <w:trHeight w:val="175"/>
        </w:trPr>
        <w:tc>
          <w:tcPr>
            <w:tcW w:w="3380" w:type="dxa"/>
            <w:vAlign w:val="bottom"/>
          </w:tcPr>
          <w:p>
            <w:pPr>
              <w:ind w:left="200"/>
              <w:spacing w:after="0" w:line="175" w:lineRule="exact"/>
              <w:rPr>
                <w:sz w:val="20"/>
                <w:szCs w:val="20"/>
                <w:color w:val="auto"/>
              </w:rPr>
            </w:pPr>
            <w:r>
              <w:rPr>
                <w:rFonts w:ascii="Arial" w:cs="Arial" w:eastAsia="Arial" w:hAnsi="Arial"/>
                <w:sz w:val="16"/>
                <w:szCs w:val="16"/>
                <w:color w:val="auto"/>
              </w:rPr>
              <w:t>Host Hotels &amp; Resorts, Inc.</w:t>
            </w:r>
          </w:p>
        </w:tc>
        <w:tc>
          <w:tcPr>
            <w:tcW w:w="6800" w:type="dxa"/>
            <w:vAlign w:val="bottom"/>
          </w:tcPr>
          <w:p>
            <w:pPr>
              <w:ind w:left="1900"/>
              <w:spacing w:after="0" w:line="175" w:lineRule="exact"/>
              <w:rPr>
                <w:sz w:val="20"/>
                <w:szCs w:val="20"/>
                <w:color w:val="auto"/>
              </w:rPr>
            </w:pPr>
            <w:r>
              <w:rPr>
                <w:rFonts w:ascii="Arial" w:cs="Arial" w:eastAsia="Arial" w:hAnsi="Arial"/>
                <w:sz w:val="16"/>
                <w:szCs w:val="16"/>
                <w:color w:val="auto"/>
              </w:rPr>
              <w:t>Wyndham Hotels &amp; Resorts, Inc.</w:t>
            </w:r>
          </w:p>
        </w:tc>
      </w:tr>
      <w:tr>
        <w:trPr>
          <w:trHeight w:val="215"/>
        </w:trPr>
        <w:tc>
          <w:tcPr>
            <w:tcW w:w="3380" w:type="dxa"/>
            <w:vAlign w:val="bottom"/>
          </w:tcPr>
          <w:p>
            <w:pPr>
              <w:ind w:left="200"/>
              <w:spacing w:after="0"/>
              <w:rPr>
                <w:sz w:val="20"/>
                <w:szCs w:val="20"/>
                <w:color w:val="auto"/>
              </w:rPr>
            </w:pPr>
            <w:r>
              <w:rPr>
                <w:rFonts w:ascii="Arial" w:cs="Arial" w:eastAsia="Arial" w:hAnsi="Arial"/>
                <w:sz w:val="16"/>
                <w:szCs w:val="16"/>
                <w:color w:val="auto"/>
              </w:rPr>
              <w:t>Hyatt Hotels Corporation</w:t>
            </w:r>
          </w:p>
        </w:tc>
        <w:tc>
          <w:tcPr>
            <w:tcW w:w="6800" w:type="dxa"/>
            <w:vAlign w:val="bottom"/>
          </w:tcPr>
          <w:p>
            <w:pPr>
              <w:ind w:left="1900"/>
              <w:spacing w:after="0"/>
              <w:rPr>
                <w:sz w:val="20"/>
                <w:szCs w:val="20"/>
                <w:color w:val="auto"/>
              </w:rPr>
            </w:pPr>
            <w:r>
              <w:rPr>
                <w:rFonts w:ascii="Arial" w:cs="Arial" w:eastAsia="Arial" w:hAnsi="Arial"/>
                <w:sz w:val="16"/>
                <w:szCs w:val="16"/>
                <w:color w:val="auto"/>
              </w:rPr>
              <w:t>Wynn Resorts, Limited</w:t>
            </w:r>
          </w:p>
        </w:tc>
      </w:tr>
      <w:tr>
        <w:trPr>
          <w:trHeight w:val="42"/>
        </w:trPr>
        <w:tc>
          <w:tcPr>
            <w:tcW w:w="3380" w:type="dxa"/>
            <w:vAlign w:val="bottom"/>
            <w:tcBorders>
              <w:bottom w:val="single" w:sz="8" w:color="004987"/>
            </w:tcBorders>
          </w:tcPr>
          <w:p>
            <w:pPr>
              <w:spacing w:after="0"/>
              <w:rPr>
                <w:sz w:val="3"/>
                <w:szCs w:val="3"/>
                <w:color w:val="auto"/>
              </w:rPr>
            </w:pPr>
          </w:p>
        </w:tc>
        <w:tc>
          <w:tcPr>
            <w:tcW w:w="6800" w:type="dxa"/>
            <w:vAlign w:val="bottom"/>
            <w:tcBorders>
              <w:bottom w:val="single" w:sz="8" w:color="004987"/>
            </w:tcBorders>
          </w:tcPr>
          <w:p>
            <w:pPr>
              <w:spacing w:after="0"/>
              <w:rPr>
                <w:sz w:val="3"/>
                <w:szCs w:val="3"/>
                <w:color w:val="auto"/>
              </w:rPr>
            </w:pPr>
          </w:p>
        </w:tc>
      </w:tr>
    </w:tbl>
    <w:p>
      <w:pPr>
        <w:spacing w:after="0" w:line="18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addition, in part due to the fact that there are very few public company direct competitors, the CPC determined that it was appropriate to consider the compensation practices of a general industry peer group as an additional reference point for its 2022 executive pay decisions. Accordingly, the CPC considers the compensation practices of a general industry peer group consisting of forty companies in the consumer products industry that participated in Equilar’s Top 25 database (i.e., 20 consumer products companies with revenues greater than and 20 consumer products companies with revenues less than the Company’s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31</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companies that met these objective criteria with revenues greater and less than the Company’s revenues consisted of the following:</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4380" w:type="dxa"/>
            <w:vAlign w:val="bottom"/>
            <w:tcBorders>
              <w:bottom w:val="single" w:sz="8" w:color="004987"/>
            </w:tcBorders>
          </w:tcPr>
          <w:p>
            <w:pPr>
              <w:ind w:left="20"/>
              <w:spacing w:after="0"/>
              <w:rPr>
                <w:sz w:val="20"/>
                <w:szCs w:val="20"/>
                <w:color w:val="auto"/>
              </w:rPr>
            </w:pPr>
            <w:r>
              <w:rPr>
                <w:rFonts w:ascii="Arial" w:cs="Arial" w:eastAsia="Arial" w:hAnsi="Arial"/>
                <w:sz w:val="14"/>
                <w:szCs w:val="14"/>
                <w:b w:val="1"/>
                <w:bCs w:val="1"/>
                <w:color w:val="004E7D"/>
              </w:rPr>
              <w:t>Revenues Greater than the Company’s Revenues</w:t>
            </w:r>
          </w:p>
        </w:tc>
        <w:tc>
          <w:tcPr>
            <w:tcW w:w="5900" w:type="dxa"/>
            <w:vAlign w:val="bottom"/>
            <w:tcBorders>
              <w:bottom w:val="single" w:sz="8" w:color="004987"/>
            </w:tcBorders>
          </w:tcPr>
          <w:p>
            <w:pPr>
              <w:ind w:left="1000"/>
              <w:spacing w:after="0"/>
              <w:rPr>
                <w:sz w:val="20"/>
                <w:szCs w:val="20"/>
                <w:color w:val="auto"/>
              </w:rPr>
            </w:pPr>
            <w:r>
              <w:rPr>
                <w:rFonts w:ascii="Arial" w:cs="Arial" w:eastAsia="Arial" w:hAnsi="Arial"/>
                <w:sz w:val="14"/>
                <w:szCs w:val="14"/>
                <w:b w:val="1"/>
                <w:bCs w:val="1"/>
                <w:color w:val="004E7D"/>
              </w:rPr>
              <w:t>Revenues Less than the Company’s Revenues</w:t>
            </w:r>
          </w:p>
        </w:tc>
      </w:tr>
      <w:tr>
        <w:trPr>
          <w:trHeight w:val="188"/>
        </w:trPr>
        <w:tc>
          <w:tcPr>
            <w:tcW w:w="4380" w:type="dxa"/>
            <w:vAlign w:val="bottom"/>
          </w:tcPr>
          <w:p>
            <w:pPr>
              <w:ind w:left="200"/>
              <w:spacing w:after="0"/>
              <w:rPr>
                <w:sz w:val="20"/>
                <w:szCs w:val="20"/>
                <w:color w:val="auto"/>
              </w:rPr>
            </w:pPr>
            <w:r>
              <w:rPr>
                <w:rFonts w:ascii="Arial" w:cs="Arial" w:eastAsia="Arial" w:hAnsi="Arial"/>
                <w:sz w:val="16"/>
                <w:szCs w:val="16"/>
                <w:color w:val="auto"/>
              </w:rPr>
              <w:t>American Eagle Outfitters, Inc.</w:t>
            </w:r>
          </w:p>
        </w:tc>
        <w:tc>
          <w:tcPr>
            <w:tcW w:w="5900" w:type="dxa"/>
            <w:vAlign w:val="bottom"/>
          </w:tcPr>
          <w:p>
            <w:pPr>
              <w:ind w:left="1240"/>
              <w:spacing w:after="0"/>
              <w:rPr>
                <w:sz w:val="20"/>
                <w:szCs w:val="20"/>
                <w:color w:val="auto"/>
              </w:rPr>
            </w:pPr>
            <w:r>
              <w:rPr>
                <w:rFonts w:ascii="Arial" w:cs="Arial" w:eastAsia="Arial" w:hAnsi="Arial"/>
                <w:sz w:val="16"/>
                <w:szCs w:val="16"/>
                <w:color w:val="auto"/>
              </w:rPr>
              <w:t>Abercrombie &amp; Fitch Co.</w:t>
            </w:r>
          </w:p>
        </w:tc>
      </w:tr>
      <w:tr>
        <w:trPr>
          <w:trHeight w:val="175"/>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Big Lots, Inc.</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Bloomin’ Brands,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Brunswick Corporation</w:t>
            </w:r>
          </w:p>
        </w:tc>
        <w:tc>
          <w:tcPr>
            <w:tcW w:w="5900" w:type="dxa"/>
            <w:vAlign w:val="bottom"/>
          </w:tcPr>
          <w:p>
            <w:pPr>
              <w:ind w:left="1240"/>
              <w:spacing w:after="0"/>
              <w:rPr>
                <w:sz w:val="20"/>
                <w:szCs w:val="20"/>
                <w:color w:val="auto"/>
              </w:rPr>
            </w:pPr>
            <w:r>
              <w:rPr>
                <w:rFonts w:ascii="Arial" w:cs="Arial" w:eastAsia="Arial" w:hAnsi="Arial"/>
                <w:sz w:val="16"/>
                <w:szCs w:val="16"/>
                <w:color w:val="auto"/>
              </w:rPr>
              <w:t>Callaway Golf Company</w:t>
            </w:r>
          </w:p>
        </w:tc>
      </w:tr>
      <w:tr>
        <w:trPr>
          <w:trHeight w:val="176"/>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Church &amp; Dwight Co., Inc.</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Carter’s,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Electronic Arts Inc.</w:t>
            </w:r>
          </w:p>
        </w:tc>
        <w:tc>
          <w:tcPr>
            <w:tcW w:w="5900" w:type="dxa"/>
            <w:vAlign w:val="bottom"/>
          </w:tcPr>
          <w:p>
            <w:pPr>
              <w:ind w:left="1240"/>
              <w:spacing w:after="0"/>
              <w:rPr>
                <w:sz w:val="20"/>
                <w:szCs w:val="20"/>
                <w:color w:val="auto"/>
              </w:rPr>
            </w:pPr>
            <w:r>
              <w:rPr>
                <w:rFonts w:ascii="Arial" w:cs="Arial" w:eastAsia="Arial" w:hAnsi="Arial"/>
                <w:sz w:val="16"/>
                <w:szCs w:val="16"/>
                <w:color w:val="auto"/>
              </w:rPr>
              <w:t>Columbia Sportswear Company</w:t>
            </w:r>
          </w:p>
        </w:tc>
      </w:tr>
      <w:tr>
        <w:trPr>
          <w:trHeight w:val="176"/>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Garmin Ltd.</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Designer Brands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Leggett &amp; Platt, Incorporated</w:t>
            </w:r>
          </w:p>
        </w:tc>
        <w:tc>
          <w:tcPr>
            <w:tcW w:w="5900" w:type="dxa"/>
            <w:vAlign w:val="bottom"/>
          </w:tcPr>
          <w:p>
            <w:pPr>
              <w:ind w:left="1240"/>
              <w:spacing w:after="0"/>
              <w:rPr>
                <w:sz w:val="20"/>
                <w:szCs w:val="20"/>
                <w:color w:val="auto"/>
              </w:rPr>
            </w:pPr>
            <w:r>
              <w:rPr>
                <w:rFonts w:ascii="Arial" w:cs="Arial" w:eastAsia="Arial" w:hAnsi="Arial"/>
                <w:sz w:val="16"/>
                <w:szCs w:val="16"/>
                <w:color w:val="auto"/>
              </w:rPr>
              <w:t>Domino’s Pizza, Inc.</w:t>
            </w:r>
          </w:p>
        </w:tc>
      </w:tr>
      <w:tr>
        <w:trPr>
          <w:trHeight w:val="175"/>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Levi Strauss &amp; Co.</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DoorDash,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Lululemon Athletica Inc.</w:t>
            </w:r>
          </w:p>
        </w:tc>
        <w:tc>
          <w:tcPr>
            <w:tcW w:w="5900" w:type="dxa"/>
            <w:vAlign w:val="bottom"/>
          </w:tcPr>
          <w:p>
            <w:pPr>
              <w:ind w:left="1240"/>
              <w:spacing w:after="0"/>
              <w:rPr>
                <w:sz w:val="20"/>
                <w:szCs w:val="20"/>
                <w:color w:val="auto"/>
              </w:rPr>
            </w:pPr>
            <w:r>
              <w:rPr>
                <w:rFonts w:ascii="Arial" w:cs="Arial" w:eastAsia="Arial" w:hAnsi="Arial"/>
                <w:sz w:val="16"/>
                <w:szCs w:val="16"/>
                <w:color w:val="auto"/>
              </w:rPr>
              <w:t>H&amp;R Block, Inc.</w:t>
            </w:r>
          </w:p>
        </w:tc>
      </w:tr>
      <w:tr>
        <w:trPr>
          <w:trHeight w:val="176"/>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Meritage Homes Corporation</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Helen of Troy Limited</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MGM Resorts International</w:t>
            </w:r>
          </w:p>
        </w:tc>
        <w:tc>
          <w:tcPr>
            <w:tcW w:w="5900" w:type="dxa"/>
            <w:vAlign w:val="bottom"/>
          </w:tcPr>
          <w:p>
            <w:pPr>
              <w:ind w:left="1240"/>
              <w:spacing w:after="0"/>
              <w:rPr>
                <w:sz w:val="20"/>
                <w:szCs w:val="20"/>
                <w:color w:val="auto"/>
              </w:rPr>
            </w:pPr>
            <w:r>
              <w:rPr>
                <w:rFonts w:ascii="Arial" w:cs="Arial" w:eastAsia="Arial" w:hAnsi="Arial"/>
                <w:sz w:val="16"/>
                <w:szCs w:val="16"/>
                <w:color w:val="auto"/>
              </w:rPr>
              <w:t>Hyatt Hotels Corporation</w:t>
            </w:r>
          </w:p>
        </w:tc>
      </w:tr>
      <w:tr>
        <w:trPr>
          <w:trHeight w:val="176"/>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Penn National Gaming, Inc.</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Kontoor Brands,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Petco Health and Wellness Company, Inc.</w:t>
            </w:r>
          </w:p>
        </w:tc>
        <w:tc>
          <w:tcPr>
            <w:tcW w:w="5900" w:type="dxa"/>
            <w:vAlign w:val="bottom"/>
          </w:tcPr>
          <w:p>
            <w:pPr>
              <w:ind w:left="1240"/>
              <w:spacing w:after="0"/>
              <w:rPr>
                <w:sz w:val="20"/>
                <w:szCs w:val="20"/>
                <w:color w:val="auto"/>
              </w:rPr>
            </w:pPr>
            <w:r>
              <w:rPr>
                <w:rFonts w:ascii="Arial" w:cs="Arial" w:eastAsia="Arial" w:hAnsi="Arial"/>
                <w:sz w:val="16"/>
                <w:szCs w:val="16"/>
                <w:color w:val="auto"/>
              </w:rPr>
              <w:t>PriceSmart, Inc.</w:t>
            </w:r>
          </w:p>
        </w:tc>
      </w:tr>
      <w:tr>
        <w:trPr>
          <w:trHeight w:val="175"/>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PetSmart LLC</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Snap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Ralph Lauren Corporation</w:t>
            </w:r>
          </w:p>
        </w:tc>
        <w:tc>
          <w:tcPr>
            <w:tcW w:w="5900" w:type="dxa"/>
            <w:vAlign w:val="bottom"/>
          </w:tcPr>
          <w:p>
            <w:pPr>
              <w:ind w:left="1240"/>
              <w:spacing w:after="0"/>
              <w:rPr>
                <w:sz w:val="20"/>
                <w:szCs w:val="20"/>
                <w:color w:val="auto"/>
              </w:rPr>
            </w:pPr>
            <w:r>
              <w:rPr>
                <w:rFonts w:ascii="Arial" w:cs="Arial" w:eastAsia="Arial" w:hAnsi="Arial"/>
                <w:sz w:val="16"/>
                <w:szCs w:val="16"/>
                <w:color w:val="auto"/>
              </w:rPr>
              <w:t>TEGNA Inc.</w:t>
            </w:r>
          </w:p>
        </w:tc>
      </w:tr>
      <w:tr>
        <w:trPr>
          <w:trHeight w:val="176"/>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Restaurant Brands International Inc.</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Texas Roadhouse, Inc.</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Signet Jewelers Limited</w:t>
            </w:r>
          </w:p>
        </w:tc>
        <w:tc>
          <w:tcPr>
            <w:tcW w:w="5900" w:type="dxa"/>
            <w:vAlign w:val="bottom"/>
          </w:tcPr>
          <w:p>
            <w:pPr>
              <w:ind w:left="1240"/>
              <w:spacing w:after="0"/>
              <w:rPr>
                <w:sz w:val="20"/>
                <w:szCs w:val="20"/>
                <w:color w:val="auto"/>
              </w:rPr>
            </w:pPr>
            <w:r>
              <w:rPr>
                <w:rFonts w:ascii="Arial" w:cs="Arial" w:eastAsia="Arial" w:hAnsi="Arial"/>
                <w:sz w:val="16"/>
                <w:szCs w:val="16"/>
                <w:color w:val="auto"/>
              </w:rPr>
              <w:t>The Cheesecake Factory Incorporated</w:t>
            </w:r>
          </w:p>
        </w:tc>
      </w:tr>
      <w:tr>
        <w:trPr>
          <w:trHeight w:val="175"/>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Tapestry, Inc.</w:t>
            </w:r>
          </w:p>
        </w:tc>
        <w:tc>
          <w:tcPr>
            <w:tcW w:w="5900" w:type="dxa"/>
            <w:vAlign w:val="bottom"/>
          </w:tcPr>
          <w:p>
            <w:pPr>
              <w:ind w:left="1240"/>
              <w:spacing w:after="0" w:line="175" w:lineRule="exact"/>
              <w:rPr>
                <w:sz w:val="20"/>
                <w:szCs w:val="20"/>
                <w:color w:val="auto"/>
              </w:rPr>
            </w:pPr>
            <w:r>
              <w:rPr>
                <w:rFonts w:ascii="Arial" w:cs="Arial" w:eastAsia="Arial" w:hAnsi="Arial"/>
                <w:sz w:val="16"/>
                <w:szCs w:val="16"/>
                <w:color w:val="auto"/>
              </w:rPr>
              <w:t>The New York Times Company</w:t>
            </w:r>
          </w:p>
        </w:tc>
      </w:tr>
      <w:tr>
        <w:trPr>
          <w:trHeight w:val="189"/>
        </w:trPr>
        <w:tc>
          <w:tcPr>
            <w:tcW w:w="4380" w:type="dxa"/>
            <w:vAlign w:val="bottom"/>
          </w:tcPr>
          <w:p>
            <w:pPr>
              <w:ind w:left="200"/>
              <w:spacing w:after="0"/>
              <w:rPr>
                <w:sz w:val="20"/>
                <w:szCs w:val="20"/>
                <w:color w:val="auto"/>
              </w:rPr>
            </w:pPr>
            <w:r>
              <w:rPr>
                <w:rFonts w:ascii="Arial" w:cs="Arial" w:eastAsia="Arial" w:hAnsi="Arial"/>
                <w:sz w:val="16"/>
                <w:szCs w:val="16"/>
                <w:color w:val="auto"/>
              </w:rPr>
              <w:t>Taylor Morrison Home Corporation</w:t>
            </w:r>
          </w:p>
        </w:tc>
        <w:tc>
          <w:tcPr>
            <w:tcW w:w="5900" w:type="dxa"/>
            <w:vAlign w:val="bottom"/>
          </w:tcPr>
          <w:p>
            <w:pPr>
              <w:ind w:left="1240"/>
              <w:spacing w:after="0"/>
              <w:rPr>
                <w:sz w:val="20"/>
                <w:szCs w:val="20"/>
                <w:color w:val="auto"/>
              </w:rPr>
            </w:pPr>
            <w:r>
              <w:rPr>
                <w:rFonts w:ascii="Arial" w:cs="Arial" w:eastAsia="Arial" w:hAnsi="Arial"/>
                <w:sz w:val="16"/>
                <w:szCs w:val="16"/>
                <w:color w:val="auto"/>
              </w:rPr>
              <w:t>Travel + Leisure Co.</w:t>
            </w:r>
          </w:p>
        </w:tc>
      </w:tr>
      <w:tr>
        <w:trPr>
          <w:trHeight w:val="215"/>
        </w:trPr>
        <w:tc>
          <w:tcPr>
            <w:tcW w:w="4380" w:type="dxa"/>
            <w:vAlign w:val="bottom"/>
          </w:tcPr>
          <w:p>
            <w:pPr>
              <w:ind w:left="200"/>
              <w:spacing w:after="0"/>
              <w:rPr>
                <w:sz w:val="20"/>
                <w:szCs w:val="20"/>
                <w:color w:val="auto"/>
              </w:rPr>
            </w:pPr>
            <w:r>
              <w:rPr>
                <w:rFonts w:ascii="Arial" w:cs="Arial" w:eastAsia="Arial" w:hAnsi="Arial"/>
                <w:sz w:val="16"/>
                <w:szCs w:val="16"/>
                <w:color w:val="auto"/>
              </w:rPr>
              <w:t>UnderArmour, Inc.</w:t>
            </w:r>
          </w:p>
        </w:tc>
        <w:tc>
          <w:tcPr>
            <w:tcW w:w="5900" w:type="dxa"/>
            <w:vAlign w:val="bottom"/>
          </w:tcPr>
          <w:p>
            <w:pPr>
              <w:ind w:left="1240"/>
              <w:spacing w:after="0"/>
              <w:rPr>
                <w:sz w:val="20"/>
                <w:szCs w:val="20"/>
                <w:color w:val="auto"/>
              </w:rPr>
            </w:pPr>
            <w:r>
              <w:rPr>
                <w:rFonts w:ascii="Arial" w:cs="Arial" w:eastAsia="Arial" w:hAnsi="Arial"/>
                <w:sz w:val="16"/>
                <w:szCs w:val="16"/>
                <w:color w:val="auto"/>
              </w:rPr>
              <w:t>Zillow Group, Inc.</w:t>
            </w:r>
          </w:p>
        </w:tc>
      </w:tr>
      <w:tr>
        <w:trPr>
          <w:trHeight w:val="29"/>
        </w:trPr>
        <w:tc>
          <w:tcPr>
            <w:tcW w:w="4380" w:type="dxa"/>
            <w:vAlign w:val="bottom"/>
            <w:tcBorders>
              <w:bottom w:val="single" w:sz="8" w:color="004987"/>
            </w:tcBorders>
          </w:tcPr>
          <w:p>
            <w:pPr>
              <w:spacing w:after="0"/>
              <w:rPr>
                <w:sz w:val="2"/>
                <w:szCs w:val="2"/>
                <w:color w:val="auto"/>
              </w:rPr>
            </w:pPr>
          </w:p>
        </w:tc>
        <w:tc>
          <w:tcPr>
            <w:tcW w:w="5900" w:type="dxa"/>
            <w:vAlign w:val="bottom"/>
            <w:tcBorders>
              <w:bottom w:val="single" w:sz="8" w:color="004987"/>
            </w:tcBorders>
          </w:tcPr>
          <w:p>
            <w:pPr>
              <w:spacing w:after="0"/>
              <w:rPr>
                <w:sz w:val="2"/>
                <w:szCs w:val="2"/>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Tally Sheets</w:t>
      </w:r>
    </w:p>
    <w:p>
      <w:pPr>
        <w:spacing w:after="0" w:line="117"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On an annual basis, the CPC reviews “tally sheets” prepared by management for each of the named executive officers. The tally sheet includes, among other things, total annual compensation, the value of unexercised or unvested equity compensation awards, and amounts payable upon termination of employment under various circumstances, including following a change in control. The CPC did not recommend specific changes to the executive compensation program for 2022 in response to a review of tally sheets in 2022, although it used the tally sheet information as one data point when considering executive compensation matters.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Policy Committee</w:t>
      </w:r>
    </w:p>
    <w:p>
      <w:pPr>
        <w:spacing w:after="0" w:line="13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CPC is responsible for reviewing and approving the Company’s executive compensation policies and plan designs, including compensation of our named executive officers. The CPC considers various factors in determining compensation levels for named executive officers, including the officer’s responsibilities and performance, the effectiveness of our programs in supporting the Company’s short- and long-term strategic objectives, and overall financial performance. Additionally, our CPC Chair, Dianna F. Morgan, with input from our Chairman, William J. Shaw, makes recommendations to the CPC with respect to the compensation of our CEO.</w:t>
      </w:r>
    </w:p>
    <w:p>
      <w:pPr>
        <w:spacing w:after="0" w:line="8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To this end, our CPC conducts an annual review of executive officer pay levels, reviews market data provided by the independent consultant, and approves changes to program designs, based on an assessment of competitive market practice and emerging trends. Additionally, the CPC evaluates the risks associated with the Company’s executive compensation programs.</w:t>
      </w:r>
    </w:p>
    <w:p>
      <w:pPr>
        <w:spacing w:after="0" w:line="5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CPC approved the total compensation packages for each of the named executive officers, including base salary, annual bonus targets, actual bonuses earned, and equity awards.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Consultant</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2022, the CPC engaged Exequity to provide executive compensation consulting services. Exequity’s services to the CPC have included updates on best practices and market trends in executive and director compensation, recommendations regarding executive and director compensation, and an independent review of compensation proposals by the Company’s senior management. Exequity attended meetings of the CPC at the Committee’s request and was available to provide guidance as questions and issues arose. During 2022, Exequity did not perform any services for the Company other than in connection with providing advice and recommendations on executive and director compensation. The CPC determined that Exequity is independent after consideration of the factors set forth in the NYSE Listed Company Manual.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32</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Role of Management</w:t>
      </w:r>
    </w:p>
    <w:p>
      <w:pPr>
        <w:spacing w:after="0" w:line="11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At the request of the CPC, the CEO presents individual pay recommendations for each of the named executive officers, other than himself. In forming his recommendations, he is advised by human resources management, including our Chief Human Resources Officer and our Senior Vice President, Global Rewards &amp; HRIS, and the independent compensation consultant with regard to assessment of individual contributions, achievement of performance objectives and other qualitative factors. The CPC considers these recommendations in approving the pay levels of each named executive officer. The CEO does not make recommendations concerning his own compensation.</w:t>
      </w:r>
    </w:p>
    <w:p>
      <w:pPr>
        <w:spacing w:after="0" w:line="64"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CEO and members of human resources management regularly attend CPC meetings. Human resources management typically presents recommendations for changes to program designs and individual pay levels for executive officers, taking into consideration individual performance of each incumbent, appropriate benchmarking information and issues that may arise from an accounting, legal or tax perspective. After review of the 2022 Market Data, and the above considerations, it was determined that total target direct compensation for Mr. Terry was below market median; all other named executive officers were at median.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ANALYSIS OF EACH COMPENSATION ELEMENT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2022, the CPC approved the following base salaries for the named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Borders>
              <w:bottom w:val="single" w:sz="8" w:color="004987"/>
            </w:tcBorders>
          </w:tcPr>
          <w:p>
            <w:pPr>
              <w:ind w:left="20"/>
              <w:spacing w:after="0"/>
              <w:rPr>
                <w:sz w:val="20"/>
                <w:szCs w:val="20"/>
                <w:color w:val="auto"/>
              </w:rPr>
            </w:pPr>
            <w:r>
              <w:rPr>
                <w:rFonts w:ascii="Arial" w:cs="Arial" w:eastAsia="Arial" w:hAnsi="Arial"/>
                <w:sz w:val="14"/>
                <w:szCs w:val="14"/>
                <w:b w:val="1"/>
                <w:bCs w:val="1"/>
                <w:color w:val="004E7D"/>
              </w:rPr>
              <w:t>Name</w:t>
            </w:r>
          </w:p>
        </w:tc>
        <w:tc>
          <w:tcPr>
            <w:tcW w:w="4100" w:type="dxa"/>
            <w:vAlign w:val="bottom"/>
            <w:tcBorders>
              <w:bottom w:val="single" w:sz="8" w:color="004987"/>
            </w:tcBorders>
          </w:tcPr>
          <w:p>
            <w:pPr>
              <w:ind w:left="2400"/>
              <w:spacing w:after="0"/>
              <w:rPr>
                <w:sz w:val="20"/>
                <w:szCs w:val="20"/>
                <w:color w:val="auto"/>
              </w:rPr>
            </w:pPr>
            <w:r>
              <w:rPr>
                <w:rFonts w:ascii="Arial" w:cs="Arial" w:eastAsia="Arial" w:hAnsi="Arial"/>
                <w:sz w:val="14"/>
                <w:szCs w:val="14"/>
                <w:b w:val="1"/>
                <w:bCs w:val="1"/>
                <w:color w:val="004E7D"/>
              </w:rPr>
              <w:t>2022 Base Salary</w:t>
            </w:r>
          </w:p>
        </w:tc>
        <w:tc>
          <w:tcPr>
            <w:tcW w:w="2200" w:type="dxa"/>
            <w:vAlign w:val="bottom"/>
            <w:tcBorders>
              <w:bottom w:val="single" w:sz="8" w:color="004987"/>
            </w:tcBorders>
          </w:tcPr>
          <w:p>
            <w:pPr>
              <w:ind w:left="540"/>
              <w:spacing w:after="0"/>
              <w:rPr>
                <w:sz w:val="20"/>
                <w:szCs w:val="20"/>
                <w:color w:val="auto"/>
              </w:rPr>
            </w:pPr>
            <w:r>
              <w:rPr>
                <w:rFonts w:ascii="Arial" w:cs="Arial" w:eastAsia="Arial" w:hAnsi="Arial"/>
                <w:sz w:val="14"/>
                <w:szCs w:val="14"/>
                <w:b w:val="1"/>
                <w:bCs w:val="1"/>
                <w:color w:val="004E7D"/>
              </w:rPr>
              <w:t>2021 Base Salary</w:t>
            </w:r>
          </w:p>
        </w:tc>
        <w:tc>
          <w:tcPr>
            <w:tcW w:w="1660" w:type="dxa"/>
            <w:vAlign w:val="bottom"/>
            <w:tcBorders>
              <w:bottom w:val="single" w:sz="8" w:color="004987"/>
            </w:tcBorders>
          </w:tcPr>
          <w:p>
            <w:pPr>
              <w:jc w:val="center"/>
              <w:ind w:left="321"/>
              <w:spacing w:after="0"/>
              <w:rPr>
                <w:sz w:val="20"/>
                <w:szCs w:val="20"/>
                <w:color w:val="auto"/>
              </w:rPr>
            </w:pPr>
            <w:r>
              <w:rPr>
                <w:rFonts w:ascii="Arial" w:cs="Arial" w:eastAsia="Arial" w:hAnsi="Arial"/>
                <w:sz w:val="14"/>
                <w:szCs w:val="14"/>
                <w:b w:val="1"/>
                <w:bCs w:val="1"/>
                <w:color w:val="004E7D"/>
              </w:rPr>
              <w:t>Percent Change</w:t>
            </w:r>
          </w:p>
        </w:tc>
      </w:tr>
      <w:tr>
        <w:trPr>
          <w:trHeight w:val="21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Weisz</w:t>
            </w:r>
          </w:p>
        </w:tc>
        <w:tc>
          <w:tcPr>
            <w:tcW w:w="4100" w:type="dxa"/>
            <w:vAlign w:val="bottom"/>
            <w:tcBorders>
              <w:bottom w:val="single" w:sz="8" w:color="auto"/>
            </w:tcBorders>
          </w:tcPr>
          <w:p>
            <w:pPr>
              <w:jc w:val="center"/>
              <w:ind w:left="1801"/>
              <w:spacing w:after="0"/>
              <w:rPr>
                <w:sz w:val="20"/>
                <w:szCs w:val="20"/>
                <w:color w:val="auto"/>
              </w:rPr>
            </w:pPr>
            <w:r>
              <w:rPr>
                <w:rFonts w:ascii="Arial" w:cs="Arial" w:eastAsia="Arial" w:hAnsi="Arial"/>
                <w:sz w:val="16"/>
                <w:szCs w:val="16"/>
                <w:color w:val="auto"/>
              </w:rPr>
              <w:t>$1,030,000</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$1,000,000</w:t>
            </w:r>
          </w:p>
        </w:tc>
        <w:tc>
          <w:tcPr>
            <w:tcW w:w="166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3.00%</w:t>
            </w:r>
          </w:p>
        </w:tc>
      </w:tr>
      <w:tr>
        <w:trPr>
          <w:trHeight w:val="20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Geller</w:t>
            </w:r>
          </w:p>
        </w:tc>
        <w:tc>
          <w:tcPr>
            <w:tcW w:w="4100" w:type="dxa"/>
            <w:vAlign w:val="bottom"/>
            <w:tcBorders>
              <w:bottom w:val="single" w:sz="8" w:color="auto"/>
            </w:tcBorders>
          </w:tcPr>
          <w:p>
            <w:pPr>
              <w:jc w:val="center"/>
              <w:ind w:left="1781"/>
              <w:spacing w:after="0"/>
              <w:rPr>
                <w:sz w:val="20"/>
                <w:szCs w:val="20"/>
                <w:color w:val="auto"/>
              </w:rPr>
            </w:pPr>
            <w:r>
              <w:rPr>
                <w:rFonts w:ascii="Arial" w:cs="Arial" w:eastAsia="Arial" w:hAnsi="Arial"/>
                <w:sz w:val="16"/>
                <w:szCs w:val="16"/>
                <w:color w:val="auto"/>
              </w:rPr>
              <w:t>$695,500</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$675,000</w:t>
            </w:r>
          </w:p>
        </w:tc>
        <w:tc>
          <w:tcPr>
            <w:tcW w:w="166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3.04%</w:t>
            </w:r>
          </w:p>
        </w:tc>
      </w:tr>
      <w:tr>
        <w:trPr>
          <w:trHeight w:val="210"/>
        </w:trPr>
        <w:tc>
          <w:tcPr>
            <w:tcW w:w="328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Mr. Terry</w:t>
            </w:r>
            <w:r>
              <w:rPr>
                <w:rFonts w:ascii="Arial" w:cs="Arial" w:eastAsia="Arial" w:hAnsi="Arial"/>
                <w:sz w:val="21"/>
                <w:szCs w:val="21"/>
                <w:color w:val="auto"/>
                <w:vertAlign w:val="superscript"/>
              </w:rPr>
              <w:t>1</w:t>
            </w:r>
          </w:p>
        </w:tc>
        <w:tc>
          <w:tcPr>
            <w:tcW w:w="4100" w:type="dxa"/>
            <w:vAlign w:val="bottom"/>
            <w:tcBorders>
              <w:bottom w:val="single" w:sz="8" w:color="auto"/>
            </w:tcBorders>
          </w:tcPr>
          <w:p>
            <w:pPr>
              <w:jc w:val="center"/>
              <w:ind w:left="1781"/>
              <w:spacing w:after="0"/>
              <w:rPr>
                <w:sz w:val="20"/>
                <w:szCs w:val="20"/>
                <w:color w:val="auto"/>
              </w:rPr>
            </w:pPr>
            <w:r>
              <w:rPr>
                <w:rFonts w:ascii="Arial" w:cs="Arial" w:eastAsia="Arial" w:hAnsi="Arial"/>
                <w:sz w:val="16"/>
                <w:szCs w:val="16"/>
                <w:color w:val="auto"/>
              </w:rPr>
              <w:t>$475,000</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$475,000</w:t>
            </w:r>
          </w:p>
        </w:tc>
        <w:tc>
          <w:tcPr>
            <w:tcW w:w="166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0.00%</w:t>
            </w:r>
          </w:p>
        </w:tc>
      </w:tr>
      <w:tr>
        <w:trPr>
          <w:trHeight w:val="20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Miller</w:t>
            </w:r>
          </w:p>
        </w:tc>
        <w:tc>
          <w:tcPr>
            <w:tcW w:w="4100" w:type="dxa"/>
            <w:vAlign w:val="bottom"/>
            <w:tcBorders>
              <w:bottom w:val="single" w:sz="8" w:color="auto"/>
            </w:tcBorders>
          </w:tcPr>
          <w:p>
            <w:pPr>
              <w:jc w:val="center"/>
              <w:ind w:left="1781"/>
              <w:spacing w:after="0"/>
              <w:rPr>
                <w:sz w:val="20"/>
                <w:szCs w:val="20"/>
                <w:color w:val="auto"/>
              </w:rPr>
            </w:pPr>
            <w:r>
              <w:rPr>
                <w:rFonts w:ascii="Arial" w:cs="Arial" w:eastAsia="Arial" w:hAnsi="Arial"/>
                <w:sz w:val="16"/>
                <w:szCs w:val="16"/>
                <w:color w:val="auto"/>
              </w:rPr>
              <w:t>$793,000</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$770,000</w:t>
            </w:r>
          </w:p>
        </w:tc>
        <w:tc>
          <w:tcPr>
            <w:tcW w:w="166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2.99%</w:t>
            </w:r>
          </w:p>
        </w:tc>
      </w:tr>
      <w:tr>
        <w:trPr>
          <w:trHeight w:val="209"/>
        </w:trPr>
        <w:tc>
          <w:tcPr>
            <w:tcW w:w="328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Ms. Marbert</w:t>
            </w:r>
          </w:p>
        </w:tc>
        <w:tc>
          <w:tcPr>
            <w:tcW w:w="4100" w:type="dxa"/>
            <w:vAlign w:val="bottom"/>
            <w:tcBorders>
              <w:bottom w:val="single" w:sz="8" w:color="00497F"/>
            </w:tcBorders>
          </w:tcPr>
          <w:p>
            <w:pPr>
              <w:jc w:val="center"/>
              <w:ind w:left="1781"/>
              <w:spacing w:after="0"/>
              <w:rPr>
                <w:sz w:val="20"/>
                <w:szCs w:val="20"/>
                <w:color w:val="auto"/>
              </w:rPr>
            </w:pPr>
            <w:r>
              <w:rPr>
                <w:rFonts w:ascii="Arial" w:cs="Arial" w:eastAsia="Arial" w:hAnsi="Arial"/>
                <w:sz w:val="16"/>
                <w:szCs w:val="16"/>
                <w:color w:val="auto"/>
              </w:rPr>
              <w:t>$541,000</w:t>
            </w:r>
          </w:p>
        </w:tc>
        <w:tc>
          <w:tcPr>
            <w:tcW w:w="2200" w:type="dxa"/>
            <w:vAlign w:val="bottom"/>
            <w:tcBorders>
              <w:bottom w:val="single" w:sz="8" w:color="00497F"/>
            </w:tcBorders>
          </w:tcPr>
          <w:p>
            <w:pPr>
              <w:jc w:val="center"/>
              <w:spacing w:after="0"/>
              <w:rPr>
                <w:sz w:val="20"/>
                <w:szCs w:val="20"/>
                <w:color w:val="auto"/>
              </w:rPr>
            </w:pPr>
            <w:r>
              <w:rPr>
                <w:rFonts w:ascii="Arial" w:cs="Arial" w:eastAsia="Arial" w:hAnsi="Arial"/>
                <w:sz w:val="16"/>
                <w:szCs w:val="16"/>
                <w:color w:val="auto"/>
              </w:rPr>
              <w:t>$525,000</w:t>
            </w:r>
          </w:p>
        </w:tc>
        <w:tc>
          <w:tcPr>
            <w:tcW w:w="1660" w:type="dxa"/>
            <w:vAlign w:val="bottom"/>
            <w:tcBorders>
              <w:bottom w:val="single" w:sz="8" w:color="00497F"/>
            </w:tcBorders>
          </w:tcPr>
          <w:p>
            <w:pPr>
              <w:jc w:val="center"/>
              <w:ind w:left="321"/>
              <w:spacing w:after="0"/>
              <w:rPr>
                <w:sz w:val="20"/>
                <w:szCs w:val="20"/>
                <w:color w:val="auto"/>
              </w:rPr>
            </w:pPr>
            <w:r>
              <w:rPr>
                <w:rFonts w:ascii="Arial" w:cs="Arial" w:eastAsia="Arial" w:hAnsi="Arial"/>
                <w:sz w:val="16"/>
                <w:szCs w:val="16"/>
                <w:color w:val="auto"/>
              </w:rPr>
              <w:t>3.05%</w:t>
            </w:r>
          </w:p>
        </w:tc>
      </w:tr>
    </w:tbl>
    <w:p>
      <w:pPr>
        <w:spacing w:after="0" w:line="188" w:lineRule="exact"/>
        <w:rPr>
          <w:sz w:val="20"/>
          <w:szCs w:val="20"/>
          <w:color w:val="auto"/>
        </w:rPr>
      </w:pPr>
    </w:p>
    <w:p>
      <w:pPr>
        <w:ind w:left="340" w:right="500" w:hanging="170"/>
        <w:spacing w:after="0" w:line="227" w:lineRule="auto"/>
        <w:tabs>
          <w:tab w:leader="none" w:pos="331"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Mr. Terry was promoted to Executive Vice President and Chief Financial Officer effective October 16, 2021 and received a base salary increase of 38.26%, which approximated the 25th percentile of the peer group. He did not receive an additional base salary increase in 2022.</w:t>
      </w:r>
    </w:p>
    <w:p>
      <w:pPr>
        <w:spacing w:after="0" w:line="9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determining whether to make adjustments to base salaries, the CPC considered market data, as well as internal factors, experience, time in position and internal pay equity, and subjective factors such as individual performance and future potential. No specific weightings were assigned to the factors considered. The CPC expects to review base salaries for the named executive officers annually to determine whether base salary levels are commensurate with the officers’ responsibilities and the competitive market.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Bonuses and Incentives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Annual Bonuses</w:t>
      </w:r>
    </w:p>
    <w:p>
      <w:pPr>
        <w:spacing w:after="0" w:line="11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For 2022, the named executive officers were eligible to participate in the Bonus Plan, which was intended to reward executives for achievement of pre-established financial and associate engagement objectives tied to 2022 performance. The potential and actual awards under the Bonus Plan are reported in the Grants of Plan-Based Awards for Fiscal Year 2022 table and Summary Compensation Table,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CPC approved the following target awards as a percentage of base salary for the named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Borders>
              <w:bottom w:val="single" w:sz="8" w:color="004987"/>
            </w:tcBorders>
          </w:tcPr>
          <w:p>
            <w:pPr>
              <w:ind w:left="20"/>
              <w:spacing w:after="0"/>
              <w:rPr>
                <w:sz w:val="20"/>
                <w:szCs w:val="20"/>
                <w:color w:val="auto"/>
              </w:rPr>
            </w:pPr>
            <w:r>
              <w:rPr>
                <w:rFonts w:ascii="Arial" w:cs="Arial" w:eastAsia="Arial" w:hAnsi="Arial"/>
                <w:sz w:val="14"/>
                <w:szCs w:val="14"/>
                <w:b w:val="1"/>
                <w:bCs w:val="1"/>
                <w:color w:val="004E7D"/>
              </w:rPr>
              <w:t>Name</w:t>
            </w:r>
          </w:p>
        </w:tc>
        <w:tc>
          <w:tcPr>
            <w:tcW w:w="3980" w:type="dxa"/>
            <w:vAlign w:val="bottom"/>
            <w:tcBorders>
              <w:bottom w:val="single" w:sz="8" w:color="004987"/>
            </w:tcBorders>
          </w:tcPr>
          <w:p>
            <w:pPr>
              <w:jc w:val="center"/>
              <w:ind w:left="1861"/>
              <w:spacing w:after="0"/>
              <w:rPr>
                <w:sz w:val="20"/>
                <w:szCs w:val="20"/>
                <w:color w:val="auto"/>
              </w:rPr>
            </w:pPr>
            <w:r>
              <w:rPr>
                <w:rFonts w:ascii="Arial" w:cs="Arial" w:eastAsia="Arial" w:hAnsi="Arial"/>
                <w:sz w:val="14"/>
                <w:szCs w:val="14"/>
                <w:b w:val="1"/>
                <w:bCs w:val="1"/>
                <w:color w:val="004E7D"/>
              </w:rPr>
              <w:t>2022 Target</w:t>
            </w:r>
          </w:p>
        </w:tc>
        <w:tc>
          <w:tcPr>
            <w:tcW w:w="1940" w:type="dxa"/>
            <w:vAlign w:val="bottom"/>
            <w:tcBorders>
              <w:bottom w:val="single" w:sz="8" w:color="004987"/>
            </w:tcBorders>
          </w:tcPr>
          <w:p>
            <w:pPr>
              <w:ind w:left="620"/>
              <w:spacing w:after="0"/>
              <w:rPr>
                <w:sz w:val="20"/>
                <w:szCs w:val="20"/>
                <w:color w:val="auto"/>
              </w:rPr>
            </w:pPr>
            <w:r>
              <w:rPr>
                <w:rFonts w:ascii="Arial" w:cs="Arial" w:eastAsia="Arial" w:hAnsi="Arial"/>
                <w:sz w:val="14"/>
                <w:szCs w:val="14"/>
                <w:b w:val="1"/>
                <w:bCs w:val="1"/>
                <w:color w:val="004E7D"/>
              </w:rPr>
              <w:t>2021 Target</w:t>
            </w:r>
          </w:p>
        </w:tc>
        <w:tc>
          <w:tcPr>
            <w:tcW w:w="1720" w:type="dxa"/>
            <w:vAlign w:val="bottom"/>
            <w:tcBorders>
              <w:bottom w:val="single" w:sz="8" w:color="004987"/>
            </w:tcBorders>
          </w:tcPr>
          <w:p>
            <w:pPr>
              <w:ind w:left="540"/>
              <w:spacing w:after="0"/>
              <w:rPr>
                <w:sz w:val="20"/>
                <w:szCs w:val="20"/>
                <w:color w:val="auto"/>
              </w:rPr>
            </w:pPr>
            <w:r>
              <w:rPr>
                <w:rFonts w:ascii="Arial" w:cs="Arial" w:eastAsia="Arial" w:hAnsi="Arial"/>
                <w:sz w:val="14"/>
                <w:szCs w:val="14"/>
                <w:b w:val="1"/>
                <w:bCs w:val="1"/>
                <w:color w:val="004E7D"/>
              </w:rPr>
              <w:t>Percent Change</w:t>
            </w:r>
          </w:p>
        </w:tc>
      </w:tr>
      <w:tr>
        <w:trPr>
          <w:trHeight w:val="215"/>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Weisz</w:t>
            </w:r>
          </w:p>
        </w:tc>
        <w:tc>
          <w:tcPr>
            <w:tcW w:w="3980" w:type="dxa"/>
            <w:vAlign w:val="bottom"/>
            <w:tcBorders>
              <w:bottom w:val="single" w:sz="8" w:color="auto"/>
            </w:tcBorders>
          </w:tcPr>
          <w:p>
            <w:pPr>
              <w:jc w:val="center"/>
              <w:ind w:left="1861"/>
              <w:spacing w:after="0"/>
              <w:rPr>
                <w:sz w:val="20"/>
                <w:szCs w:val="20"/>
                <w:color w:val="auto"/>
              </w:rPr>
            </w:pPr>
            <w:r>
              <w:rPr>
                <w:rFonts w:ascii="Arial" w:cs="Arial" w:eastAsia="Arial" w:hAnsi="Arial"/>
                <w:sz w:val="16"/>
                <w:szCs w:val="16"/>
                <w:color w:val="auto"/>
                <w:w w:val="97"/>
              </w:rPr>
              <w:t>150%</w:t>
            </w:r>
          </w:p>
        </w:tc>
        <w:tc>
          <w:tcPr>
            <w:tcW w:w="19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150%</w:t>
            </w:r>
          </w:p>
        </w:tc>
        <w:tc>
          <w:tcPr>
            <w:tcW w:w="172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4"/>
              </w:rPr>
              <w:t>0%</w:t>
            </w:r>
          </w:p>
        </w:tc>
      </w:tr>
      <w:tr>
        <w:trPr>
          <w:trHeight w:val="20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Geller</w:t>
            </w:r>
          </w:p>
        </w:tc>
        <w:tc>
          <w:tcPr>
            <w:tcW w:w="3980" w:type="dxa"/>
            <w:vAlign w:val="bottom"/>
            <w:tcBorders>
              <w:bottom w:val="single" w:sz="8" w:color="auto"/>
            </w:tcBorders>
          </w:tcPr>
          <w:p>
            <w:pPr>
              <w:jc w:val="center"/>
              <w:ind w:left="1861"/>
              <w:spacing w:after="0"/>
              <w:rPr>
                <w:sz w:val="20"/>
                <w:szCs w:val="20"/>
                <w:color w:val="auto"/>
              </w:rPr>
            </w:pPr>
            <w:r>
              <w:rPr>
                <w:rFonts w:ascii="Arial" w:cs="Arial" w:eastAsia="Arial" w:hAnsi="Arial"/>
                <w:sz w:val="16"/>
                <w:szCs w:val="16"/>
                <w:color w:val="auto"/>
                <w:w w:val="97"/>
              </w:rPr>
              <w:t>125%</w:t>
            </w:r>
          </w:p>
        </w:tc>
        <w:tc>
          <w:tcPr>
            <w:tcW w:w="19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100%</w:t>
            </w:r>
          </w:p>
        </w:tc>
        <w:tc>
          <w:tcPr>
            <w:tcW w:w="172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rPr>
              <w:t>25%</w:t>
            </w:r>
          </w:p>
        </w:tc>
      </w:tr>
      <w:tr>
        <w:trPr>
          <w:trHeight w:val="21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Terry</w:t>
            </w:r>
          </w:p>
        </w:tc>
        <w:tc>
          <w:tcPr>
            <w:tcW w:w="3980" w:type="dxa"/>
            <w:vAlign w:val="bottom"/>
            <w:tcBorders>
              <w:bottom w:val="single" w:sz="8" w:color="auto"/>
            </w:tcBorders>
          </w:tcPr>
          <w:p>
            <w:pPr>
              <w:jc w:val="center"/>
              <w:ind w:left="1861"/>
              <w:spacing w:after="0"/>
              <w:rPr>
                <w:sz w:val="20"/>
                <w:szCs w:val="20"/>
                <w:color w:val="auto"/>
              </w:rPr>
            </w:pPr>
            <w:r>
              <w:rPr>
                <w:rFonts w:ascii="Arial" w:cs="Arial" w:eastAsia="Arial" w:hAnsi="Arial"/>
                <w:sz w:val="16"/>
                <w:szCs w:val="16"/>
                <w:color w:val="auto"/>
                <w:w w:val="97"/>
              </w:rPr>
              <w:t>100%</w:t>
            </w:r>
          </w:p>
        </w:tc>
        <w:tc>
          <w:tcPr>
            <w:tcW w:w="19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100%</w:t>
            </w:r>
          </w:p>
        </w:tc>
        <w:tc>
          <w:tcPr>
            <w:tcW w:w="172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4"/>
              </w:rPr>
              <w:t>0%</w:t>
            </w:r>
          </w:p>
        </w:tc>
      </w:tr>
      <w:tr>
        <w:trPr>
          <w:trHeight w:val="21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Miller</w:t>
            </w:r>
          </w:p>
        </w:tc>
        <w:tc>
          <w:tcPr>
            <w:tcW w:w="3980" w:type="dxa"/>
            <w:vAlign w:val="bottom"/>
            <w:tcBorders>
              <w:bottom w:val="single" w:sz="8" w:color="auto"/>
            </w:tcBorders>
          </w:tcPr>
          <w:p>
            <w:pPr>
              <w:jc w:val="center"/>
              <w:ind w:left="1861"/>
              <w:spacing w:after="0"/>
              <w:rPr>
                <w:sz w:val="20"/>
                <w:szCs w:val="20"/>
                <w:color w:val="auto"/>
              </w:rPr>
            </w:pPr>
            <w:r>
              <w:rPr>
                <w:rFonts w:ascii="Arial" w:cs="Arial" w:eastAsia="Arial" w:hAnsi="Arial"/>
                <w:sz w:val="16"/>
                <w:szCs w:val="16"/>
                <w:color w:val="auto"/>
                <w:w w:val="97"/>
              </w:rPr>
              <w:t>100%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90%</w:t>
            </w:r>
          </w:p>
        </w:tc>
        <w:tc>
          <w:tcPr>
            <w:tcW w:w="172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3"/>
              </w:rPr>
              <w:t>11%</w:t>
            </w:r>
          </w:p>
        </w:tc>
      </w:tr>
      <w:tr>
        <w:trPr>
          <w:trHeight w:val="209"/>
        </w:trPr>
        <w:tc>
          <w:tcPr>
            <w:tcW w:w="344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Ms. Marbert</w:t>
            </w:r>
          </w:p>
        </w:tc>
        <w:tc>
          <w:tcPr>
            <w:tcW w:w="3980" w:type="dxa"/>
            <w:vAlign w:val="bottom"/>
            <w:tcBorders>
              <w:bottom w:val="single" w:sz="8" w:color="00497F"/>
            </w:tcBorders>
          </w:tcPr>
          <w:p>
            <w:pPr>
              <w:jc w:val="center"/>
              <w:ind w:left="1861"/>
              <w:spacing w:after="0"/>
              <w:rPr>
                <w:sz w:val="20"/>
                <w:szCs w:val="20"/>
                <w:color w:val="auto"/>
              </w:rPr>
            </w:pPr>
            <w:r>
              <w:rPr>
                <w:rFonts w:ascii="Arial" w:cs="Arial" w:eastAsia="Arial" w:hAnsi="Arial"/>
                <w:sz w:val="16"/>
                <w:szCs w:val="16"/>
                <w:color w:val="auto"/>
                <w:w w:val="97"/>
              </w:rPr>
              <w:t>100%</w:t>
            </w:r>
          </w:p>
        </w:tc>
        <w:tc>
          <w:tcPr>
            <w:tcW w:w="1940" w:type="dxa"/>
            <w:vAlign w:val="bottom"/>
            <w:tcBorders>
              <w:bottom w:val="single" w:sz="8" w:color="00497F"/>
            </w:tcBorders>
          </w:tcPr>
          <w:p>
            <w:pPr>
              <w:jc w:val="center"/>
              <w:spacing w:after="0"/>
              <w:rPr>
                <w:sz w:val="20"/>
                <w:szCs w:val="20"/>
                <w:color w:val="auto"/>
              </w:rPr>
            </w:pPr>
            <w:r>
              <w:rPr>
                <w:rFonts w:ascii="Arial" w:cs="Arial" w:eastAsia="Arial" w:hAnsi="Arial"/>
                <w:sz w:val="16"/>
                <w:szCs w:val="16"/>
                <w:color w:val="auto"/>
                <w:w w:val="99"/>
              </w:rPr>
              <w:t>90%</w:t>
            </w:r>
          </w:p>
        </w:tc>
        <w:tc>
          <w:tcPr>
            <w:tcW w:w="1720" w:type="dxa"/>
            <w:vAlign w:val="bottom"/>
            <w:tcBorders>
              <w:bottom w:val="single" w:sz="8" w:color="00497F"/>
            </w:tcBorders>
          </w:tcPr>
          <w:p>
            <w:pPr>
              <w:jc w:val="center"/>
              <w:ind w:left="381"/>
              <w:spacing w:after="0"/>
              <w:rPr>
                <w:sz w:val="20"/>
                <w:szCs w:val="20"/>
                <w:color w:val="auto"/>
              </w:rPr>
            </w:pPr>
            <w:r>
              <w:rPr>
                <w:rFonts w:ascii="Arial" w:cs="Arial" w:eastAsia="Arial" w:hAnsi="Arial"/>
                <w:sz w:val="16"/>
                <w:szCs w:val="16"/>
                <w:color w:val="auto"/>
                <w:w w:val="93"/>
              </w:rPr>
              <w:t>11%</w:t>
            </w:r>
          </w:p>
        </w:tc>
      </w:tr>
    </w:tbl>
    <w:p>
      <w:pPr>
        <w:spacing w:after="0" w:line="24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determining the target award percentage for each named executive officer, as well as in determining the differences in the target award percentages among the named executive officers, the CPC considered market data and internal factors, including pay equity with other officers, differences in responsibilities, and future potential. The target bonus for Ms. Marbert and Mr. Miller was increased to 100% which is the level commensurate with market data regarding the position of divisional president. Mr. Geller’s incentive opportunity was increased by 25% to better align to market data for Presidents. Threshold performance was required in order to pay 25% of such named executive officer’s target award and the maximum award for each named executive officer was 200% of such named executive officer’s target award.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33</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38" w:name="page39"/>
    <w:bookmarkEnd w:id="38"/>
    <w:p>
      <w:pPr>
        <w:jc w:val="both"/>
        <w:ind w:right="20"/>
        <w:spacing w:after="0" w:line="265" w:lineRule="auto"/>
        <w:rPr>
          <w:sz w:val="20"/>
          <w:szCs w:val="20"/>
          <w:color w:val="auto"/>
        </w:rPr>
      </w:pPr>
      <w:r>
        <w:rPr>
          <w:rFonts w:ascii="Arial" w:cs="Arial" w:eastAsia="Arial" w:hAnsi="Arial"/>
          <w:sz w:val="16"/>
          <w:szCs w:val="16"/>
          <w:color w:val="auto"/>
        </w:rPr>
        <w:t>There were two financial objectives tied to the Bonus Plan for 2022: Adjusted EBITDA and Total Revenue. These financial objectives were tied to 90% of the executive officer’s total bonus opportunity, and were weighted at 70% and 20%, respectively. These financial performance measures were selected because they are important indicators of the Company’s profitability and sustainability. Mr. Weisz and Mr. Geller developed the specific performance level percentages for these objectives, which were reviewed and approved by the CPC.</w:t>
      </w:r>
    </w:p>
    <w:p>
      <w:pPr>
        <w:spacing w:after="0" w:line="6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For all named executive officers, Adjusted EBITDA was the most heavily weighted performance criteria because it is reflective of the Company’s operating performance for 2022. “Adjusted EBITDA” means EBITDA for 2022 (as reported in the 2022 Annual Report), excluding the impact of non-cash share-based compensation expense and certain other adjustments (e.g., impairments, transaction costs, gains and losses on the disposal of assets, gains and losses on foreign currency exchange related activity, litigation charges and activity not associated with the Company’s on-going core operations). Adjusted EBITDA includes the impact of interest expense associated with the Company’s debt from the securitization of vacation ownership notes receivable. Adjusted EBITDA is a financial measure that is not prescribed by GAAP. Please refer to Appendix B for the reconciliation of Adjusted EBITDA to net income attributable to common shareholders, which is the most directly comparable GAAP financial measure, as well as our reasons for presenting this measure. The Adjusted EBITDA target was set at $890.0 million, a level we believed to be achievable but not certain to be met.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Adjusted EBITDA Achievement Target</w:t>
            </w:r>
          </w:p>
        </w:tc>
        <w:tc>
          <w:tcPr>
            <w:tcW w:w="5080" w:type="dxa"/>
            <w:vAlign w:val="bottom"/>
          </w:tcPr>
          <w:p>
            <w:pPr>
              <w:jc w:val="center"/>
              <w:ind w:left="3302"/>
              <w:spacing w:after="0"/>
              <w:rPr>
                <w:sz w:val="20"/>
                <w:szCs w:val="20"/>
                <w:color w:val="auto"/>
              </w:rPr>
            </w:pPr>
            <w:r>
              <w:rPr>
                <w:rFonts w:ascii="Arial" w:cs="Arial" w:eastAsia="Arial" w:hAnsi="Arial"/>
                <w:sz w:val="14"/>
                <w:szCs w:val="14"/>
                <w:b w:val="1"/>
                <w:bCs w:val="1"/>
                <w:color w:val="004E7D"/>
              </w:rPr>
              <w:t>Payout as a Percent</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004987"/>
            </w:tcBorders>
            <w:vMerge w:val="continue"/>
          </w:tcPr>
          <w:p>
            <w:pPr>
              <w:spacing w:after="0"/>
              <w:rPr>
                <w:sz w:val="16"/>
                <w:szCs w:val="16"/>
                <w:color w:val="auto"/>
              </w:rPr>
            </w:pPr>
          </w:p>
        </w:tc>
        <w:tc>
          <w:tcPr>
            <w:tcW w:w="5080" w:type="dxa"/>
            <w:vAlign w:val="bottom"/>
            <w:tcBorders>
              <w:bottom w:val="single" w:sz="8" w:color="004987"/>
            </w:tcBorders>
          </w:tcPr>
          <w:p>
            <w:pPr>
              <w:jc w:val="center"/>
              <w:ind w:left="3302"/>
              <w:spacing w:after="0"/>
              <w:rPr>
                <w:sz w:val="20"/>
                <w:szCs w:val="20"/>
                <w:color w:val="auto"/>
              </w:rPr>
            </w:pPr>
            <w:r>
              <w:rPr>
                <w:rFonts w:ascii="Arial" w:cs="Arial" w:eastAsia="Arial" w:hAnsi="Arial"/>
                <w:sz w:val="14"/>
                <w:szCs w:val="14"/>
                <w:b w:val="1"/>
                <w:bCs w:val="1"/>
                <w:color w:val="004E7D"/>
              </w:rPr>
              <w:t>of Target</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than $828.0 million</w:t>
            </w:r>
          </w:p>
        </w:tc>
        <w:tc>
          <w:tcPr>
            <w:tcW w:w="5080" w:type="dxa"/>
            <w:vAlign w:val="bottom"/>
            <w:tcBorders>
              <w:bottom w:val="single" w:sz="8" w:color="auto"/>
            </w:tcBorders>
          </w:tcPr>
          <w:p>
            <w:pPr>
              <w:jc w:val="center"/>
              <w:ind w:left="3302"/>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$828.0 million</w:t>
            </w:r>
          </w:p>
        </w:tc>
        <w:tc>
          <w:tcPr>
            <w:tcW w:w="5080" w:type="dxa"/>
            <w:vAlign w:val="bottom"/>
            <w:tcBorders>
              <w:bottom w:val="single" w:sz="8" w:color="auto"/>
            </w:tcBorders>
          </w:tcPr>
          <w:p>
            <w:pPr>
              <w:jc w:val="center"/>
              <w:ind w:left="330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$890.0 million</w:t>
            </w:r>
          </w:p>
        </w:tc>
        <w:tc>
          <w:tcPr>
            <w:tcW w:w="5080" w:type="dxa"/>
            <w:vAlign w:val="bottom"/>
            <w:tcBorders>
              <w:bottom w:val="single" w:sz="8" w:color="auto"/>
            </w:tcBorders>
          </w:tcPr>
          <w:p>
            <w:pPr>
              <w:jc w:val="center"/>
              <w:ind w:left="330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004987"/>
            </w:tcBorders>
          </w:tcPr>
          <w:p>
            <w:pPr>
              <w:ind w:left="20"/>
              <w:spacing w:after="0"/>
              <w:rPr>
                <w:sz w:val="20"/>
                <w:szCs w:val="20"/>
                <w:color w:val="auto"/>
              </w:rPr>
            </w:pPr>
            <w:r>
              <w:rPr>
                <w:rFonts w:ascii="Arial" w:cs="Arial" w:eastAsia="Arial" w:hAnsi="Arial"/>
                <w:sz w:val="16"/>
                <w:szCs w:val="16"/>
                <w:color w:val="auto"/>
              </w:rPr>
              <w:t>$952.0 million or more</w:t>
            </w:r>
          </w:p>
        </w:tc>
        <w:tc>
          <w:tcPr>
            <w:tcW w:w="5080" w:type="dxa"/>
            <w:vAlign w:val="bottom"/>
            <w:tcBorders>
              <w:bottom w:val="single" w:sz="8" w:color="004987"/>
            </w:tcBorders>
          </w:tcPr>
          <w:p>
            <w:pPr>
              <w:jc w:val="center"/>
              <w:ind w:left="3302"/>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For purposes of the Bonus Plan, “Total Revenue” means total revenue for 2022, excluding cost reimbursement revenues (as reported in the 2022 Annual Report). The Total Revenue target was set at $3,314.0 million, a level we believed to be achievable but not certain to be met. For 2022, the named executive officers were eligible to receive the portion of the bonus attributable to Total Revenue based on the following achievement levels: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Total Revenue Achievement Target</w:t>
            </w:r>
          </w:p>
        </w:tc>
        <w:tc>
          <w:tcPr>
            <w:tcW w:w="5180" w:type="dxa"/>
            <w:vAlign w:val="bottom"/>
          </w:tcPr>
          <w:p>
            <w:pPr>
              <w:jc w:val="center"/>
              <w:ind w:left="3402"/>
              <w:spacing w:after="0"/>
              <w:rPr>
                <w:sz w:val="20"/>
                <w:szCs w:val="20"/>
                <w:color w:val="auto"/>
              </w:rPr>
            </w:pPr>
            <w:r>
              <w:rPr>
                <w:rFonts w:ascii="Arial" w:cs="Arial" w:eastAsia="Arial" w:hAnsi="Arial"/>
                <w:sz w:val="14"/>
                <w:szCs w:val="14"/>
                <w:b w:val="1"/>
                <w:bCs w:val="1"/>
                <w:color w:val="004E7D"/>
              </w:rPr>
              <w:t>Payout as a Percent</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004987"/>
            </w:tcBorders>
            <w:vMerge w:val="continue"/>
          </w:tcPr>
          <w:p>
            <w:pPr>
              <w:spacing w:after="0"/>
              <w:rPr>
                <w:sz w:val="16"/>
                <w:szCs w:val="16"/>
                <w:color w:val="auto"/>
              </w:rPr>
            </w:pPr>
          </w:p>
        </w:tc>
        <w:tc>
          <w:tcPr>
            <w:tcW w:w="5180" w:type="dxa"/>
            <w:vAlign w:val="bottom"/>
            <w:tcBorders>
              <w:bottom w:val="single" w:sz="8" w:color="004987"/>
            </w:tcBorders>
          </w:tcPr>
          <w:p>
            <w:pPr>
              <w:jc w:val="center"/>
              <w:ind w:left="3402"/>
              <w:spacing w:after="0"/>
              <w:rPr>
                <w:sz w:val="20"/>
                <w:szCs w:val="20"/>
                <w:color w:val="auto"/>
              </w:rPr>
            </w:pPr>
            <w:r>
              <w:rPr>
                <w:rFonts w:ascii="Arial" w:cs="Arial" w:eastAsia="Arial" w:hAnsi="Arial"/>
                <w:sz w:val="14"/>
                <w:szCs w:val="14"/>
                <w:b w:val="1"/>
                <w:bCs w:val="1"/>
                <w:color w:val="004E7D"/>
              </w:rPr>
              <w:t>of Target</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than $3,182.0 million</w:t>
            </w:r>
          </w:p>
        </w:tc>
        <w:tc>
          <w:tcPr>
            <w:tcW w:w="5180" w:type="dxa"/>
            <w:vAlign w:val="bottom"/>
            <w:tcBorders>
              <w:bottom w:val="single" w:sz="8" w:color="auto"/>
            </w:tcBorders>
          </w:tcPr>
          <w:p>
            <w:pPr>
              <w:jc w:val="center"/>
              <w:ind w:left="3402"/>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$3,182.0 million</w:t>
            </w:r>
          </w:p>
        </w:tc>
        <w:tc>
          <w:tcPr>
            <w:tcW w:w="5180" w:type="dxa"/>
            <w:vAlign w:val="bottom"/>
            <w:tcBorders>
              <w:bottom w:val="single" w:sz="8" w:color="auto"/>
            </w:tcBorders>
          </w:tcPr>
          <w:p>
            <w:pPr>
              <w:jc w:val="center"/>
              <w:ind w:left="340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$3,314.0 million</w:t>
            </w:r>
          </w:p>
        </w:tc>
        <w:tc>
          <w:tcPr>
            <w:tcW w:w="5180" w:type="dxa"/>
            <w:vAlign w:val="bottom"/>
            <w:tcBorders>
              <w:bottom w:val="single" w:sz="8" w:color="auto"/>
            </w:tcBorders>
          </w:tcPr>
          <w:p>
            <w:pPr>
              <w:jc w:val="center"/>
              <w:ind w:left="340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004987"/>
            </w:tcBorders>
          </w:tcPr>
          <w:p>
            <w:pPr>
              <w:ind w:left="20"/>
              <w:spacing w:after="0"/>
              <w:rPr>
                <w:sz w:val="20"/>
                <w:szCs w:val="20"/>
                <w:color w:val="auto"/>
              </w:rPr>
            </w:pPr>
            <w:r>
              <w:rPr>
                <w:rFonts w:ascii="Arial" w:cs="Arial" w:eastAsia="Arial" w:hAnsi="Arial"/>
                <w:sz w:val="16"/>
                <w:szCs w:val="16"/>
                <w:color w:val="auto"/>
              </w:rPr>
              <w:t>$3,447.0 million or more</w:t>
            </w:r>
          </w:p>
        </w:tc>
        <w:tc>
          <w:tcPr>
            <w:tcW w:w="5180" w:type="dxa"/>
            <w:vAlign w:val="bottom"/>
            <w:tcBorders>
              <w:bottom w:val="single" w:sz="8" w:color="004987"/>
            </w:tcBorders>
          </w:tcPr>
          <w:p>
            <w:pPr>
              <w:jc w:val="center"/>
              <w:ind w:left="3402"/>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each of the financial measures, achievement falling between two of the stated performance achievement levels resulted in the payment for that portion of the bonus being interpolated between the corresponding bonus levels, except that there is no interpolation between 0% and 25%. Accordingly, there is no payout if achievement is below the threshold level of achievement of 25%.</w:t>
      </w:r>
    </w:p>
    <w:p>
      <w:pPr>
        <w:spacing w:after="0" w:line="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addition to the financial performance measures, the Bonus Plan for the named executive officers included performance measures based on associate engagement, weighted 10% of the total bonus opportunity. This performance measure was approved by the CPC and subsequently evaluated objectively, and, like Adjusted EBITDA and Total Revenue targets, is intended to establish high standards, consistent with our quality goals, which we believed were achievable but not certain to be met. “Associate Engagement” is represented by the assessment of our associate engagement for the entire company. We believe that this performance measure is an important contributor to achieving success within our industry. Payout under this performance measure can be zero or at threshold, target or maximum award levels or, in most cases, interpolated between award levels. However, there is no interpolation between zero and threshold.</w:t>
      </w:r>
    </w:p>
    <w:p>
      <w:pPr>
        <w:spacing w:after="0" w:line="8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Adjusted EBITDA was adjusted by the CPC for short-term incentive purposes (i.e., annual management bonus purposes). The CPC reviewed certain items that impacted Adjusted EBITDA in 2022, as defined previously, that were not considered when setting the performance targets. For purposes of the 2022 annual bonus, the CPC modified the achievement level of the Adjusted EBITDA goal favorably for forecasted profit related to its VRI Americas business (Vacation Resorts International and Trading Places International businesses) and a hotel in Puerto Vallarta, Mexico, both of which were sold in 2022 and more fully discussed in the 2022 Annual Report (the “disposed businesses”), and the estimated impacts of hurricanes. These adjustments increased the achievement level of the Adjusted EBITDA goal by approximately $13 million. This addition was more than offset by an adjustment to remove the impact of aligning the Company’s business practices and contract terms for the sale of its Marriott-branded vacation ownership interests, which resulted in the acceleration of revenue recognition and the alignment of the Company’s reserve methodology across its Marriott, Westin, and Sheraton brands, which together resulted in a $51 million favorable impact in 2022 on Adjusted EBITDA (the “Alignment”). As it relates to the estimated impacts of hurricanes, if the Company subsequently receives business interruption proceeds, the Company will adjust the achievement level of its 2023 Adjusted EBITDA goal to remove the impact of this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34</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color w:val="004E7D"/>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80" w:type="dxa"/>
            <w:vAlign w:val="bottom"/>
            <w:tcBorders>
              <w:top w:val="single" w:sz="8" w:color="004987"/>
            </w:tcBorders>
          </w:tcPr>
          <w:p>
            <w:pPr>
              <w:ind w:left="20"/>
              <w:spacing w:after="0"/>
              <w:rPr>
                <w:sz w:val="20"/>
                <w:szCs w:val="20"/>
                <w:color w:val="auto"/>
              </w:rPr>
            </w:pPr>
            <w:r>
              <w:rPr>
                <w:rFonts w:ascii="Arial" w:cs="Arial" w:eastAsia="Arial" w:hAnsi="Arial"/>
                <w:sz w:val="16"/>
                <w:szCs w:val="16"/>
                <w:color w:val="auto"/>
              </w:rPr>
              <w:t>Adjusted EBITDA</w:t>
            </w:r>
          </w:p>
        </w:tc>
        <w:tc>
          <w:tcPr>
            <w:tcW w:w="3320" w:type="dxa"/>
            <w:vAlign w:val="bottom"/>
            <w:tcBorders>
              <w:top w:val="single" w:sz="8" w:color="004987"/>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004987"/>
            </w:tcBorders>
          </w:tcPr>
          <w:p>
            <w:pPr>
              <w:jc w:val="right"/>
              <w:ind w:right="819"/>
              <w:spacing w:after="0"/>
              <w:rPr>
                <w:sz w:val="20"/>
                <w:szCs w:val="20"/>
                <w:color w:val="auto"/>
              </w:rPr>
            </w:pPr>
            <w:r>
              <w:rPr>
                <w:rFonts w:ascii="Arial" w:cs="Arial" w:eastAsia="Arial" w:hAnsi="Arial"/>
                <w:sz w:val="16"/>
                <w:szCs w:val="16"/>
                <w:color w:val="auto"/>
              </w:rPr>
              <w:t>966</w:t>
            </w: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Alignment</w:t>
            </w:r>
          </w:p>
        </w:tc>
        <w:tc>
          <w:tcPr>
            <w:tcW w:w="3320" w:type="dxa"/>
            <w:vAlign w:val="bottom"/>
          </w:tcPr>
          <w:p>
            <w:pPr>
              <w:spacing w:after="0"/>
              <w:rPr>
                <w:sz w:val="18"/>
                <w:szCs w:val="18"/>
                <w:color w:val="auto"/>
              </w:rPr>
            </w:pPr>
          </w:p>
        </w:tc>
        <w:tc>
          <w:tcPr>
            <w:tcW w:w="1380" w:type="dxa"/>
            <w:vAlign w:val="bottom"/>
          </w:tcPr>
          <w:p>
            <w:pPr>
              <w:jc w:val="right"/>
              <w:ind w:right="779"/>
              <w:spacing w:after="0"/>
              <w:rPr>
                <w:sz w:val="20"/>
                <w:szCs w:val="20"/>
                <w:color w:val="auto"/>
              </w:rPr>
            </w:pPr>
            <w:r>
              <w:rPr>
                <w:rFonts w:ascii="Arial" w:cs="Arial" w:eastAsia="Arial" w:hAnsi="Arial"/>
                <w:sz w:val="16"/>
                <w:szCs w:val="16"/>
                <w:color w:val="auto"/>
              </w:rPr>
              <w:t>(51)</w:t>
            </w: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color w:val="auto"/>
              </w:rPr>
              <w:t>Estimated impact of hurricanes</w:t>
            </w:r>
          </w:p>
        </w:tc>
        <w:tc>
          <w:tcPr>
            <w:tcW w:w="3320" w:type="dxa"/>
            <w:vAlign w:val="bottom"/>
          </w:tcPr>
          <w:p>
            <w:pPr>
              <w:spacing w:after="0"/>
              <w:rPr>
                <w:sz w:val="18"/>
                <w:szCs w:val="18"/>
                <w:color w:val="auto"/>
              </w:rPr>
            </w:pPr>
          </w:p>
        </w:tc>
        <w:tc>
          <w:tcPr>
            <w:tcW w:w="1380" w:type="dxa"/>
            <w:vAlign w:val="bottom"/>
          </w:tcPr>
          <w:p>
            <w:pPr>
              <w:jc w:val="right"/>
              <w:ind w:right="819"/>
              <w:spacing w:after="0"/>
              <w:rPr>
                <w:sz w:val="20"/>
                <w:szCs w:val="20"/>
                <w:color w:val="auto"/>
              </w:rPr>
            </w:pPr>
            <w:r>
              <w:rPr>
                <w:rFonts w:ascii="Arial" w:cs="Arial" w:eastAsia="Arial" w:hAnsi="Arial"/>
                <w:sz w:val="16"/>
                <w:szCs w:val="16"/>
                <w:color w:val="auto"/>
              </w:rPr>
              <w:t>8</w:t>
            </w:r>
          </w:p>
        </w:tc>
      </w:tr>
      <w:tr>
        <w:trPr>
          <w:trHeight w:val="21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Projected profit from disposed businesses</w:t>
            </w:r>
          </w:p>
        </w:tc>
        <w:tc>
          <w:tcPr>
            <w:tcW w:w="3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5</w:t>
            </w:r>
          </w:p>
        </w:tc>
      </w:tr>
      <w:tr>
        <w:trPr>
          <w:trHeight w:val="209"/>
        </w:trPr>
        <w:tc>
          <w:tcPr>
            <w:tcW w:w="6480" w:type="dxa"/>
            <w:vAlign w:val="bottom"/>
          </w:tcPr>
          <w:p>
            <w:pPr>
              <w:ind w:left="240"/>
              <w:spacing w:after="0"/>
              <w:rPr>
                <w:sz w:val="20"/>
                <w:szCs w:val="20"/>
                <w:color w:val="auto"/>
              </w:rPr>
            </w:pPr>
            <w:r>
              <w:rPr>
                <w:rFonts w:ascii="Arial" w:cs="Arial" w:eastAsia="Arial" w:hAnsi="Arial"/>
                <w:sz w:val="16"/>
                <w:szCs w:val="16"/>
                <w:color w:val="auto"/>
              </w:rPr>
              <w:t>Bonus adjustments</w:t>
            </w:r>
          </w:p>
        </w:tc>
        <w:tc>
          <w:tcPr>
            <w:tcW w:w="3320" w:type="dxa"/>
            <w:vAlign w:val="bottom"/>
          </w:tcPr>
          <w:p>
            <w:pPr>
              <w:spacing w:after="0"/>
              <w:rPr>
                <w:sz w:val="18"/>
                <w:szCs w:val="18"/>
                <w:color w:val="auto"/>
              </w:rPr>
            </w:pPr>
          </w:p>
        </w:tc>
        <w:tc>
          <w:tcPr>
            <w:tcW w:w="1380" w:type="dxa"/>
            <w:vAlign w:val="bottom"/>
          </w:tcPr>
          <w:p>
            <w:pPr>
              <w:jc w:val="right"/>
              <w:ind w:right="779"/>
              <w:spacing w:after="0"/>
              <w:rPr>
                <w:sz w:val="20"/>
                <w:szCs w:val="20"/>
                <w:color w:val="auto"/>
              </w:rPr>
            </w:pPr>
            <w:r>
              <w:rPr>
                <w:rFonts w:ascii="Arial" w:cs="Arial" w:eastAsia="Arial" w:hAnsi="Arial"/>
                <w:sz w:val="16"/>
                <w:szCs w:val="16"/>
                <w:color w:val="auto"/>
              </w:rPr>
              <w:t>(38)</w:t>
            </w:r>
          </w:p>
        </w:tc>
      </w:tr>
      <w:tr>
        <w:trPr>
          <w:trHeight w:val="324"/>
        </w:trPr>
        <w:tc>
          <w:tcPr>
            <w:tcW w:w="6480" w:type="dxa"/>
            <w:vAlign w:val="bottom"/>
            <w:tcBorders>
              <w:bottom w:val="single" w:sz="8" w:color="004987"/>
            </w:tcBorders>
          </w:tcPr>
          <w:p>
            <w:pPr>
              <w:ind w:left="20"/>
              <w:spacing w:after="0"/>
              <w:rPr>
                <w:sz w:val="20"/>
                <w:szCs w:val="20"/>
                <w:color w:val="auto"/>
              </w:rPr>
            </w:pPr>
            <w:r>
              <w:rPr>
                <w:rFonts w:ascii="Arial" w:cs="Arial" w:eastAsia="Arial" w:hAnsi="Arial"/>
                <w:sz w:val="16"/>
                <w:szCs w:val="16"/>
                <w:color w:val="auto"/>
              </w:rPr>
              <w:t>Adjusted EBITDA, reflecting bonus adjustments</w:t>
            </w:r>
          </w:p>
        </w:tc>
        <w:tc>
          <w:tcPr>
            <w:tcW w:w="3320" w:type="dxa"/>
            <w:vAlign w:val="bottom"/>
            <w:tcBorders>
              <w:bottom w:val="single" w:sz="8" w:color="004987"/>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004987"/>
            </w:tcBorders>
          </w:tcPr>
          <w:p>
            <w:pPr>
              <w:jc w:val="right"/>
              <w:ind w:right="819"/>
              <w:spacing w:after="0"/>
              <w:rPr>
                <w:sz w:val="20"/>
                <w:szCs w:val="20"/>
                <w:color w:val="auto"/>
              </w:rPr>
            </w:pPr>
            <w:r>
              <w:rPr>
                <w:rFonts w:ascii="Arial" w:cs="Arial" w:eastAsia="Arial" w:hAnsi="Arial"/>
                <w:sz w:val="16"/>
                <w:szCs w:val="16"/>
                <w:color w:val="auto"/>
              </w:rPr>
              <w:t>928</w:t>
            </w:r>
          </w:p>
        </w:tc>
      </w:tr>
    </w:tbl>
    <w:p>
      <w:pPr>
        <w:spacing w:after="0" w:line="229"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For the 2022 short-term incentive payout, Adjusted EBITDA, reflecting bonus adjustments, was $928.1million, Total Revenue was $3,421.2 million, and the associate engagement score achieved target, resulting in a payout of 159.01% of the target bonus for the period, which resulted in the following payments for our named executive officers: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Borders>
              <w:bottom w:val="single" w:sz="8" w:color="004987"/>
            </w:tcBorders>
          </w:tcPr>
          <w:p>
            <w:pPr>
              <w:ind w:left="20"/>
              <w:spacing w:after="0"/>
              <w:rPr>
                <w:sz w:val="20"/>
                <w:szCs w:val="20"/>
                <w:color w:val="auto"/>
              </w:rPr>
            </w:pPr>
            <w:r>
              <w:rPr>
                <w:rFonts w:ascii="Arial" w:cs="Arial" w:eastAsia="Arial" w:hAnsi="Arial"/>
                <w:sz w:val="14"/>
                <w:szCs w:val="14"/>
                <w:b w:val="1"/>
                <w:bCs w:val="1"/>
                <w:color w:val="004E7D"/>
              </w:rPr>
              <w:t>Name</w:t>
            </w:r>
          </w:p>
        </w:tc>
        <w:tc>
          <w:tcPr>
            <w:tcW w:w="5820" w:type="dxa"/>
            <w:vAlign w:val="bottom"/>
            <w:tcBorders>
              <w:bottom w:val="single" w:sz="8" w:color="004987"/>
            </w:tcBorders>
            <w:gridSpan w:val="2"/>
          </w:tcPr>
          <w:p>
            <w:pPr>
              <w:jc w:val="right"/>
              <w:ind w:right="19"/>
              <w:spacing w:after="0"/>
              <w:rPr>
                <w:sz w:val="20"/>
                <w:szCs w:val="20"/>
                <w:color w:val="auto"/>
              </w:rPr>
            </w:pPr>
            <w:r>
              <w:rPr>
                <w:rFonts w:ascii="Arial" w:cs="Arial" w:eastAsia="Arial" w:hAnsi="Arial"/>
                <w:sz w:val="14"/>
                <w:szCs w:val="14"/>
                <w:b w:val="1"/>
                <w:bCs w:val="1"/>
                <w:color w:val="004E7D"/>
              </w:rPr>
              <w:t>2022 Bonus Payout</w:t>
            </w:r>
          </w:p>
        </w:tc>
      </w:tr>
      <w:tr>
        <w:trPr>
          <w:trHeight w:val="21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Weisz</w:t>
            </w:r>
          </w:p>
        </w:tc>
        <w:tc>
          <w:tcPr>
            <w:tcW w:w="46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2,456,661</w:t>
            </w:r>
          </w:p>
        </w:tc>
      </w:tr>
      <w:tr>
        <w:trPr>
          <w:trHeight w:val="20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Geller</w:t>
            </w:r>
          </w:p>
        </w:tc>
        <w:tc>
          <w:tcPr>
            <w:tcW w:w="4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1,382,369</w:t>
            </w:r>
          </w:p>
        </w:tc>
      </w:tr>
      <w:tr>
        <w:trPr>
          <w:trHeight w:val="21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Terry</w:t>
            </w:r>
          </w:p>
        </w:tc>
        <w:tc>
          <w:tcPr>
            <w:tcW w:w="4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755,284</w:t>
            </w:r>
          </w:p>
        </w:tc>
      </w:tr>
      <w:tr>
        <w:trPr>
          <w:trHeight w:val="20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Miller</w:t>
            </w:r>
          </w:p>
        </w:tc>
        <w:tc>
          <w:tcPr>
            <w:tcW w:w="4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1,260,927</w:t>
            </w:r>
          </w:p>
        </w:tc>
      </w:tr>
      <w:tr>
        <w:trPr>
          <w:trHeight w:val="209"/>
        </w:trPr>
        <w:tc>
          <w:tcPr>
            <w:tcW w:w="528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Ms. Marbert</w:t>
            </w:r>
          </w:p>
        </w:tc>
        <w:tc>
          <w:tcPr>
            <w:tcW w:w="4680" w:type="dxa"/>
            <w:vAlign w:val="bottom"/>
            <w:tcBorders>
              <w:bottom w:val="single" w:sz="8" w:color="00497F"/>
            </w:tcBorders>
          </w:tcPr>
          <w:p>
            <w:pPr>
              <w:spacing w:after="0"/>
              <w:rPr>
                <w:sz w:val="18"/>
                <w:szCs w:val="18"/>
                <w:color w:val="auto"/>
              </w:rPr>
            </w:pPr>
          </w:p>
        </w:tc>
        <w:tc>
          <w:tcPr>
            <w:tcW w:w="1140" w:type="dxa"/>
            <w:vAlign w:val="bottom"/>
            <w:tcBorders>
              <w:bottom w:val="single" w:sz="8" w:color="00497F"/>
            </w:tcBorders>
          </w:tcPr>
          <w:p>
            <w:pPr>
              <w:jc w:val="right"/>
              <w:ind w:right="139"/>
              <w:spacing w:after="0"/>
              <w:rPr>
                <w:sz w:val="20"/>
                <w:szCs w:val="20"/>
                <w:color w:val="auto"/>
              </w:rPr>
            </w:pPr>
            <w:r>
              <w:rPr>
                <w:rFonts w:ascii="Arial" w:cs="Arial" w:eastAsia="Arial" w:hAnsi="Arial"/>
                <w:sz w:val="16"/>
                <w:szCs w:val="16"/>
                <w:color w:val="auto"/>
              </w:rPr>
              <w:t>860,229</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Awards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Stock Awards Granted in 2022</w:t>
      </w:r>
    </w:p>
    <w:p>
      <w:pPr>
        <w:spacing w:after="0" w:line="11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Equity compensation awards are typically granted to the named executive officers under the 2020 Equity Plan on an annual basis. With multi-year and, in some cases, performance-based vesting conditions, and the opportunity for long-term capital appreciation, the annual stock awards help us achieve our objectives of attracting and retaining key executive talent, linking named executive officer pay to long-term Company performance and aligning the interests of named executive officers with those of stockholders.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CPC approved the following annual equity awards for 2022 for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Borders>
              <w:bottom w:val="single" w:sz="8" w:color="00497F"/>
            </w:tcBorders>
          </w:tcPr>
          <w:p>
            <w:pPr>
              <w:ind w:left="20"/>
              <w:spacing w:after="0"/>
              <w:rPr>
                <w:sz w:val="20"/>
                <w:szCs w:val="20"/>
                <w:color w:val="auto"/>
              </w:rPr>
            </w:pPr>
            <w:r>
              <w:rPr>
                <w:rFonts w:ascii="Arial" w:cs="Arial" w:eastAsia="Arial" w:hAnsi="Arial"/>
                <w:sz w:val="14"/>
                <w:szCs w:val="14"/>
                <w:b w:val="1"/>
                <w:bCs w:val="1"/>
                <w:color w:val="004E7D"/>
              </w:rPr>
              <w:t>Name</w:t>
            </w:r>
          </w:p>
        </w:tc>
        <w:tc>
          <w:tcPr>
            <w:tcW w:w="2260" w:type="dxa"/>
            <w:vAlign w:val="bottom"/>
            <w:tcBorders>
              <w:bottom w:val="single" w:sz="8" w:color="00497F"/>
            </w:tcBorders>
          </w:tcPr>
          <w:p>
            <w:pPr>
              <w:spacing w:after="0"/>
              <w:rPr>
                <w:sz w:val="17"/>
                <w:szCs w:val="17"/>
                <w:color w:val="auto"/>
              </w:rPr>
            </w:pPr>
          </w:p>
        </w:tc>
        <w:tc>
          <w:tcPr>
            <w:tcW w:w="1840" w:type="dxa"/>
            <w:vAlign w:val="bottom"/>
            <w:tcBorders>
              <w:bottom w:val="single" w:sz="8" w:color="00497F"/>
            </w:tcBorders>
          </w:tcPr>
          <w:p>
            <w:pPr>
              <w:jc w:val="right"/>
              <w:ind w:right="501"/>
              <w:spacing w:after="0"/>
              <w:rPr>
                <w:sz w:val="20"/>
                <w:szCs w:val="20"/>
                <w:color w:val="auto"/>
              </w:rPr>
            </w:pPr>
            <w:r>
              <w:rPr>
                <w:rFonts w:ascii="Arial" w:cs="Arial" w:eastAsia="Arial" w:hAnsi="Arial"/>
                <w:sz w:val="14"/>
                <w:szCs w:val="14"/>
                <w:b w:val="1"/>
                <w:bCs w:val="1"/>
                <w:color w:val="004E7D"/>
              </w:rPr>
              <w:t>2022 Award Value</w:t>
            </w:r>
          </w:p>
        </w:tc>
        <w:tc>
          <w:tcPr>
            <w:tcW w:w="560" w:type="dxa"/>
            <w:vAlign w:val="bottom"/>
            <w:tcBorders>
              <w:bottom w:val="single" w:sz="8" w:color="00497F"/>
            </w:tcBorders>
          </w:tcPr>
          <w:p>
            <w:pPr>
              <w:spacing w:after="0"/>
              <w:rPr>
                <w:sz w:val="17"/>
                <w:szCs w:val="17"/>
                <w:color w:val="auto"/>
              </w:rPr>
            </w:pPr>
          </w:p>
        </w:tc>
        <w:tc>
          <w:tcPr>
            <w:tcW w:w="1840" w:type="dxa"/>
            <w:vAlign w:val="bottom"/>
            <w:tcBorders>
              <w:bottom w:val="single" w:sz="8" w:color="00497F"/>
            </w:tcBorders>
          </w:tcPr>
          <w:p>
            <w:pPr>
              <w:jc w:val="right"/>
              <w:ind w:right="521"/>
              <w:spacing w:after="0"/>
              <w:rPr>
                <w:sz w:val="20"/>
                <w:szCs w:val="20"/>
                <w:color w:val="auto"/>
              </w:rPr>
            </w:pPr>
            <w:r>
              <w:rPr>
                <w:rFonts w:ascii="Arial" w:cs="Arial" w:eastAsia="Arial" w:hAnsi="Arial"/>
                <w:sz w:val="14"/>
                <w:szCs w:val="14"/>
                <w:b w:val="1"/>
                <w:bCs w:val="1"/>
                <w:color w:val="004E7D"/>
              </w:rPr>
              <w:t>2021 Award Value</w:t>
            </w:r>
          </w:p>
        </w:tc>
        <w:tc>
          <w:tcPr>
            <w:tcW w:w="1740" w:type="dxa"/>
            <w:vAlign w:val="bottom"/>
            <w:tcBorders>
              <w:bottom w:val="single" w:sz="8" w:color="00497F"/>
            </w:tcBorders>
          </w:tcPr>
          <w:p>
            <w:pPr>
              <w:ind w:left="500"/>
              <w:spacing w:after="0"/>
              <w:rPr>
                <w:sz w:val="20"/>
                <w:szCs w:val="20"/>
                <w:color w:val="auto"/>
              </w:rPr>
            </w:pPr>
            <w:r>
              <w:rPr>
                <w:rFonts w:ascii="Arial" w:cs="Arial" w:eastAsia="Arial" w:hAnsi="Arial"/>
                <w:sz w:val="14"/>
                <w:szCs w:val="14"/>
                <w:b w:val="1"/>
                <w:bCs w:val="1"/>
                <w:color w:val="004E7D"/>
              </w:rPr>
              <w:t>Percent Change</w:t>
            </w:r>
          </w:p>
        </w:tc>
      </w:tr>
      <w:tr>
        <w:trPr>
          <w:trHeight w:val="21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Weisz</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6,300,000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5,500,000</w:t>
            </w:r>
          </w:p>
        </w:tc>
        <w:tc>
          <w:tcPr>
            <w:tcW w:w="174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w w:val="99"/>
              </w:rPr>
              <w:t>15%</w:t>
            </w:r>
          </w:p>
        </w:tc>
      </w:tr>
      <w:tr>
        <w:trPr>
          <w:trHeight w:val="20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Geller</w:t>
            </w:r>
          </w:p>
        </w:tc>
        <w:tc>
          <w:tcPr>
            <w:tcW w:w="2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2,000,000</w:t>
            </w: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2,000,000</w:t>
            </w:r>
          </w:p>
        </w:tc>
        <w:tc>
          <w:tcPr>
            <w:tcW w:w="174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0%</w:t>
            </w:r>
          </w:p>
        </w:tc>
      </w:tr>
      <w:tr>
        <w:trPr>
          <w:trHeight w:val="21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Terry</w:t>
            </w:r>
          </w:p>
        </w:tc>
        <w:tc>
          <w:tcPr>
            <w:tcW w:w="2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1,000,000</w:t>
            </w: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485,000</w:t>
            </w:r>
          </w:p>
        </w:tc>
        <w:tc>
          <w:tcPr>
            <w:tcW w:w="17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rPr>
              <w:t>106%</w:t>
            </w:r>
          </w:p>
        </w:tc>
      </w:tr>
      <w:tr>
        <w:trPr>
          <w:trHeight w:val="21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Miller</w:t>
            </w:r>
          </w:p>
        </w:tc>
        <w:tc>
          <w:tcPr>
            <w:tcW w:w="2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1,200,000</w:t>
            </w: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1,100,000</w:t>
            </w:r>
          </w:p>
        </w:tc>
        <w:tc>
          <w:tcPr>
            <w:tcW w:w="174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9%</w:t>
            </w:r>
          </w:p>
        </w:tc>
      </w:tr>
      <w:tr>
        <w:trPr>
          <w:trHeight w:val="209"/>
        </w:trPr>
        <w:tc>
          <w:tcPr>
            <w:tcW w:w="300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Ms. Marbert</w:t>
            </w:r>
          </w:p>
        </w:tc>
        <w:tc>
          <w:tcPr>
            <w:tcW w:w="2260" w:type="dxa"/>
            <w:vAlign w:val="bottom"/>
            <w:tcBorders>
              <w:bottom w:val="single" w:sz="8" w:color="00497F"/>
            </w:tcBorders>
          </w:tcPr>
          <w:p>
            <w:pPr>
              <w:spacing w:after="0"/>
              <w:rPr>
                <w:sz w:val="18"/>
                <w:szCs w:val="18"/>
                <w:color w:val="auto"/>
              </w:rPr>
            </w:pPr>
          </w:p>
        </w:tc>
        <w:tc>
          <w:tcPr>
            <w:tcW w:w="1840" w:type="dxa"/>
            <w:vAlign w:val="bottom"/>
            <w:tcBorders>
              <w:bottom w:val="single" w:sz="8" w:color="00497F"/>
            </w:tcBorders>
          </w:tcPr>
          <w:p>
            <w:pPr>
              <w:jc w:val="right"/>
              <w:ind w:right="341"/>
              <w:spacing w:after="0"/>
              <w:rPr>
                <w:sz w:val="20"/>
                <w:szCs w:val="20"/>
                <w:color w:val="auto"/>
              </w:rPr>
            </w:pPr>
            <w:r>
              <w:rPr>
                <w:rFonts w:ascii="Arial" w:cs="Arial" w:eastAsia="Arial" w:hAnsi="Arial"/>
                <w:sz w:val="16"/>
                <w:szCs w:val="16"/>
                <w:color w:val="auto"/>
              </w:rPr>
              <w:t>1,000,000</w:t>
            </w:r>
          </w:p>
        </w:tc>
        <w:tc>
          <w:tcPr>
            <w:tcW w:w="560" w:type="dxa"/>
            <w:vAlign w:val="bottom"/>
            <w:tcBorders>
              <w:bottom w:val="single" w:sz="8" w:color="00497F"/>
            </w:tcBorders>
          </w:tcPr>
          <w:p>
            <w:pPr>
              <w:spacing w:after="0"/>
              <w:rPr>
                <w:sz w:val="18"/>
                <w:szCs w:val="18"/>
                <w:color w:val="auto"/>
              </w:rPr>
            </w:pPr>
          </w:p>
        </w:tc>
        <w:tc>
          <w:tcPr>
            <w:tcW w:w="1840" w:type="dxa"/>
            <w:vAlign w:val="bottom"/>
            <w:tcBorders>
              <w:bottom w:val="single" w:sz="8" w:color="00497F"/>
            </w:tcBorders>
          </w:tcPr>
          <w:p>
            <w:pPr>
              <w:jc w:val="right"/>
              <w:ind w:right="421"/>
              <w:spacing w:after="0"/>
              <w:rPr>
                <w:sz w:val="20"/>
                <w:szCs w:val="20"/>
                <w:color w:val="auto"/>
              </w:rPr>
            </w:pPr>
            <w:r>
              <w:rPr>
                <w:rFonts w:ascii="Arial" w:cs="Arial" w:eastAsia="Arial" w:hAnsi="Arial"/>
                <w:sz w:val="16"/>
                <w:szCs w:val="16"/>
                <w:color w:val="auto"/>
              </w:rPr>
              <w:t>1,000,000</w:t>
            </w:r>
          </w:p>
        </w:tc>
        <w:tc>
          <w:tcPr>
            <w:tcW w:w="1740" w:type="dxa"/>
            <w:vAlign w:val="bottom"/>
            <w:tcBorders>
              <w:bottom w:val="single" w:sz="8" w:color="00497F"/>
            </w:tcBorders>
          </w:tcPr>
          <w:p>
            <w:pPr>
              <w:jc w:val="center"/>
              <w:ind w:left="261"/>
              <w:spacing w:after="0"/>
              <w:rPr>
                <w:sz w:val="20"/>
                <w:szCs w:val="20"/>
                <w:color w:val="auto"/>
              </w:rPr>
            </w:pPr>
            <w:r>
              <w:rPr>
                <w:rFonts w:ascii="Arial" w:cs="Arial" w:eastAsia="Arial" w:hAnsi="Arial"/>
                <w:sz w:val="16"/>
                <w:szCs w:val="16"/>
                <w:color w:val="auto"/>
              </w:rPr>
              <w:t>0%</w:t>
            </w:r>
          </w:p>
        </w:tc>
      </w:tr>
    </w:tbl>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amount of each named executive officer’s award, as well as the differences in the award amounts among the named executive officers, were determined by considering market data (as described above) and internal factors, including pay equity with other officers, differences in responsibilities, job performance, and future potential. The CPC’s consideration of the external market pay practices of various companies discussed above under “Market Data” resulted in the determination to increase the value of the awards for Mr. Weisz, Mr. Miller and Mr. Terry. Mr. Terry was promoted to the role of Executive Vice President and Chief Financial Officer effective October 16, 2021 and the 2022 Stock Award is commensurate with market data for his new position. The awards are reflected in the Summary Compensation Table for 2022 and the Grants of Plan-Based Awards for Fiscal Year 2022. The value of the awards was allocated among Performance Units, SARs and RSUs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Type of Award</w:t>
            </w:r>
          </w:p>
        </w:tc>
        <w:tc>
          <w:tcPr>
            <w:tcW w:w="4720" w:type="dxa"/>
            <w:vAlign w:val="bottom"/>
          </w:tcPr>
          <w:p>
            <w:pPr>
              <w:jc w:val="center"/>
              <w:ind w:left="2763"/>
              <w:spacing w:after="0"/>
              <w:rPr>
                <w:sz w:val="20"/>
                <w:szCs w:val="20"/>
                <w:color w:val="auto"/>
              </w:rPr>
            </w:pPr>
            <w:r>
              <w:rPr>
                <w:rFonts w:ascii="Arial" w:cs="Arial" w:eastAsia="Arial" w:hAnsi="Arial"/>
                <w:sz w:val="14"/>
                <w:szCs w:val="14"/>
                <w:b w:val="1"/>
                <w:bCs w:val="1"/>
                <w:color w:val="004E7D"/>
              </w:rPr>
              <w:t>Percentage of</w:t>
            </w:r>
          </w:p>
        </w:tc>
        <w:tc>
          <w:tcPr>
            <w:tcW w:w="1560" w:type="dxa"/>
            <w:vAlign w:val="bottom"/>
          </w:tcPr>
          <w:p>
            <w:pPr>
              <w:jc w:val="center"/>
              <w:ind w:left="203"/>
              <w:spacing w:after="0"/>
              <w:rPr>
                <w:sz w:val="20"/>
                <w:szCs w:val="20"/>
                <w:color w:val="auto"/>
              </w:rPr>
            </w:pPr>
            <w:r>
              <w:rPr>
                <w:rFonts w:ascii="Arial" w:cs="Arial" w:eastAsia="Arial" w:hAnsi="Arial"/>
                <w:sz w:val="14"/>
                <w:szCs w:val="14"/>
                <w:b w:val="1"/>
                <w:bCs w:val="1"/>
                <w:color w:val="004E7D"/>
              </w:rPr>
              <w:t>Percentage of</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4987"/>
            </w:tcBorders>
            <w:vMerge w:val="continue"/>
          </w:tcPr>
          <w:p>
            <w:pPr>
              <w:spacing w:after="0"/>
              <w:rPr>
                <w:sz w:val="17"/>
                <w:szCs w:val="17"/>
                <w:color w:val="auto"/>
              </w:rPr>
            </w:pPr>
          </w:p>
        </w:tc>
        <w:tc>
          <w:tcPr>
            <w:tcW w:w="4720" w:type="dxa"/>
            <w:vAlign w:val="bottom"/>
            <w:tcBorders>
              <w:bottom w:val="single" w:sz="8" w:color="004987"/>
            </w:tcBorders>
          </w:tcPr>
          <w:p>
            <w:pPr>
              <w:jc w:val="center"/>
              <w:ind w:left="2763"/>
              <w:spacing w:after="0"/>
              <w:rPr>
                <w:sz w:val="20"/>
                <w:szCs w:val="20"/>
                <w:color w:val="auto"/>
              </w:rPr>
            </w:pPr>
            <w:r>
              <w:rPr>
                <w:rFonts w:ascii="Arial" w:cs="Arial" w:eastAsia="Arial" w:hAnsi="Arial"/>
                <w:sz w:val="14"/>
                <w:szCs w:val="14"/>
                <w:b w:val="1"/>
                <w:bCs w:val="1"/>
                <w:color w:val="004E7D"/>
              </w:rPr>
              <w:t>2022 Award</w:t>
            </w:r>
          </w:p>
        </w:tc>
        <w:tc>
          <w:tcPr>
            <w:tcW w:w="1560" w:type="dxa"/>
            <w:vAlign w:val="bottom"/>
            <w:tcBorders>
              <w:bottom w:val="single" w:sz="8" w:color="004987"/>
            </w:tcBorders>
          </w:tcPr>
          <w:p>
            <w:pPr>
              <w:jc w:val="center"/>
              <w:ind w:left="203"/>
              <w:spacing w:after="0"/>
              <w:rPr>
                <w:sz w:val="20"/>
                <w:szCs w:val="20"/>
                <w:color w:val="auto"/>
              </w:rPr>
            </w:pPr>
            <w:r>
              <w:rPr>
                <w:rFonts w:ascii="Arial" w:cs="Arial" w:eastAsia="Arial" w:hAnsi="Arial"/>
                <w:sz w:val="14"/>
                <w:szCs w:val="14"/>
                <w:b w:val="1"/>
                <w:bCs w:val="1"/>
                <w:color w:val="004E7D"/>
              </w:rPr>
              <w:t>2021 Award</w:t>
            </w:r>
          </w:p>
        </w:tc>
        <w:tc>
          <w:tcPr>
            <w:tcW w:w="0" w:type="dxa"/>
            <w:vAlign w:val="bottom"/>
          </w:tcPr>
          <w:p>
            <w:pPr>
              <w:spacing w:after="0"/>
              <w:rPr>
                <w:sz w:val="1"/>
                <w:szCs w:val="1"/>
                <w:color w:val="auto"/>
              </w:rPr>
            </w:pPr>
          </w:p>
        </w:tc>
      </w:tr>
      <w:tr>
        <w:trPr>
          <w:trHeight w:val="21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Performance Units</w:t>
            </w:r>
          </w:p>
        </w:tc>
        <w:tc>
          <w:tcPr>
            <w:tcW w:w="4720" w:type="dxa"/>
            <w:vAlign w:val="bottom"/>
            <w:tcBorders>
              <w:bottom w:val="single" w:sz="8" w:color="auto"/>
            </w:tcBorders>
          </w:tcPr>
          <w:p>
            <w:pPr>
              <w:jc w:val="center"/>
              <w:ind w:left="2763"/>
              <w:spacing w:after="0"/>
              <w:rPr>
                <w:sz w:val="20"/>
                <w:szCs w:val="20"/>
                <w:color w:val="auto"/>
              </w:rPr>
            </w:pPr>
            <w:r>
              <w:rPr>
                <w:rFonts w:ascii="Arial" w:cs="Arial" w:eastAsia="Arial" w:hAnsi="Arial"/>
                <w:sz w:val="16"/>
                <w:szCs w:val="16"/>
                <w:color w:val="auto"/>
                <w:w w:val="99"/>
              </w:rPr>
              <w:t>50%</w:t>
            </w:r>
          </w:p>
        </w:tc>
        <w:tc>
          <w:tcPr>
            <w:tcW w:w="156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SARs</w:t>
            </w:r>
          </w:p>
        </w:tc>
        <w:tc>
          <w:tcPr>
            <w:tcW w:w="4720" w:type="dxa"/>
            <w:vAlign w:val="bottom"/>
            <w:tcBorders>
              <w:bottom w:val="single" w:sz="8" w:color="auto"/>
            </w:tcBorders>
          </w:tcPr>
          <w:p>
            <w:pPr>
              <w:jc w:val="center"/>
              <w:ind w:left="2763"/>
              <w:spacing w:after="0"/>
              <w:rPr>
                <w:sz w:val="20"/>
                <w:szCs w:val="20"/>
                <w:color w:val="auto"/>
              </w:rPr>
            </w:pPr>
            <w:r>
              <w:rPr>
                <w:rFonts w:ascii="Arial" w:cs="Arial" w:eastAsia="Arial" w:hAnsi="Arial"/>
                <w:sz w:val="16"/>
                <w:szCs w:val="16"/>
                <w:color w:val="auto"/>
                <w:w w:val="99"/>
              </w:rPr>
              <w:t>30%</w:t>
            </w:r>
          </w:p>
        </w:tc>
        <w:tc>
          <w:tcPr>
            <w:tcW w:w="156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004987"/>
            </w:tcBorders>
          </w:tcPr>
          <w:p>
            <w:pPr>
              <w:ind w:left="20"/>
              <w:spacing w:after="0"/>
              <w:rPr>
                <w:sz w:val="20"/>
                <w:szCs w:val="20"/>
                <w:color w:val="auto"/>
              </w:rPr>
            </w:pPr>
            <w:r>
              <w:rPr>
                <w:rFonts w:ascii="Arial" w:cs="Arial" w:eastAsia="Arial" w:hAnsi="Arial"/>
                <w:sz w:val="16"/>
                <w:szCs w:val="16"/>
                <w:color w:val="auto"/>
              </w:rPr>
              <w:t>RSUs</w:t>
            </w:r>
          </w:p>
        </w:tc>
        <w:tc>
          <w:tcPr>
            <w:tcW w:w="4720" w:type="dxa"/>
            <w:vAlign w:val="bottom"/>
            <w:tcBorders>
              <w:bottom w:val="single" w:sz="8" w:color="004987"/>
            </w:tcBorders>
          </w:tcPr>
          <w:p>
            <w:pPr>
              <w:jc w:val="center"/>
              <w:ind w:left="2763"/>
              <w:spacing w:after="0"/>
              <w:rPr>
                <w:sz w:val="20"/>
                <w:szCs w:val="20"/>
                <w:color w:val="auto"/>
              </w:rPr>
            </w:pPr>
            <w:r>
              <w:rPr>
                <w:rFonts w:ascii="Arial" w:cs="Arial" w:eastAsia="Arial" w:hAnsi="Arial"/>
                <w:sz w:val="16"/>
                <w:szCs w:val="16"/>
                <w:color w:val="auto"/>
                <w:w w:val="99"/>
              </w:rPr>
              <w:t>20%</w:t>
            </w:r>
          </w:p>
        </w:tc>
        <w:tc>
          <w:tcPr>
            <w:tcW w:w="1560" w:type="dxa"/>
            <w:vAlign w:val="bottom"/>
            <w:tcBorders>
              <w:bottom w:val="single" w:sz="8" w:color="004987"/>
            </w:tcBorders>
          </w:tcPr>
          <w:p>
            <w:pPr>
              <w:jc w:val="center"/>
              <w:ind w:left="203"/>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allocations were set so as to advance the executives’ alignment with stockholders by increasing their equity ownership, while tying a portion of the awards to future stock price performance. The RSUs are time-based stock awards that focus on retention of the executives and SARs are granted to further align the executives’ and stockholders’ interests by requiring an increase in stock price in order for the executives to recognize value from the awards.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35</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40" w:name="page41"/>
    <w:bookmarkEnd w:id="40"/>
    <w:p>
      <w:pPr>
        <w:ind w:right="40"/>
        <w:spacing w:after="0" w:line="258" w:lineRule="auto"/>
        <w:rPr>
          <w:sz w:val="20"/>
          <w:szCs w:val="20"/>
          <w:color w:val="auto"/>
        </w:rPr>
      </w:pPr>
      <w:r>
        <w:rPr>
          <w:rFonts w:ascii="Arial" w:cs="Arial" w:eastAsia="Arial" w:hAnsi="Arial"/>
          <w:sz w:val="16"/>
          <w:szCs w:val="16"/>
          <w:color w:val="auto"/>
        </w:rPr>
        <w:t>The Performance Units granted in 2022 represent the right to receive shares of our common stock at the end of the performance period beginning January 1, 2022 and ending December 31, 2024, in an amount determined based on the Company’s cumulative achievement over the performance period with respect to two performance objectives: Adjusted EBITDA and Adjusted return on invested capital (“ROIC”), each weighted equally. “Adjusted ROIC” means net income (as reported in the Company’s Annual Reports on Form 10-K) over the performance period, excluding the impact of non-consumer financing interest expense, provision for income taxes, non-cash share based compensation expense, impairments, transaction costs, gains and losses on the disposal of assets, litigation charges, and activity not associated with the Company’s on-going core operations as a percentage of Net Total 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Adjusted EBITDA and Adjusted ROIC targets were set at levels we believed to be achievable but not certain to be met.</w:t>
      </w:r>
    </w:p>
    <w:p>
      <w:pPr>
        <w:spacing w:after="0" w:line="12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used Adjusted EBITDA as a performance objective for the Bonus Plan and the Performance Units because the CPC believes that utilizing the same metric for both the short- and long-term compensation programs ensures that short-term management decisions are not influenced by short-term gain at the expense of long-term performance. By using the same metric, the CPC is promoting sustained performance of the Company in this area over both the shorter- and longer-term.</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number of Performance Units actually earned will be determined following the end of the performance period and will be equal to 50% of the granted number of Performance Units multiplied by a percentage corresponding to the achievement level of the Adjusted EBITDA performance objective plus 50% of the granted number of Performance Units multiplied by a percentage corresponding to the achievement level of the Adjusted ROIC performance objective. The number of shares that will be received can range from zero to two times the number of Performance Units granted and will be based on the following achievement levels, which were approved by the CPC in February 2022.</w:t>
      </w:r>
    </w:p>
    <w:p>
      <w:pPr>
        <w:spacing w:after="0" w:line="9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860" w:type="dxa"/>
            <w:vAlign w:val="bottom"/>
          </w:tcPr>
          <w:p>
            <w:pPr>
              <w:jc w:val="center"/>
              <w:ind w:right="302"/>
              <w:spacing w:after="0"/>
              <w:rPr>
                <w:sz w:val="20"/>
                <w:szCs w:val="20"/>
                <w:color w:val="auto"/>
              </w:rPr>
            </w:pPr>
            <w:r>
              <w:rPr>
                <w:rFonts w:ascii="Arial" w:cs="Arial" w:eastAsia="Arial" w:hAnsi="Arial"/>
                <w:sz w:val="14"/>
                <w:szCs w:val="14"/>
                <w:b w:val="1"/>
                <w:bCs w:val="1"/>
                <w:color w:val="004E7D"/>
              </w:rPr>
              <w:t>Adjusted EBITDA</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004E7D"/>
              </w:rPr>
              <w:t>Adjusted ROIC</w:t>
            </w:r>
          </w:p>
        </w:tc>
        <w:tc>
          <w:tcPr>
            <w:tcW w:w="2840" w:type="dxa"/>
            <w:vAlign w:val="bottom"/>
          </w:tcPr>
          <w:p>
            <w:pPr>
              <w:jc w:val="center"/>
              <w:ind w:left="242"/>
              <w:spacing w:after="0"/>
              <w:rPr>
                <w:sz w:val="20"/>
                <w:szCs w:val="20"/>
                <w:color w:val="auto"/>
              </w:rPr>
            </w:pPr>
            <w:r>
              <w:rPr>
                <w:rFonts w:ascii="Arial" w:cs="Arial" w:eastAsia="Arial" w:hAnsi="Arial"/>
                <w:sz w:val="14"/>
                <w:szCs w:val="14"/>
                <w:b w:val="1"/>
                <w:bCs w:val="1"/>
                <w:color w:val="004E7D"/>
              </w:rPr>
              <w:t>Payout as a</w:t>
            </w:r>
          </w:p>
        </w:tc>
      </w:tr>
      <w:tr>
        <w:trPr>
          <w:trHeight w:val="185"/>
        </w:trPr>
        <w:tc>
          <w:tcPr>
            <w:tcW w:w="2860" w:type="dxa"/>
            <w:vAlign w:val="bottom"/>
            <w:tcBorders>
              <w:bottom w:val="single" w:sz="8" w:color="00497F"/>
            </w:tcBorders>
          </w:tcPr>
          <w:p>
            <w:pPr>
              <w:jc w:val="center"/>
              <w:ind w:right="302"/>
              <w:spacing w:after="0"/>
              <w:rPr>
                <w:sz w:val="20"/>
                <w:szCs w:val="20"/>
                <w:color w:val="auto"/>
              </w:rPr>
            </w:pPr>
            <w:r>
              <w:rPr>
                <w:rFonts w:ascii="Arial" w:cs="Arial" w:eastAsia="Arial" w:hAnsi="Arial"/>
                <w:sz w:val="14"/>
                <w:szCs w:val="14"/>
                <w:b w:val="1"/>
                <w:bCs w:val="1"/>
                <w:color w:val="004E7D"/>
              </w:rPr>
              <w:t>Achievement Target</w:t>
            </w:r>
          </w:p>
        </w:tc>
        <w:tc>
          <w:tcPr>
            <w:tcW w:w="3320" w:type="dxa"/>
            <w:vAlign w:val="bottom"/>
            <w:tcBorders>
              <w:bottom w:val="single" w:sz="8" w:color="00497F"/>
            </w:tcBorders>
          </w:tcPr>
          <w:p>
            <w:pPr>
              <w:jc w:val="center"/>
              <w:spacing w:after="0"/>
              <w:rPr>
                <w:sz w:val="20"/>
                <w:szCs w:val="20"/>
                <w:color w:val="auto"/>
              </w:rPr>
            </w:pPr>
            <w:r>
              <w:rPr>
                <w:rFonts w:ascii="Arial" w:cs="Arial" w:eastAsia="Arial" w:hAnsi="Arial"/>
                <w:sz w:val="14"/>
                <w:szCs w:val="14"/>
                <w:b w:val="1"/>
                <w:bCs w:val="1"/>
                <w:color w:val="004E7D"/>
              </w:rPr>
              <w:t>Achievement Target</w:t>
            </w:r>
          </w:p>
        </w:tc>
        <w:tc>
          <w:tcPr>
            <w:tcW w:w="2840" w:type="dxa"/>
            <w:vAlign w:val="bottom"/>
            <w:tcBorders>
              <w:bottom w:val="single" w:sz="8" w:color="00497F"/>
            </w:tcBorders>
          </w:tcPr>
          <w:p>
            <w:pPr>
              <w:jc w:val="center"/>
              <w:ind w:left="242"/>
              <w:spacing w:after="0"/>
              <w:rPr>
                <w:sz w:val="20"/>
                <w:szCs w:val="20"/>
                <w:color w:val="auto"/>
              </w:rPr>
            </w:pPr>
            <w:r>
              <w:rPr>
                <w:rFonts w:ascii="Arial" w:cs="Arial" w:eastAsia="Arial" w:hAnsi="Arial"/>
                <w:sz w:val="14"/>
                <w:szCs w:val="14"/>
                <w:b w:val="1"/>
                <w:bCs w:val="1"/>
                <w:color w:val="004E7D"/>
              </w:rPr>
              <w:t>Percent of Target</w:t>
            </w:r>
          </w:p>
        </w:tc>
      </w:tr>
      <w:tr>
        <w:trPr>
          <w:trHeight w:val="209"/>
        </w:trPr>
        <w:tc>
          <w:tcPr>
            <w:tcW w:w="286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color w:val="auto"/>
              </w:rPr>
              <w:t>$ 2,356 million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11.4%</w:t>
            </w:r>
          </w:p>
        </w:tc>
        <w:tc>
          <w:tcPr>
            <w:tcW w:w="284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color w:val="auto"/>
              </w:rPr>
              <w:t>0%</w:t>
            </w:r>
          </w:p>
        </w:tc>
      </w:tr>
      <w:tr>
        <w:trPr>
          <w:trHeight w:val="210"/>
        </w:trPr>
        <w:tc>
          <w:tcPr>
            <w:tcW w:w="286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color w:val="auto"/>
              </w:rPr>
              <w:t>$ 2,503 million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12.2%</w:t>
            </w:r>
          </w:p>
        </w:tc>
        <w:tc>
          <w:tcPr>
            <w:tcW w:w="284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color w:val="auto"/>
                <w:w w:val="99"/>
              </w:rPr>
              <w:t>50%</w:t>
            </w:r>
          </w:p>
        </w:tc>
      </w:tr>
      <w:tr>
        <w:trPr>
          <w:trHeight w:val="209"/>
        </w:trPr>
        <w:tc>
          <w:tcPr>
            <w:tcW w:w="286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color w:val="auto"/>
              </w:rPr>
              <w:t>$ 2,945 million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14.3%</w:t>
            </w:r>
          </w:p>
        </w:tc>
        <w:tc>
          <w:tcPr>
            <w:tcW w:w="284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color w:val="auto"/>
                <w:w w:val="97"/>
              </w:rPr>
              <w:t>100%</w:t>
            </w:r>
          </w:p>
        </w:tc>
      </w:tr>
      <w:tr>
        <w:trPr>
          <w:trHeight w:val="209"/>
        </w:trPr>
        <w:tc>
          <w:tcPr>
            <w:tcW w:w="2860" w:type="dxa"/>
            <w:vAlign w:val="bottom"/>
            <w:tcBorders>
              <w:bottom w:val="single" w:sz="8" w:color="00497F"/>
            </w:tcBorders>
          </w:tcPr>
          <w:p>
            <w:pPr>
              <w:jc w:val="center"/>
              <w:ind w:right="302"/>
              <w:spacing w:after="0"/>
              <w:rPr>
                <w:sz w:val="20"/>
                <w:szCs w:val="20"/>
                <w:color w:val="auto"/>
              </w:rPr>
            </w:pPr>
            <w:r>
              <w:rPr>
                <w:rFonts w:ascii="Arial" w:cs="Arial" w:eastAsia="Arial" w:hAnsi="Arial"/>
                <w:sz w:val="16"/>
                <w:szCs w:val="16"/>
                <w:color w:val="auto"/>
              </w:rPr>
              <w:t>$ 3,387 million</w:t>
            </w:r>
          </w:p>
        </w:tc>
        <w:tc>
          <w:tcPr>
            <w:tcW w:w="3320" w:type="dxa"/>
            <w:vAlign w:val="bottom"/>
            <w:tcBorders>
              <w:bottom w:val="single" w:sz="8" w:color="00497F"/>
            </w:tcBorders>
          </w:tcPr>
          <w:p>
            <w:pPr>
              <w:jc w:val="center"/>
              <w:spacing w:after="0"/>
              <w:rPr>
                <w:sz w:val="20"/>
                <w:szCs w:val="20"/>
                <w:color w:val="auto"/>
              </w:rPr>
            </w:pPr>
            <w:r>
              <w:rPr>
                <w:rFonts w:ascii="Arial" w:cs="Arial" w:eastAsia="Arial" w:hAnsi="Arial"/>
                <w:sz w:val="16"/>
                <w:szCs w:val="16"/>
                <w:color w:val="auto"/>
              </w:rPr>
              <w:t>16.4%</w:t>
            </w:r>
          </w:p>
        </w:tc>
        <w:tc>
          <w:tcPr>
            <w:tcW w:w="2840" w:type="dxa"/>
            <w:vAlign w:val="bottom"/>
            <w:tcBorders>
              <w:bottom w:val="single" w:sz="8" w:color="00497F"/>
            </w:tcBorders>
          </w:tcPr>
          <w:p>
            <w:pPr>
              <w:jc w:val="center"/>
              <w:ind w:left="242"/>
              <w:spacing w:after="0"/>
              <w:rPr>
                <w:sz w:val="20"/>
                <w:szCs w:val="20"/>
                <w:color w:val="auto"/>
              </w:rPr>
            </w:pPr>
            <w:r>
              <w:rPr>
                <w:rFonts w:ascii="Arial" w:cs="Arial" w:eastAsia="Arial" w:hAnsi="Arial"/>
                <w:sz w:val="16"/>
                <w:szCs w:val="16"/>
                <w:color w:val="auto"/>
                <w:w w:val="97"/>
              </w:rPr>
              <w:t>200%</w:t>
            </w:r>
          </w:p>
        </w:tc>
      </w:tr>
    </w:tbl>
    <w:p>
      <w:pPr>
        <w:spacing w:after="0" w:line="242"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If performance falls between levels, the vesting percentage will be determined by the CPC based on straight-line interpolation; provided, however, that no payout will be made with respect to the Adjusted EBITDA performance objective for achievement of $2,356 million or less and no payout will be made with respect to the Adjusted ROIC performance objective for achievement of 11.4% or less.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Performance Units will not vest if the named executive officer does not continue to be an active employee of the Company during the entire period from the grant date through the performance period (unless the named executive officer retires as an approved retiree or dies or is disabled during such period) or engages in competition or acts that are or potentially are injurious to our Company’s operations, financial condition or business reputation during that period; the named executive officers are also prohibited from soliciting any of our employees to leave our employment during the period from the grant date until the first anniversary of the termination of the officer’s employment for any reason. If a named executive officer retires as an approved retiree during the performance period, a pro rata portion of the Performance Units will continue to vest on the same terms. If a named executive officer dies or is disabled during the performance period, a pro-rata portion of the Performance Units will vest assuming achievement at the target level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36</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p>
      <w:pPr>
        <w:ind w:left="560"/>
        <w:spacing w:after="0"/>
        <w:rPr>
          <w:sz w:val="20"/>
          <w:szCs w:val="20"/>
          <w:color w:val="auto"/>
        </w:rPr>
      </w:pPr>
      <w:r>
        <w:rPr>
          <w:rFonts w:ascii="Arial" w:cs="Arial" w:eastAsia="Arial" w:hAnsi="Arial"/>
          <w:sz w:val="20"/>
          <w:szCs w:val="20"/>
          <w:i w:val="1"/>
          <w:iCs w:val="1"/>
          <w:color w:val="auto"/>
        </w:rPr>
        <w:t>Performance Units Vested in 2022</w:t>
      </w:r>
    </w:p>
    <w:p>
      <w:pPr>
        <w:spacing w:after="0" w:line="8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With respect to the performance units granted in 2020 for the January 1, 2020 through December 31, 2022 performance period, each of the named executive officers vested in zero shares based upon the achievement of the performance metrics over the applicable performance period. These performance units represented the right to receive shares of our common stock at the end of the performance period in an amount determined based on the Company’s achievement over the performance period with respect to two performance objectives: cumulative Adjusted EBITDA and Adjusted ROIC, each weighted equally. The targets were set at levels we believed to be achievable but not certain to be met.</w:t>
      </w:r>
    </w:p>
    <w:p>
      <w:pPr>
        <w:spacing w:after="0" w:line="6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For purposes of measuring the Company’s cumulative Adjusted EBITDA achievement, the CPC adjusted the achievement level unfavorably by removing $92 million of profit related to businesses acquired in 2021 as part of our acquisition of Welk Hospitality Group Inc. (“Welk”) and removing a $51 million benefit from the impact of the Alignment, partially offset by the estimated impacts of the hurricanes of $8 million.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340" w:type="dxa"/>
            <w:vAlign w:val="bottom"/>
            <w:tcBorders>
              <w:bottom w:val="single" w:sz="8" w:color="003A5D"/>
            </w:tcBorders>
          </w:tcPr>
          <w:p>
            <w:pPr>
              <w:spacing w:after="0"/>
              <w:rPr>
                <w:sz w:val="17"/>
                <w:szCs w:val="17"/>
                <w:color w:val="auto"/>
              </w:rPr>
            </w:pPr>
          </w:p>
        </w:tc>
        <w:tc>
          <w:tcPr>
            <w:tcW w:w="1160" w:type="dxa"/>
            <w:vAlign w:val="bottom"/>
            <w:tcBorders>
              <w:bottom w:val="single" w:sz="8" w:color="003A5D"/>
            </w:tcBorders>
          </w:tcPr>
          <w:p>
            <w:pPr>
              <w:spacing w:after="0"/>
              <w:rPr>
                <w:sz w:val="17"/>
                <w:szCs w:val="17"/>
                <w:color w:val="auto"/>
              </w:rPr>
            </w:pPr>
          </w:p>
        </w:tc>
        <w:tc>
          <w:tcPr>
            <w:tcW w:w="80" w:type="dxa"/>
            <w:vAlign w:val="bottom"/>
            <w:tcBorders>
              <w:bottom w:val="single" w:sz="8" w:color="003A5D"/>
            </w:tcBorders>
          </w:tcPr>
          <w:p>
            <w:pPr>
              <w:spacing w:after="0"/>
              <w:rPr>
                <w:sz w:val="17"/>
                <w:szCs w:val="17"/>
                <w:color w:val="auto"/>
              </w:rPr>
            </w:pPr>
          </w:p>
        </w:tc>
        <w:tc>
          <w:tcPr>
            <w:tcW w:w="240" w:type="dxa"/>
            <w:vAlign w:val="bottom"/>
            <w:tcBorders>
              <w:bottom w:val="single" w:sz="8" w:color="003A5D"/>
            </w:tcBorders>
          </w:tcPr>
          <w:p>
            <w:pPr>
              <w:spacing w:after="0"/>
              <w:rPr>
                <w:sz w:val="17"/>
                <w:szCs w:val="17"/>
                <w:color w:val="auto"/>
              </w:rPr>
            </w:pPr>
          </w:p>
        </w:tc>
        <w:tc>
          <w:tcPr>
            <w:tcW w:w="1380" w:type="dxa"/>
            <w:vAlign w:val="bottom"/>
            <w:tcBorders>
              <w:bottom w:val="single" w:sz="8" w:color="003A5D"/>
            </w:tcBorders>
            <w:gridSpan w:val="2"/>
          </w:tcPr>
          <w:p>
            <w:pPr>
              <w:jc w:val="center"/>
              <w:ind w:right="300"/>
              <w:spacing w:after="0"/>
              <w:rPr>
                <w:sz w:val="20"/>
                <w:szCs w:val="20"/>
                <w:color w:val="auto"/>
              </w:rPr>
            </w:pPr>
            <w:r>
              <w:rPr>
                <w:rFonts w:ascii="Arial" w:cs="Arial" w:eastAsia="Arial" w:hAnsi="Arial"/>
                <w:sz w:val="14"/>
                <w:szCs w:val="14"/>
                <w:b w:val="1"/>
                <w:bCs w:val="1"/>
                <w:color w:val="003A5D"/>
              </w:rPr>
              <w:t>Fiscal Years</w:t>
            </w:r>
          </w:p>
        </w:tc>
        <w:tc>
          <w:tcPr>
            <w:tcW w:w="340" w:type="dxa"/>
            <w:vAlign w:val="bottom"/>
            <w:tcBorders>
              <w:bottom w:val="single" w:sz="8" w:color="003A5D"/>
            </w:tcBorders>
          </w:tcPr>
          <w:p>
            <w:pPr>
              <w:spacing w:after="0"/>
              <w:rPr>
                <w:sz w:val="17"/>
                <w:szCs w:val="17"/>
                <w:color w:val="auto"/>
              </w:rPr>
            </w:pPr>
          </w:p>
        </w:tc>
        <w:tc>
          <w:tcPr>
            <w:tcW w:w="1180" w:type="dxa"/>
            <w:vAlign w:val="bottom"/>
            <w:tcBorders>
              <w:bottom w:val="single" w:sz="8" w:color="003A5D"/>
            </w:tcBorders>
          </w:tcPr>
          <w:p>
            <w:pPr>
              <w:spacing w:after="0"/>
              <w:rPr>
                <w:sz w:val="17"/>
                <w:szCs w:val="17"/>
                <w:color w:val="auto"/>
              </w:rPr>
            </w:pPr>
          </w:p>
        </w:tc>
      </w:tr>
      <w:tr>
        <w:trPr>
          <w:trHeight w:val="197"/>
        </w:trPr>
        <w:tc>
          <w:tcPr>
            <w:tcW w:w="6520" w:type="dxa"/>
            <w:vAlign w:val="bottom"/>
            <w:tcBorders>
              <w:bottom w:val="single" w:sz="8" w:color="003A5D"/>
            </w:tcBorders>
          </w:tcPr>
          <w:p>
            <w:pPr>
              <w:ind w:left="20"/>
              <w:spacing w:after="0"/>
              <w:rPr>
                <w:sz w:val="20"/>
                <w:szCs w:val="20"/>
                <w:color w:val="auto"/>
              </w:rPr>
            </w:pPr>
            <w:r>
              <w:rPr>
                <w:rFonts w:ascii="Arial" w:cs="Arial" w:eastAsia="Arial" w:hAnsi="Arial"/>
                <w:sz w:val="14"/>
                <w:szCs w:val="14"/>
                <w:b w:val="1"/>
                <w:bCs w:val="1"/>
                <w:color w:val="003A5D"/>
              </w:rPr>
              <w:t>(in millions)</w:t>
            </w:r>
          </w:p>
        </w:tc>
        <w:tc>
          <w:tcPr>
            <w:tcW w:w="340" w:type="dxa"/>
            <w:vAlign w:val="bottom"/>
            <w:tcBorders>
              <w:bottom w:val="single" w:sz="8" w:color="003A5D"/>
            </w:tcBorders>
          </w:tcPr>
          <w:p>
            <w:pPr>
              <w:spacing w:after="0"/>
              <w:rPr>
                <w:sz w:val="17"/>
                <w:szCs w:val="17"/>
                <w:color w:val="auto"/>
              </w:rPr>
            </w:pPr>
          </w:p>
        </w:tc>
        <w:tc>
          <w:tcPr>
            <w:tcW w:w="1160" w:type="dxa"/>
            <w:vAlign w:val="bottom"/>
            <w:tcBorders>
              <w:bottom w:val="single" w:sz="8" w:color="003A5D"/>
            </w:tcBorders>
          </w:tcPr>
          <w:p>
            <w:pPr>
              <w:jc w:val="right"/>
              <w:ind w:right="500"/>
              <w:spacing w:after="0"/>
              <w:rPr>
                <w:sz w:val="20"/>
                <w:szCs w:val="20"/>
                <w:color w:val="auto"/>
              </w:rPr>
            </w:pPr>
            <w:r>
              <w:rPr>
                <w:rFonts w:ascii="Arial" w:cs="Arial" w:eastAsia="Arial" w:hAnsi="Arial"/>
                <w:sz w:val="14"/>
                <w:szCs w:val="14"/>
                <w:b w:val="1"/>
                <w:bCs w:val="1"/>
                <w:color w:val="003A5D"/>
              </w:rPr>
              <w:t>2022</w:t>
            </w:r>
          </w:p>
        </w:tc>
        <w:tc>
          <w:tcPr>
            <w:tcW w:w="80" w:type="dxa"/>
            <w:vAlign w:val="bottom"/>
            <w:tcBorders>
              <w:bottom w:val="single" w:sz="8" w:color="003A5D"/>
            </w:tcBorders>
          </w:tcPr>
          <w:p>
            <w:pPr>
              <w:spacing w:after="0"/>
              <w:rPr>
                <w:sz w:val="17"/>
                <w:szCs w:val="17"/>
                <w:color w:val="auto"/>
              </w:rPr>
            </w:pPr>
          </w:p>
        </w:tc>
        <w:tc>
          <w:tcPr>
            <w:tcW w:w="240" w:type="dxa"/>
            <w:vAlign w:val="bottom"/>
            <w:tcBorders>
              <w:bottom w:val="single" w:sz="8" w:color="003A5D"/>
            </w:tcBorders>
          </w:tcPr>
          <w:p>
            <w:pPr>
              <w:spacing w:after="0"/>
              <w:rPr>
                <w:sz w:val="17"/>
                <w:szCs w:val="17"/>
                <w:color w:val="auto"/>
              </w:rPr>
            </w:pPr>
          </w:p>
        </w:tc>
        <w:tc>
          <w:tcPr>
            <w:tcW w:w="1300" w:type="dxa"/>
            <w:vAlign w:val="bottom"/>
            <w:tcBorders>
              <w:bottom w:val="single" w:sz="8" w:color="003A5D"/>
            </w:tcBorders>
          </w:tcPr>
          <w:p>
            <w:pPr>
              <w:jc w:val="center"/>
              <w:ind w:right="141"/>
              <w:spacing w:after="0"/>
              <w:rPr>
                <w:sz w:val="20"/>
                <w:szCs w:val="20"/>
                <w:color w:val="auto"/>
              </w:rPr>
            </w:pPr>
            <w:r>
              <w:rPr>
                <w:rFonts w:ascii="Arial" w:cs="Arial" w:eastAsia="Arial" w:hAnsi="Arial"/>
                <w:sz w:val="14"/>
                <w:szCs w:val="14"/>
                <w:b w:val="1"/>
                <w:bCs w:val="1"/>
                <w:color w:val="003A5D"/>
              </w:rPr>
              <w:t>2021</w:t>
            </w:r>
          </w:p>
        </w:tc>
        <w:tc>
          <w:tcPr>
            <w:tcW w:w="80" w:type="dxa"/>
            <w:vAlign w:val="bottom"/>
            <w:tcBorders>
              <w:bottom w:val="single" w:sz="8" w:color="003A5D"/>
            </w:tcBorders>
          </w:tcPr>
          <w:p>
            <w:pPr>
              <w:spacing w:after="0"/>
              <w:rPr>
                <w:sz w:val="17"/>
                <w:szCs w:val="17"/>
                <w:color w:val="auto"/>
              </w:rPr>
            </w:pPr>
          </w:p>
        </w:tc>
        <w:tc>
          <w:tcPr>
            <w:tcW w:w="340" w:type="dxa"/>
            <w:vAlign w:val="bottom"/>
            <w:tcBorders>
              <w:bottom w:val="single" w:sz="8" w:color="003A5D"/>
            </w:tcBorders>
          </w:tcPr>
          <w:p>
            <w:pPr>
              <w:spacing w:after="0"/>
              <w:rPr>
                <w:sz w:val="17"/>
                <w:szCs w:val="17"/>
                <w:color w:val="auto"/>
              </w:rPr>
            </w:pPr>
          </w:p>
        </w:tc>
        <w:tc>
          <w:tcPr>
            <w:tcW w:w="1180" w:type="dxa"/>
            <w:vAlign w:val="bottom"/>
            <w:tcBorders>
              <w:bottom w:val="single" w:sz="8" w:color="003A5D"/>
            </w:tcBorders>
          </w:tcPr>
          <w:p>
            <w:pPr>
              <w:jc w:val="right"/>
              <w:ind w:right="520"/>
              <w:spacing w:after="0"/>
              <w:rPr>
                <w:sz w:val="20"/>
                <w:szCs w:val="20"/>
                <w:color w:val="auto"/>
              </w:rPr>
            </w:pPr>
            <w:r>
              <w:rPr>
                <w:rFonts w:ascii="Arial" w:cs="Arial" w:eastAsia="Arial" w:hAnsi="Arial"/>
                <w:sz w:val="14"/>
                <w:szCs w:val="14"/>
                <w:b w:val="1"/>
                <w:bCs w:val="1"/>
                <w:color w:val="003A5D"/>
              </w:rPr>
              <w:t>2020</w:t>
            </w: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966</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520" w:type="dxa"/>
            <w:vAlign w:val="bottom"/>
          </w:tcPr>
          <w:p>
            <w:pPr>
              <w:ind w:left="240"/>
              <w:spacing w:after="0"/>
              <w:rPr>
                <w:sz w:val="20"/>
                <w:szCs w:val="20"/>
                <w:color w:val="auto"/>
              </w:rPr>
            </w:pPr>
            <w:r>
              <w:rPr>
                <w:rFonts w:ascii="Arial" w:cs="Arial" w:eastAsia="Arial" w:hAnsi="Arial"/>
                <w:sz w:val="16"/>
                <w:szCs w:val="16"/>
                <w:color w:val="auto"/>
              </w:rPr>
              <w:t>Welk profit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20" w:type="dxa"/>
            <w:vAlign w:val="bottom"/>
          </w:tcPr>
          <w:p>
            <w:pPr>
              <w:ind w:left="240"/>
              <w:spacing w:after="0"/>
              <w:rPr>
                <w:sz w:val="20"/>
                <w:szCs w:val="20"/>
                <w:color w:val="auto"/>
              </w:rPr>
            </w:pPr>
            <w:r>
              <w:rPr>
                <w:rFonts w:ascii="Arial" w:cs="Arial" w:eastAsia="Arial" w:hAnsi="Arial"/>
                <w:sz w:val="16"/>
                <w:szCs w:val="16"/>
                <w:color w:val="auto"/>
              </w:rPr>
              <w:t>Alignment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520" w:type="dxa"/>
            <w:vAlign w:val="bottom"/>
          </w:tcPr>
          <w:p>
            <w:pPr>
              <w:ind w:left="240"/>
              <w:spacing w:after="0"/>
              <w:rPr>
                <w:sz w:val="20"/>
                <w:szCs w:val="20"/>
                <w:color w:val="auto"/>
              </w:rPr>
            </w:pPr>
            <w:r>
              <w:rPr>
                <w:rFonts w:ascii="Arial" w:cs="Arial" w:eastAsia="Arial" w:hAnsi="Arial"/>
                <w:sz w:val="16"/>
                <w:szCs w:val="16"/>
                <w:color w:val="auto"/>
              </w:rPr>
              <w:t>Estimated impacts of hurricanes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5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9"/>
        </w:trPr>
        <w:tc>
          <w:tcPr>
            <w:tcW w:w="6520" w:type="dxa"/>
            <w:vAlign w:val="bottom"/>
          </w:tcPr>
          <w:p>
            <w:pPr>
              <w:ind w:left="20"/>
              <w:spacing w:after="0"/>
              <w:rPr>
                <w:sz w:val="20"/>
                <w:szCs w:val="20"/>
                <w:color w:val="auto"/>
              </w:rPr>
            </w:pPr>
            <w:r>
              <w:rPr>
                <w:rFonts w:ascii="Arial" w:cs="Arial" w:eastAsia="Arial" w:hAnsi="Arial"/>
                <w:sz w:val="16"/>
                <w:szCs w:val="16"/>
                <w:color w:val="auto"/>
              </w:rPr>
              <w:t>Adjusted EBITDA, after the adjustments above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873</w:t>
            </w:r>
          </w:p>
        </w:tc>
        <w:tc>
          <w:tcPr>
            <w:tcW w:w="8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71"/>
        </w:trPr>
        <w:tc>
          <w:tcPr>
            <w:tcW w:w="6520" w:type="dxa"/>
            <w:vAlign w:val="bottom"/>
            <w:tcBorders>
              <w:bottom w:val="single" w:sz="8" w:color="003A5D"/>
            </w:tcBorders>
          </w:tcPr>
          <w:p>
            <w:pPr>
              <w:ind w:left="20"/>
              <w:spacing w:after="0"/>
              <w:rPr>
                <w:sz w:val="20"/>
                <w:szCs w:val="20"/>
                <w:color w:val="auto"/>
              </w:rPr>
            </w:pPr>
            <w:r>
              <w:rPr>
                <w:rFonts w:ascii="Arial" w:cs="Arial" w:eastAsia="Arial" w:hAnsi="Arial"/>
                <w:sz w:val="16"/>
                <w:szCs w:val="16"/>
                <w:color w:val="auto"/>
              </w:rPr>
              <w:t>Cumulative EBITDA achievement</w:t>
            </w:r>
          </w:p>
        </w:tc>
        <w:tc>
          <w:tcPr>
            <w:tcW w:w="340" w:type="dxa"/>
            <w:vAlign w:val="bottom"/>
            <w:tcBorders>
              <w:bottom w:val="single" w:sz="8" w:color="003A5D"/>
            </w:tcBorders>
          </w:tcPr>
          <w:p>
            <w:pPr>
              <w:spacing w:after="0"/>
              <w:rPr>
                <w:sz w:val="23"/>
                <w:szCs w:val="23"/>
                <w:color w:val="auto"/>
              </w:rPr>
            </w:pPr>
          </w:p>
        </w:tc>
        <w:tc>
          <w:tcPr>
            <w:tcW w:w="1160" w:type="dxa"/>
            <w:vAlign w:val="bottom"/>
            <w:tcBorders>
              <w:bottom w:val="single" w:sz="8" w:color="003A5D"/>
            </w:tcBorders>
          </w:tcPr>
          <w:p>
            <w:pPr>
              <w:spacing w:after="0"/>
              <w:rPr>
                <w:sz w:val="23"/>
                <w:szCs w:val="23"/>
                <w:color w:val="auto"/>
              </w:rPr>
            </w:pPr>
          </w:p>
        </w:tc>
        <w:tc>
          <w:tcPr>
            <w:tcW w:w="80" w:type="dxa"/>
            <w:vAlign w:val="bottom"/>
            <w:tcBorders>
              <w:bottom w:val="single" w:sz="8" w:color="003A5D"/>
            </w:tcBorders>
          </w:tcPr>
          <w:p>
            <w:pPr>
              <w:spacing w:after="0"/>
              <w:rPr>
                <w:sz w:val="23"/>
                <w:szCs w:val="23"/>
                <w:color w:val="auto"/>
              </w:rPr>
            </w:pPr>
          </w:p>
        </w:tc>
        <w:tc>
          <w:tcPr>
            <w:tcW w:w="240" w:type="dxa"/>
            <w:vAlign w:val="bottom"/>
            <w:tcBorders>
              <w:bottom w:val="single" w:sz="8" w:color="003A5D"/>
            </w:tcBorders>
          </w:tcPr>
          <w:p>
            <w:pPr>
              <w:spacing w:after="0"/>
              <w:rPr>
                <w:sz w:val="23"/>
                <w:szCs w:val="23"/>
                <w:color w:val="auto"/>
              </w:rPr>
            </w:pPr>
          </w:p>
        </w:tc>
        <w:tc>
          <w:tcPr>
            <w:tcW w:w="1300" w:type="dxa"/>
            <w:vAlign w:val="bottom"/>
            <w:tcBorders>
              <w:bottom w:val="single" w:sz="8" w:color="003A5D"/>
            </w:tcBorders>
          </w:tcPr>
          <w:p>
            <w:pPr>
              <w:jc w:val="center"/>
              <w:ind w:right="161"/>
              <w:spacing w:after="0"/>
              <w:rPr>
                <w:sz w:val="20"/>
                <w:szCs w:val="20"/>
                <w:color w:val="auto"/>
              </w:rPr>
            </w:pPr>
            <w:r>
              <w:rPr>
                <w:rFonts w:ascii="Arial" w:cs="Arial" w:eastAsia="Arial" w:hAnsi="Arial"/>
                <w:sz w:val="16"/>
                <w:szCs w:val="16"/>
                <w:color w:val="auto"/>
              </w:rPr>
              <w:t>$1,723</w:t>
            </w:r>
          </w:p>
        </w:tc>
        <w:tc>
          <w:tcPr>
            <w:tcW w:w="80" w:type="dxa"/>
            <w:vAlign w:val="bottom"/>
            <w:tcBorders>
              <w:bottom w:val="single" w:sz="8" w:color="003A5D"/>
            </w:tcBorders>
          </w:tcPr>
          <w:p>
            <w:pPr>
              <w:spacing w:after="0"/>
              <w:rPr>
                <w:sz w:val="23"/>
                <w:szCs w:val="23"/>
                <w:color w:val="auto"/>
              </w:rPr>
            </w:pPr>
          </w:p>
        </w:tc>
        <w:tc>
          <w:tcPr>
            <w:tcW w:w="340" w:type="dxa"/>
            <w:vAlign w:val="bottom"/>
            <w:tcBorders>
              <w:bottom w:val="single" w:sz="8" w:color="003A5D"/>
            </w:tcBorders>
          </w:tcPr>
          <w:p>
            <w:pPr>
              <w:spacing w:after="0"/>
              <w:rPr>
                <w:sz w:val="23"/>
                <w:szCs w:val="23"/>
                <w:color w:val="auto"/>
              </w:rPr>
            </w:pPr>
          </w:p>
        </w:tc>
        <w:tc>
          <w:tcPr>
            <w:tcW w:w="1180" w:type="dxa"/>
            <w:vAlign w:val="bottom"/>
            <w:tcBorders>
              <w:bottom w:val="single" w:sz="8" w:color="003A5D"/>
            </w:tcBorders>
          </w:tcPr>
          <w:p>
            <w:pPr>
              <w:spacing w:after="0"/>
              <w:rPr>
                <w:sz w:val="23"/>
                <w:szCs w:val="23"/>
                <w:color w:val="auto"/>
              </w:rPr>
            </w:pPr>
          </w:p>
        </w:tc>
      </w:tr>
    </w:tbl>
    <w:p>
      <w:pPr>
        <w:spacing w:after="0" w:line="24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Performance across the performance period was below threshold achievement for both cumulative Adjusted EBITDA and Adjusted ROIC as shown in the table below. As a result of such performance, named executive officers did not vest in any Performance Units for the 2020-2022 performance period.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Criteria</w:t>
            </w:r>
          </w:p>
        </w:tc>
        <w:tc>
          <w:tcPr>
            <w:tcW w:w="3220" w:type="dxa"/>
            <w:vAlign w:val="bottom"/>
            <w:vMerge w:val="restart"/>
          </w:tcPr>
          <w:p>
            <w:pPr>
              <w:jc w:val="center"/>
              <w:ind w:left="782"/>
              <w:spacing w:after="0"/>
              <w:rPr>
                <w:sz w:val="20"/>
                <w:szCs w:val="20"/>
                <w:color w:val="auto"/>
              </w:rPr>
            </w:pPr>
            <w:r>
              <w:rPr>
                <w:rFonts w:ascii="Arial" w:cs="Arial" w:eastAsia="Arial" w:hAnsi="Arial"/>
                <w:sz w:val="14"/>
                <w:szCs w:val="14"/>
                <w:b w:val="1"/>
                <w:bCs w:val="1"/>
                <w:color w:val="004E7D"/>
              </w:rPr>
              <w:t>Target</w:t>
            </w:r>
          </w:p>
        </w:tc>
        <w:tc>
          <w:tcPr>
            <w:tcW w:w="226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004E7D"/>
              </w:rPr>
              <w:t>Achievement</w:t>
            </w:r>
          </w:p>
        </w:tc>
        <w:tc>
          <w:tcPr>
            <w:tcW w:w="1860" w:type="dxa"/>
            <w:vAlign w:val="bottom"/>
          </w:tcPr>
          <w:p>
            <w:pPr>
              <w:jc w:val="center"/>
              <w:ind w:left="383"/>
              <w:spacing w:after="0"/>
              <w:rPr>
                <w:sz w:val="20"/>
                <w:szCs w:val="20"/>
                <w:color w:val="auto"/>
              </w:rPr>
            </w:pPr>
            <w:r>
              <w:rPr>
                <w:rFonts w:ascii="Arial" w:cs="Arial" w:eastAsia="Arial" w:hAnsi="Arial"/>
                <w:sz w:val="14"/>
                <w:szCs w:val="14"/>
                <w:b w:val="1"/>
                <w:bCs w:val="1"/>
                <w:color w:val="004E7D"/>
              </w:rPr>
              <w:t>Payout as a</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00497F"/>
            </w:tcBorders>
            <w:vMerge w:val="continue"/>
          </w:tcPr>
          <w:p>
            <w:pPr>
              <w:spacing w:after="0"/>
              <w:rPr>
                <w:sz w:val="16"/>
                <w:szCs w:val="16"/>
                <w:color w:val="auto"/>
              </w:rPr>
            </w:pPr>
          </w:p>
        </w:tc>
        <w:tc>
          <w:tcPr>
            <w:tcW w:w="3220" w:type="dxa"/>
            <w:vAlign w:val="bottom"/>
            <w:tcBorders>
              <w:bottom w:val="single" w:sz="8" w:color="00497F"/>
            </w:tcBorders>
            <w:vMerge w:val="continue"/>
          </w:tcPr>
          <w:p>
            <w:pPr>
              <w:spacing w:after="0"/>
              <w:rPr>
                <w:sz w:val="16"/>
                <w:szCs w:val="16"/>
                <w:color w:val="auto"/>
              </w:rPr>
            </w:pPr>
          </w:p>
        </w:tc>
        <w:tc>
          <w:tcPr>
            <w:tcW w:w="2260" w:type="dxa"/>
            <w:vAlign w:val="bottom"/>
            <w:tcBorders>
              <w:bottom w:val="single" w:sz="8" w:color="00497F"/>
            </w:tcBorders>
            <w:vMerge w:val="continue"/>
          </w:tcPr>
          <w:p>
            <w:pPr>
              <w:spacing w:after="0"/>
              <w:rPr>
                <w:sz w:val="16"/>
                <w:szCs w:val="16"/>
                <w:color w:val="auto"/>
              </w:rPr>
            </w:pPr>
          </w:p>
        </w:tc>
        <w:tc>
          <w:tcPr>
            <w:tcW w:w="1860" w:type="dxa"/>
            <w:vAlign w:val="bottom"/>
            <w:tcBorders>
              <w:bottom w:val="single" w:sz="8" w:color="00497F"/>
            </w:tcBorders>
          </w:tcPr>
          <w:p>
            <w:pPr>
              <w:jc w:val="center"/>
              <w:ind w:left="403"/>
              <w:spacing w:after="0"/>
              <w:rPr>
                <w:sz w:val="20"/>
                <w:szCs w:val="20"/>
                <w:color w:val="auto"/>
              </w:rPr>
            </w:pPr>
            <w:r>
              <w:rPr>
                <w:rFonts w:ascii="Arial" w:cs="Arial" w:eastAsia="Arial" w:hAnsi="Arial"/>
                <w:sz w:val="14"/>
                <w:szCs w:val="14"/>
                <w:b w:val="1"/>
                <w:bCs w:val="1"/>
                <w:color w:val="004E7D"/>
              </w:rPr>
              <w:t>Percent of Target</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Cumulative Adjusted EBITDA</w:t>
            </w:r>
          </w:p>
        </w:tc>
        <w:tc>
          <w:tcPr>
            <w:tcW w:w="322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rPr>
              <w:t>$2,795 million</w:t>
            </w:r>
          </w:p>
        </w:tc>
        <w:tc>
          <w:tcPr>
            <w:tcW w:w="226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rPr>
              <w:t>$1,723 million</w:t>
            </w:r>
          </w:p>
        </w:tc>
        <w:tc>
          <w:tcPr>
            <w:tcW w:w="186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w w:val="98"/>
              </w:rPr>
              <w:t>0.0%</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Adjusted ROIC</w:t>
            </w:r>
          </w:p>
        </w:tc>
        <w:tc>
          <w:tcPr>
            <w:tcW w:w="3220" w:type="dxa"/>
            <w:vAlign w:val="bottom"/>
            <w:tcBorders>
              <w:bottom w:val="single" w:sz="8" w:color="auto"/>
            </w:tcBorders>
          </w:tcPr>
          <w:p>
            <w:pPr>
              <w:jc w:val="center"/>
              <w:ind w:left="802"/>
              <w:spacing w:after="0"/>
              <w:rPr>
                <w:sz w:val="20"/>
                <w:szCs w:val="20"/>
                <w:color w:val="auto"/>
              </w:rPr>
            </w:pPr>
            <w:r>
              <w:rPr>
                <w:rFonts w:ascii="Arial" w:cs="Arial" w:eastAsia="Arial" w:hAnsi="Arial"/>
                <w:sz w:val="16"/>
                <w:szCs w:val="16"/>
                <w:color w:val="auto"/>
              </w:rPr>
              <w:t>13.8%</w:t>
            </w:r>
          </w:p>
        </w:tc>
        <w:tc>
          <w:tcPr>
            <w:tcW w:w="226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8"/>
              </w:rPr>
              <w:t>7.7%</w:t>
            </w:r>
          </w:p>
        </w:tc>
        <w:tc>
          <w:tcPr>
            <w:tcW w:w="186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w w:val="98"/>
              </w:rPr>
              <w:t>0.0%</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00497F"/>
            </w:tcBorders>
          </w:tcPr>
          <w:p>
            <w:pPr>
              <w:ind w:left="240"/>
              <w:spacing w:after="0" w:line="210" w:lineRule="exact"/>
              <w:rPr>
                <w:sz w:val="20"/>
                <w:szCs w:val="20"/>
                <w:color w:val="auto"/>
              </w:rPr>
            </w:pPr>
            <w:r>
              <w:rPr>
                <w:rFonts w:ascii="Arial" w:cs="Arial" w:eastAsia="Arial" w:hAnsi="Arial"/>
                <w:sz w:val="16"/>
                <w:szCs w:val="16"/>
                <w:color w:val="auto"/>
              </w:rPr>
              <w:t>Payout as Percent of Target</w:t>
            </w:r>
            <w:r>
              <w:rPr>
                <w:rFonts w:ascii="Arial" w:cs="Arial" w:eastAsia="Arial" w:hAnsi="Arial"/>
                <w:sz w:val="21"/>
                <w:szCs w:val="21"/>
                <w:color w:val="auto"/>
                <w:vertAlign w:val="superscript"/>
              </w:rPr>
              <w:t>1</w:t>
            </w:r>
          </w:p>
        </w:tc>
        <w:tc>
          <w:tcPr>
            <w:tcW w:w="3220" w:type="dxa"/>
            <w:vAlign w:val="bottom"/>
            <w:tcBorders>
              <w:bottom w:val="single" w:sz="8" w:color="00497F"/>
            </w:tcBorders>
          </w:tcPr>
          <w:p>
            <w:pPr>
              <w:spacing w:after="0"/>
              <w:rPr>
                <w:sz w:val="18"/>
                <w:szCs w:val="18"/>
                <w:color w:val="auto"/>
              </w:rPr>
            </w:pPr>
          </w:p>
        </w:tc>
        <w:tc>
          <w:tcPr>
            <w:tcW w:w="2260" w:type="dxa"/>
            <w:vAlign w:val="bottom"/>
            <w:tcBorders>
              <w:bottom w:val="single" w:sz="8" w:color="00497F"/>
            </w:tcBorders>
          </w:tcPr>
          <w:p>
            <w:pPr>
              <w:spacing w:after="0"/>
              <w:rPr>
                <w:sz w:val="18"/>
                <w:szCs w:val="18"/>
                <w:color w:val="auto"/>
              </w:rPr>
            </w:pPr>
          </w:p>
        </w:tc>
        <w:tc>
          <w:tcPr>
            <w:tcW w:w="1860" w:type="dxa"/>
            <w:vAlign w:val="bottom"/>
            <w:tcBorders>
              <w:bottom w:val="single" w:sz="8" w:color="00497F"/>
            </w:tcBorders>
          </w:tcPr>
          <w:p>
            <w:pPr>
              <w:jc w:val="center"/>
              <w:ind w:left="383"/>
              <w:spacing w:after="0"/>
              <w:rPr>
                <w:sz w:val="20"/>
                <w:szCs w:val="20"/>
                <w:color w:val="auto"/>
              </w:rPr>
            </w:pPr>
            <w:r>
              <w:rPr>
                <w:rFonts w:ascii="Arial" w:cs="Arial" w:eastAsia="Arial" w:hAnsi="Arial"/>
                <w:sz w:val="16"/>
                <w:szCs w:val="16"/>
                <w:color w:val="auto"/>
                <w:w w:val="98"/>
              </w:rPr>
              <w:t>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0" w:right="380" w:hanging="212"/>
        <w:spacing w:after="0" w:line="233" w:lineRule="auto"/>
        <w:tabs>
          <w:tab w:leader="none" w:pos="175"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The total number of shares earned is equal to: (Target Number of RSUs) multiplied by 50% multiplied by (percent of Target earned with respect to the cumulative Adjusted EBITDA criteria) plus (Target Number of RSUs) multiplied by 50% multiplied by (percent of Target earned with respect to the Adjusted ROIC objective). No shares were earned because performance was below threshold for both performance goals.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Compensation</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Perquisites</w:t>
      </w:r>
    </w:p>
    <w:p>
      <w:pPr>
        <w:spacing w:after="0" w:line="129" w:lineRule="exact"/>
        <w:rPr>
          <w:sz w:val="20"/>
          <w:szCs w:val="20"/>
          <w:color w:val="auto"/>
        </w:rPr>
      </w:pPr>
    </w:p>
    <w:p>
      <w:pPr>
        <w:jc w:val="both"/>
        <w:ind w:right="200"/>
        <w:spacing w:after="0" w:line="265" w:lineRule="auto"/>
        <w:rPr>
          <w:sz w:val="20"/>
          <w:szCs w:val="20"/>
          <w:color w:val="auto"/>
        </w:rPr>
      </w:pPr>
      <w:r>
        <w:rPr>
          <w:rFonts w:ascii="Arial" w:cs="Arial" w:eastAsia="Arial" w:hAnsi="Arial"/>
          <w:sz w:val="16"/>
          <w:szCs w:val="16"/>
          <w:color w:val="auto"/>
        </w:rPr>
        <w:t>In 2022, we offered minimal perquisites consisting of a limited number of compensatory room nights, an executive physical benefit and a status upgrade in the Marriott Bonvoy program. The value of these benefits was included in the executives’ wages for tax purposes, and we did not provide tax gross-ups to the executives with respect to these benefits. The Company owns a fractional interest in a corporate jet to support the conduct of its business. Executives are only permitted to utilize the jet for personal purposes if approved by the Company's CEO and the executive pays the hourly costs of such flight.</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Other Benefits</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Named executive officers can participate in the same plans and programs offered to all our eligible employees. Some of these benefits were paid for by the executives, such as elective deferrals under the Marriott Vacations Worldwide Corporation 401(k) Retirement Savings Plan (the “401(k) Plan”) or the Marriott Vacations Worldwide Corporation Deferred Compensation Plan (the “MVW Deferred Compensation Plan”), vision coverage, long-term disability, group life and accidental death and dismemberment insurance, and health care and dependent care spending accounts. Other benefits were paid for or subsidized by us, such as any company match under the 401(k) Plan, any employer credits under the MVW Deferred Compensation Plan, certain group medical and dental benefits, short-term disability, business travel accident insurance and tuition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37</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42" w:name="page43"/>
    <w:bookmarkEnd w:id="42"/>
    <w:p>
      <w:pPr>
        <w:ind w:left="560"/>
        <w:spacing w:after="0"/>
        <w:rPr>
          <w:sz w:val="20"/>
          <w:szCs w:val="20"/>
          <w:color w:val="auto"/>
        </w:rPr>
      </w:pPr>
      <w:r>
        <w:rPr>
          <w:rFonts w:ascii="Arial" w:cs="Arial" w:eastAsia="Arial" w:hAnsi="Arial"/>
          <w:sz w:val="20"/>
          <w:szCs w:val="20"/>
          <w:i w:val="1"/>
          <w:iCs w:val="1"/>
          <w:color w:val="auto"/>
        </w:rPr>
        <w:t>Long-Term Disability Plan</w:t>
      </w:r>
    </w:p>
    <w:p>
      <w:pPr>
        <w:spacing w:after="0" w:line="115"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Our named executive officers and approximately 450 other associates are eligible to participate in the Marriott Vacations Worldwide Corporation Executive Long-Term Disability Plan (the “LTD Plan”). The purpose of the LTD Plan is to improve the ability of the Company to attract and retain executive and senior level associates by providing such associates with enhanced long-term disability insurance. The LTD Plan is subject to certain provisions of the Employee Retirement Income Security Act of 1974, as amended.</w:t>
      </w:r>
    </w:p>
    <w:p>
      <w:pPr>
        <w:spacing w:after="0" w:line="7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LTD Plan consists of two parts: (1) a group long-term disability policy (the “Group Policy”) that pays, after a 180-day elimination period, 60 percent of eligible compensation, which initially consists of base pay, bonus and incentive compensation (“Eligible Compensation”), capped at $10,000 per month, to a specific age, which initially is age 65 (the “Limiting Age”), the entire cost of which is paid by the Company; and (2) an individual disability insurance policy (the “Individual Policy”) that pays 75 percent of Eligible Compensation up to $10,000 per month, to the Limiting Age. We pay 100% of the premium cost required for the Individual Policy for our named executive officers and pay for the first $1,000 of coverage under the Individual Policy for other participants. The right to receive any payment under the Group Policy will cease upon termination of employment. The Individual Policy is portable; the participant may continue coverage by paying the full premiums after termination of employment. The total maximum benefit amount for the combination of the two parts of the LTD Plan is $20,000 per month or $240,000 per year.</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Life Insurance</w:t>
      </w:r>
    </w:p>
    <w:p>
      <w:pPr>
        <w:spacing w:after="0" w:line="11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We pay for life insurance with a payout to designated beneficiaries on death for Mr. Weisz in the amount of two times his base salary (up to a maximum of $1.5 million), and for each other named executive officer in the amount of such officer’s base salary (up to a maximum of $750,000). Mr. Geller’s life insurance payout was increased to two times his base salary (up to a maximum of $1.5 million) effective January 1, 2023 with his assumption of the CEO role.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401(k) Plan</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named executive officers are eligible to participate in our 401(k) Plan on substantially the same basis as our other associates. Participants in the 401(k) Plan may contribute a portion of their compensation to the plan each year. Our highly compensated employees, including the named executive officers, may be subject to limits on the amounts of their contributions to the plan that are not applicable to non-highly compensated employees to the extent required by applicable tax law. We determine on an annual basis whether to make matching employer contributions, which will not exceed six percent of the participant’s eligible compensation, or such other limits that are imposed by applicable tax law. Any employer contributions that we made to the 401(k) Plan accounts of the named executive officers for 2022 are shown in the “All Other Compensation” column of the Summary Compensation Table below.</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Deferred Compensation</w:t>
      </w:r>
    </w:p>
    <w:p>
      <w:pPr>
        <w:spacing w:after="0" w:line="129"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Our named executive officers and approximately 1,650 other associates are eligible to participate in the MVW Deferred Compensation Plan. In addition, some of our named executive officers have balances under the Marriott International, Inc. Executive Deferred Compensation Plan (“Marriott Deferred Compensation Plan”), in which many of them were able to participate prior to the Spin-Off.</w:t>
      </w:r>
    </w:p>
    <w:p>
      <w:pPr>
        <w:spacing w:after="0" w:line="7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provide the MVW Deferred Compensation Plan because the CPC wishes to permit certain of our employees to defer the obligation to pay taxes on compensation and bonuses that they are entitled to receive. The MVW Deferred Compensation Plan permits them to do this, while also receiving a fixed rate of return (determined annually prior to start of plan year) or a rate of return based on various market-based investment alternatives on deferred amounts. We believe that providing this benefit is important as a retention and recruitment tool as many of the companies with which we compete for executive talent provide a similar plan for their senior employees.</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Under the terms of the MVW Deferred Compensation Plan, each participant may elect to defer receipt of up to 80 percent of his or her base salary, bonuses, non-equity incentive plan compensation and/or commissions until such future date as he or she elects in accordance with the terms of the MVW Deferred Compensation Plan. The Company may credit participants’ accounts with additional amounts, referred to as employer credits, in an amount equal to any matching contributions that the participant did not receive for a year under the 401(k) Plan, or any successor plan thereto, due to the participant’s election to defer amounts under the MVW Deferred Compensation Plan. In addition, the Company may, in its sole discretion, credit participants’ accounts with additional employer credits which will vest at a rate of 25 percent per year on the first four anniversaries of the date the discretionary employer credit was allocated to the participant’s account (unless otherwise determined), provided that the participant remains in continued service with the Company. On a participant’s separation from service, unvested discretionary employer credits are generally forfeited. Upon a change in control of the Company, a participant’s death, or a participant’s retirement after reaching age 55 and completing ten continuous years of service, all employer credits will immediately vest in full.</w:t>
      </w:r>
    </w:p>
    <w:p>
      <w:pPr>
        <w:spacing w:after="0" w:line="27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 participant in the MVW Deferred Compensation Plan may elect to receive his or her deferred amounts and vested employer credits in a lump sum or in installments over five, ten, fifteen or twenty years at either a separation from service or upon any of the first five anniversaries of a separation from service. Alternatively, a participant may elect to receive his or her deferred amounts and vested employer credits in a lump sum in January of a specified year, so long as employer credits are deferred for at least four years and all other amounts are deferred for at least three years. The Company has adopted a special grantor trust to provide protection, up to the amounts set aside in trust, against the risk of shifting corporate priorities, the Company’s inability to pay benefits, and/or in the event of a change in control. The trust does not protect against the risk of corporate insolvency. To enable the Company to meet its financial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38</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3" w:name="page44"/>
    <w:bookmarkEnd w:id="43"/>
    <w:p>
      <w:pPr>
        <w:ind w:right="320"/>
        <w:spacing w:after="0" w:line="286" w:lineRule="auto"/>
        <w:rPr>
          <w:sz w:val="20"/>
          <w:szCs w:val="20"/>
          <w:color w:val="auto"/>
        </w:rPr>
      </w:pPr>
      <w:r>
        <w:rPr>
          <w:rFonts w:ascii="Arial" w:cs="Arial" w:eastAsia="Arial" w:hAnsi="Arial"/>
          <w:sz w:val="16"/>
          <w:szCs w:val="16"/>
          <w:color w:val="auto"/>
        </w:rPr>
        <w:t>commitment under the plan, the Company, by way of the established trust, has established a Corporate Owned Life Insurance policy. Participants whose lives are insured consent to this insurance and understand this insurance will be owned by and payable to the trust.</w:t>
      </w:r>
    </w:p>
    <w:p>
      <w:pPr>
        <w:spacing w:after="0" w:line="4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For 2022, participants were able to select a fixed rate of return of 3.5% or a rate of return based on various market-based investment alternatives, such as mutual funds with various investment profiles, and were also able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with the Company as grantor. For 2022, participants may select a rate of return based on market-based investment alternatives for up to 100% of their contributions and existing balances.</w:t>
      </w:r>
    </w:p>
    <w:p>
      <w:pPr>
        <w:spacing w:after="0" w:line="8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Earnings under the MVW Deferred Compensation Plan or the Marriott Deferred Compensation Plan that were credited at a fixed rate of interest in excess of 120% of the applicable federal long-term rate are reported in the Change in Pension Value and Nonqualified Deferred Compensation Earnings column of the Summary Compensation Table.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Employee Stock Purchase Plan</w:t>
      </w:r>
    </w:p>
    <w:p>
      <w:pPr>
        <w:spacing w:after="0" w:line="129"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Marriott Vacations Worldwide Corporation Employee Stock Purchase Plan (the “ESPP”) is intended to provide the Company’s eligible employees, including our named executive officers, with an opportunity to participate in the Company’s success by permitting them to acquire an ownership interest in the Company through periodic payroll deductions that will be applied towards the purchase of shares of our common stock at a five percent discount from the average of the high and low stock price on the last day of the offering period.</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Change in Control Arrangements</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named executive officers are participants in the Marriott Vacations Worldwide Corporation Change in Control Severance Plan (the “Change in Control Plan”). Adoption of the Change in Control Plan was intended to maximize stockholder value by retaining key executives through the closing of a Change in Control (as defined below), and to motivate executives to drive business success independent of the possible occurrence of a Change in Control. All of our executive officers are eligible to participate in the Change in Control Plan. Under the Change in Control Plan, the receipt of benefits is subject to a “double trigger,” under which benefits, including the acceleration of vesting and/or settlement of equity and cash awards, are available only if the participant’s employment is terminated in connection with the Change in Control unless the awards are not assumed in connection with the Change in Control, in which case a single trigger applies. A “change in control” occurs if there is a consummation of certain acquisition, merger, sale, liquidation or similar events or there is a change in a majority of Board members as described in the Change in Control Plan (a “Change in Control”).</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Under the terms of the Change in Control Plan, and subject to the conditions thereof, an executive officer who participates in the Change in Control Plan will receive severance benefits if his or her employment is terminated involuntarily by the Company or any of its affiliates, other than due to Cause, Total Disability (as those terms are defined in the Change in Control Plan), or death, or is terminated by the executive officer for Good Reason (as defined in the Change in Control Plan), in each case, within two years following a Change in Control of the Company (a “Termination”). Provided that the executive officer executes a waiver and release of claims in favor of the Company, he or she will be entitled to the following severance benefits: (1) a cash severance payment, payable in a lump sum, equal to two times (or three times, in the case of the Chief Executive Officer of the Company) the sum of his or her Base Salary and Target Bonus (as those terms are defined in the Change in Control Plan); (2) twenty-four months (or thirty-six months, in the case of the Chief Executive Officer of the Company) of Company-subsidized medical, dental and life-insurance coverage for such executive officer and his or her spouse and dependents, at the same benefit level as provided to the executive immediately prior to the Change in Control, or the cash equivalent of the present value of such coverage; (3) any unpaid bonus as of the Termination date for any previously-completed fiscal year; and (4) a pro-rata bonus for the fiscal year in which the executive officer’s employment is terminated.</w:t>
      </w:r>
    </w:p>
    <w:p>
      <w:pPr>
        <w:spacing w:after="0" w:line="7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In addition to receipt of the severance benefits described above, upon Termination, an executive officer’s stock options and other equity-related compensation will be treated as follows: (1) all restricted stock, RSUs or other share-based awards in a form substantially similar to restricted stock or RSUs will become fully vested as of the Termination date; (2) all unvested or unexercisable options, SARs or other share-based awards in a form substantially similar to options or SARs will become fully vested and exercisable until the earlier of the end of (a) their original term or (b) 12 months (or in the case of certain approved retirees, five years) following the Termination date; and (3) all of the executive officer’s other cash performance units or other share-based awards subject to performance-based vesting criteria will be deemed to be fully vested as of the Termination date, and will be paid immediately thereafter based on a presumed achievement of target levels of performance. However, in the event that no substitute awards, shares or other equity interests are available as of the Change in Control, the participant will become fully vested in his or her awards as of the Change in Control date, and all awards will be immediately distributed or paid, or, in the case of options and SARs, will become fully exercisable. In the discretion of the CPC, distributions may be made in the form of a cash payment equal in amount to the value of the shares distributed or, in the case of options or SARs, the intrinsic value of such awards.</w:t>
      </w:r>
    </w:p>
    <w:p>
      <w:pPr>
        <w:spacing w:after="0" w:line="74"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Any payment otherwise due under the Change in Control Plan will be reduced if necessary so that the payment will not constitute a “parachute payment” under Section 280G of the Internal Revenue Code. The Change in Control Plan does not provide for a gross-up of excise taxes on such “parachute payments.”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39</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Clawbacks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Under our clawback policy, which is in addition to the clawback provision that applies to equity awards issued under the Equity Plans in the event of certain restatements of our consolidated financial statements, the Board may recoup compensation received by a named executive officer who engaged in certain misconduct that contributed to the need for the restatement. Compensation that is based on our achievement of specified financial results, including performance units, may be recouped to the extent such compensation would have been lower had it been determined or calculated based on the financial results as restated. In addition, the Board may recoup any compensation received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66"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Under the Equity Plans we have the authority to limit or eliminate the ability of any executive to exercise options and SARs or to receive a distribution of our common stock under RSUs or other stock awards if the executive engaged in criminal or tortious conduct that was injurious to us or engaged in competition with us.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Upon final release of the NYSE rules under Dodd Frank, the clawback policy will be updated as necessary to comply with any additional requirements.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11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Under the stock ownership guidelines adopted by the CPC, named executive officers are required to achieve the following levels of ownership of our common stock (as a multiple of base salary rate as of the last day of the fiscal year for which compliance is being evaluated):</w:t>
      </w:r>
    </w:p>
    <w:p>
      <w:pPr>
        <w:spacing w:after="0" w:line="106" w:lineRule="exact"/>
        <w:rPr>
          <w:sz w:val="20"/>
          <w:szCs w:val="20"/>
          <w:color w:val="auto"/>
        </w:rPr>
      </w:pPr>
    </w:p>
    <w:tbl>
      <w:tblPr>
        <w:tblLayout w:type="fixed"/>
        <w:tblInd w:w="1460" w:type="dxa"/>
        <w:tblCellMar>
          <w:top w:w="0" w:type="dxa"/>
          <w:left w:w="0" w:type="dxa"/>
          <w:bottom w:w="0" w:type="dxa"/>
          <w:right w:w="0" w:type="dxa"/>
        </w:tblCellMar>
      </w:tblPr>
      <w:tr>
        <w:trPr>
          <w:trHeight w:val="205"/>
        </w:trPr>
        <w:tc>
          <w:tcPr>
            <w:tcW w:w="3540" w:type="dxa"/>
            <w:vAlign w:val="bottom"/>
            <w:tcBorders>
              <w:bottom w:val="single" w:sz="8" w:color="004987"/>
            </w:tcBorders>
          </w:tcPr>
          <w:p>
            <w:pPr>
              <w:ind w:left="1480"/>
              <w:spacing w:after="0"/>
              <w:rPr>
                <w:sz w:val="20"/>
                <w:szCs w:val="20"/>
                <w:color w:val="auto"/>
              </w:rPr>
            </w:pPr>
            <w:r>
              <w:rPr>
                <w:rFonts w:ascii="Arial" w:cs="Arial" w:eastAsia="Arial" w:hAnsi="Arial"/>
                <w:sz w:val="14"/>
                <w:szCs w:val="14"/>
                <w:b w:val="1"/>
                <w:bCs w:val="1"/>
                <w:color w:val="004E7D"/>
              </w:rPr>
              <w:t>Officer</w:t>
            </w:r>
          </w:p>
        </w:tc>
        <w:tc>
          <w:tcPr>
            <w:tcW w:w="3320" w:type="dxa"/>
            <w:vAlign w:val="bottom"/>
            <w:tcBorders>
              <w:bottom w:val="single" w:sz="8" w:color="004987"/>
            </w:tcBorders>
          </w:tcPr>
          <w:p>
            <w:pPr>
              <w:jc w:val="center"/>
              <w:ind w:left="1"/>
              <w:spacing w:after="0"/>
              <w:rPr>
                <w:sz w:val="20"/>
                <w:szCs w:val="20"/>
                <w:color w:val="auto"/>
              </w:rPr>
            </w:pPr>
            <w:r>
              <w:rPr>
                <w:rFonts w:ascii="Arial" w:cs="Arial" w:eastAsia="Arial" w:hAnsi="Arial"/>
                <w:sz w:val="14"/>
                <w:szCs w:val="14"/>
                <w:b w:val="1"/>
                <w:bCs w:val="1"/>
                <w:color w:val="004E7D"/>
              </w:rPr>
              <w:t>Level of Ownership</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tcPr>
          <w:p>
            <w:pPr>
              <w:jc w:val="center"/>
              <w:ind w:right="261"/>
              <w:spacing w:after="0"/>
              <w:rPr>
                <w:sz w:val="20"/>
                <w:szCs w:val="20"/>
                <w:color w:val="auto"/>
              </w:rPr>
            </w:pPr>
            <w:r>
              <w:rPr>
                <w:rFonts w:ascii="Arial" w:cs="Arial" w:eastAsia="Arial" w:hAnsi="Arial"/>
                <w:sz w:val="16"/>
                <w:szCs w:val="16"/>
                <w:color w:val="auto"/>
              </w:rPr>
              <w:t>Chief Executive Officer</w:t>
            </w:r>
          </w:p>
        </w:tc>
        <w:tc>
          <w:tcPr>
            <w:tcW w:w="33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Five times base salary</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tcPr>
          <w:p>
            <w:pPr>
              <w:jc w:val="center"/>
              <w:ind w:right="261"/>
              <w:spacing w:after="0" w:line="210" w:lineRule="exact"/>
              <w:rPr>
                <w:sz w:val="20"/>
                <w:szCs w:val="20"/>
                <w:color w:val="auto"/>
              </w:rPr>
            </w:pPr>
            <w:r>
              <w:rPr>
                <w:rFonts w:ascii="Arial" w:cs="Arial" w:eastAsia="Arial" w:hAnsi="Arial"/>
                <w:sz w:val="16"/>
                <w:szCs w:val="16"/>
                <w:color w:val="auto"/>
              </w:rPr>
              <w:t>President</w:t>
            </w:r>
            <w:r>
              <w:rPr>
                <w:rFonts w:ascii="Arial" w:cs="Arial" w:eastAsia="Arial" w:hAnsi="Arial"/>
                <w:sz w:val="21"/>
                <w:szCs w:val="21"/>
                <w:color w:val="auto"/>
                <w:vertAlign w:val="superscript"/>
              </w:rPr>
              <w:t>1</w:t>
            </w:r>
          </w:p>
        </w:tc>
        <w:tc>
          <w:tcPr>
            <w:tcW w:w="33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Three times base salary</w:t>
            </w:r>
          </w:p>
        </w:tc>
        <w:tc>
          <w:tcPr>
            <w:tcW w:w="0" w:type="dxa"/>
            <w:vAlign w:val="bottom"/>
          </w:tcPr>
          <w:p>
            <w:pPr>
              <w:spacing w:after="0"/>
              <w:rPr>
                <w:sz w:val="1"/>
                <w:szCs w:val="1"/>
                <w:color w:val="auto"/>
              </w:rPr>
            </w:pPr>
          </w:p>
        </w:tc>
      </w:tr>
      <w:tr>
        <w:trPr>
          <w:trHeight w:val="156"/>
        </w:trPr>
        <w:tc>
          <w:tcPr>
            <w:tcW w:w="3540" w:type="dxa"/>
            <w:vAlign w:val="bottom"/>
          </w:tcPr>
          <w:p>
            <w:pPr>
              <w:jc w:val="center"/>
              <w:ind w:right="261"/>
              <w:spacing w:after="0" w:line="155" w:lineRule="exact"/>
              <w:rPr>
                <w:sz w:val="20"/>
                <w:szCs w:val="20"/>
                <w:color w:val="auto"/>
              </w:rPr>
            </w:pPr>
            <w:r>
              <w:rPr>
                <w:rFonts w:ascii="Arial" w:cs="Arial" w:eastAsia="Arial" w:hAnsi="Arial"/>
                <w:sz w:val="16"/>
                <w:szCs w:val="16"/>
                <w:color w:val="auto"/>
              </w:rPr>
              <w:t>Executive Vice President and</w:t>
            </w:r>
          </w:p>
        </w:tc>
        <w:tc>
          <w:tcPr>
            <w:tcW w:w="3320" w:type="dxa"/>
            <w:vAlign w:val="bottom"/>
            <w:vMerge w:val="restart"/>
          </w:tcPr>
          <w:p>
            <w:pPr>
              <w:jc w:val="center"/>
              <w:ind w:left="1"/>
              <w:spacing w:after="0"/>
              <w:rPr>
                <w:sz w:val="20"/>
                <w:szCs w:val="20"/>
                <w:color w:val="auto"/>
              </w:rPr>
            </w:pPr>
            <w:r>
              <w:rPr>
                <w:rFonts w:ascii="Arial" w:cs="Arial" w:eastAsia="Arial" w:hAnsi="Arial"/>
                <w:sz w:val="16"/>
                <w:szCs w:val="16"/>
                <w:color w:val="auto"/>
              </w:rPr>
              <w:t>Three times base salary</w:t>
            </w:r>
          </w:p>
        </w:tc>
        <w:tc>
          <w:tcPr>
            <w:tcW w:w="0" w:type="dxa"/>
            <w:vAlign w:val="bottom"/>
          </w:tcPr>
          <w:p>
            <w:pPr>
              <w:spacing w:after="0"/>
              <w:rPr>
                <w:sz w:val="1"/>
                <w:szCs w:val="1"/>
                <w:color w:val="auto"/>
              </w:rPr>
            </w:pPr>
          </w:p>
        </w:tc>
      </w:tr>
      <w:tr>
        <w:trPr>
          <w:trHeight w:val="133"/>
        </w:trPr>
        <w:tc>
          <w:tcPr>
            <w:tcW w:w="3540" w:type="dxa"/>
            <w:vAlign w:val="bottom"/>
            <w:vMerge w:val="restart"/>
          </w:tcPr>
          <w:p>
            <w:pPr>
              <w:jc w:val="center"/>
              <w:ind w:right="261"/>
              <w:spacing w:after="0"/>
              <w:rPr>
                <w:sz w:val="20"/>
                <w:szCs w:val="20"/>
                <w:color w:val="auto"/>
              </w:rPr>
            </w:pPr>
            <w:r>
              <w:rPr>
                <w:rFonts w:ascii="Arial" w:cs="Arial" w:eastAsia="Arial" w:hAnsi="Arial"/>
                <w:sz w:val="16"/>
                <w:szCs w:val="16"/>
                <w:color w:val="auto"/>
              </w:rPr>
              <w:t>Chief Financial Officer</w:t>
            </w: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540" w:type="dxa"/>
            <w:vAlign w:val="bottom"/>
            <w:tcBorders>
              <w:bottom w:val="single" w:sz="8" w:color="auto"/>
            </w:tcBorders>
            <w:vMerge w:val="continue"/>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00497F"/>
            </w:tcBorders>
          </w:tcPr>
          <w:p>
            <w:pPr>
              <w:jc w:val="center"/>
              <w:ind w:right="261"/>
              <w:spacing w:after="0"/>
              <w:rPr>
                <w:sz w:val="20"/>
                <w:szCs w:val="20"/>
                <w:color w:val="auto"/>
              </w:rPr>
            </w:pPr>
            <w:r>
              <w:rPr>
                <w:rFonts w:ascii="Arial" w:cs="Arial" w:eastAsia="Arial" w:hAnsi="Arial"/>
                <w:sz w:val="16"/>
                <w:szCs w:val="16"/>
                <w:color w:val="auto"/>
              </w:rPr>
              <w:t>Other named executive officers</w:t>
            </w:r>
          </w:p>
        </w:tc>
        <w:tc>
          <w:tcPr>
            <w:tcW w:w="3320" w:type="dxa"/>
            <w:vAlign w:val="bottom"/>
            <w:tcBorders>
              <w:bottom w:val="single" w:sz="8" w:color="00497F"/>
            </w:tcBorders>
          </w:tcPr>
          <w:p>
            <w:pPr>
              <w:jc w:val="center"/>
              <w:ind w:left="1"/>
              <w:spacing w:after="0"/>
              <w:rPr>
                <w:sz w:val="20"/>
                <w:szCs w:val="20"/>
                <w:color w:val="auto"/>
              </w:rPr>
            </w:pPr>
            <w:r>
              <w:rPr>
                <w:rFonts w:ascii="Arial" w:cs="Arial" w:eastAsia="Arial" w:hAnsi="Arial"/>
                <w:sz w:val="16"/>
                <w:szCs w:val="16"/>
                <w:color w:val="auto"/>
              </w:rPr>
              <w:t>Two times base salary</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460" w:right="280"/>
        <w:spacing w:after="0" w:line="23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position of President was held by Mr. Geller who will be subject to the five times base salary level of ownership in 2023 as Chief Executive Officer.</w:t>
      </w:r>
    </w:p>
    <w:p>
      <w:pPr>
        <w:spacing w:after="0" w:line="8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For purposes of determining compliance with the guidelines, the following are considered shares owned by the named executive officer: shares owned by the named executive officer and his or her spouse; shares held by a trust if any beneficiaries of which are the named executive officer or his or her family members; shares held jointly with others; restricted stock awards; restricted stock unit awards; and share equivalents deferred in accordance with our plans. Options, SARs and performance units are not considered owned by the named executive officer.</w:t>
      </w:r>
    </w:p>
    <w:p>
      <w:pPr>
        <w:spacing w:after="0" w:line="7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CPC receives an annual report of the ownership achieved by each named executive officer as of the end of the fiscal year, with the achievement level determined by reference to the average of the closing prices of our common stock for the 20 trading days ending on the last trading day of the fiscal year. The CPC will determine the action to be taken for failure to comply, which action may include (but is not limited to), requiring all or a portion of a named executive officer’s annual bonus to be paid in shares, or requiring retention of shares received upon exercise of stock options or SARs or of shares earned upon the vesting of performance units. All but two of our executive officers have achieved the holding requirements specified in the guidelines as of the end of 2022. The executive officers who have not achieved the holding requirements specified in the guidelines were newly appointed to their current roles on November 30, 2020 and October 16, 2021, and each has five calendar years, or by year-end 2025 and 2026, respectively, to achieve target ownership.</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Pledging and Derivative Transactions</w:t>
      </w:r>
    </w:p>
    <w:p>
      <w:pPr>
        <w:spacing w:after="0" w:line="11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Our associates and officers are prohibited from including Marriott Vacations Worldwide stock or other securities in a margin account or pledging such securities as collateral for a loan. We also have a policy that prohibits all associates and officers from shorting the sale of our stock or securities, or from buying, selling, writing or otherwise entering into any other “derivative” transaction related to our stock or securities, including options, warrants, puts, calls, and similar rights.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Considerations</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CPC reviewed a risk assessment to determine whether the amount and components of compensation for our employees and the design of compensation programs might create incentives for excessive risk-taking by our employees. The CPC concluded that our compensation programs do not present risks that are reasonably likely to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40</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Consideration of Prior Stockholder Advisory Vote to Approve Executive Compensation</w:t>
      </w:r>
    </w:p>
    <w:p>
      <w:pPr>
        <w:spacing w:after="0" w:line="11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At our 2022 Annual Meeting of Stockholders, our stockholders voted with respect to an advisory resolution on our executive compensation, and 83.2% of the shares voted at the meeting (exclusive of broker non-votes) were voted in favor of the approval of the compensation of our named executive officers as disclosed in the proxy statement for that Annual Meeting. The CPC considered this support, as well as the other factors discussed in this Compensation Discussion and Analysis, in retaining the fundamental characteristics of our executive compensation program for 2022, and did not make any specific changes to the program as a result of the stockholder vote.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w:t>
      </w:r>
    </w:p>
    <w:p>
      <w:pPr>
        <w:spacing w:after="0" w:line="13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We, as a practice, do not have employment agreements with any of our executive officers, including our named executive officers. However, with the acquisition of ILG in 2018, we assumed an employment agreement for Jeanette E. Marbert, President, Exchange and Third-Party Management.</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REPORT OF THE COMPENSATION POLICY COMMITTEE</w:t>
      </w:r>
    </w:p>
    <w:p>
      <w:pPr>
        <w:spacing w:after="0" w:line="11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CPC, which is composed solely of independent members of the Board, assists the Board in fulfilling its responsibilities relating to executive compensation. The CPC is responsible for overseeing compensation programs that enable the Company to attract, retain and motivate executives capable of establishing and implementing business plans in the best interests of the stockholders. The CPC, on behalf of and in certain instances subject to the approval of the Board, reviews and approves compensation programs for certain senior officer positions. In this context, the CPC reviewed and discussed with management the Company’s Compensation Discussion and Analysis required by Item 402(b) of SEC Regulation S-K. Following the reviews and discussions referred to above, the CPC recommended to the Board that the Compensation Discussion and Analysis be included in this Proxy Statement.</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Members of the</w:t>
      </w:r>
    </w:p>
    <w:p>
      <w:pPr>
        <w:ind w:left="5860"/>
        <w:spacing w:after="0" w:line="211" w:lineRule="auto"/>
        <w:rPr>
          <w:sz w:val="20"/>
          <w:szCs w:val="20"/>
          <w:color w:val="auto"/>
        </w:rPr>
      </w:pPr>
      <w:r>
        <w:rPr>
          <w:rFonts w:ascii="Arial" w:cs="Arial" w:eastAsia="Arial" w:hAnsi="Arial"/>
          <w:sz w:val="16"/>
          <w:szCs w:val="16"/>
          <w:color w:val="auto"/>
        </w:rPr>
        <w:t>Compensation Policy</w:t>
      </w:r>
    </w:p>
    <w:p>
      <w:pPr>
        <w:ind w:left="5860"/>
        <w:spacing w:after="0"/>
        <w:rPr>
          <w:sz w:val="20"/>
          <w:szCs w:val="20"/>
          <w:color w:val="auto"/>
        </w:rPr>
      </w:pPr>
      <w:r>
        <w:rPr>
          <w:rFonts w:ascii="Arial" w:cs="Arial" w:eastAsia="Arial" w:hAnsi="Arial"/>
          <w:sz w:val="16"/>
          <w:szCs w:val="16"/>
          <w:color w:val="auto"/>
        </w:rPr>
        <w:t>Committee:</w:t>
      </w:r>
    </w:p>
    <w:p>
      <w:pPr>
        <w:spacing w:after="0" w:line="8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Dianna F. Morgan, Chair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Lizanne Galbreath</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Raymond L. Gellein, Jr.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William W. McCarten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Stephen R. Quazzo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41</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46" w:name="page47"/>
    <w:bookmarkEnd w:id="46"/>
    <w:p>
      <w:pPr>
        <w:spacing w:after="0" w:line="34" w:lineRule="exact"/>
        <w:rPr>
          <w:sz w:val="20"/>
          <w:szCs w:val="20"/>
          <w:color w:val="auto"/>
        </w:rPr>
      </w:pPr>
    </w:p>
    <w:p>
      <w:pPr>
        <w:ind w:left="280" w:right="1200"/>
        <w:spacing w:after="0" w:line="245" w:lineRule="auto"/>
        <w:rPr>
          <w:sz w:val="20"/>
          <w:szCs w:val="20"/>
          <w:color w:val="auto"/>
        </w:rPr>
      </w:pPr>
      <w:r>
        <w:rPr>
          <w:rFonts w:ascii="Arial" w:cs="Arial" w:eastAsia="Arial" w:hAnsi="Arial"/>
          <w:sz w:val="54"/>
          <w:szCs w:val="54"/>
          <w:color w:val="auto"/>
        </w:rPr>
        <w:t>EXECUTIVE COMPENSATION TABLES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-768350</wp:posOffset>
            </wp:positionV>
            <wp:extent cx="68580" cy="7797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77978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SUMMARY COMPENSATION TABLE</w:t>
      </w:r>
    </w:p>
    <w:p>
      <w:pPr>
        <w:spacing w:after="0" w:line="11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following Summary Compensation Table shows the compensation we paid in fiscal years 2022, 2021 and 2020 to our Named Executive Officers. Mr. Terry was promoted to Executive Vice President and Chief Financial Officer effective October 16, 2021 and was not an executive officer prior to his promotion.</w:t>
      </w:r>
    </w:p>
    <w:tbl>
      <w:tblPr>
        <w:tblLayout w:type="fixed"/>
        <w:tblInd w:w="0" w:type="dxa"/>
        <w:tblCellMar>
          <w:top w:w="0" w:type="dxa"/>
          <w:left w:w="0" w:type="dxa"/>
          <w:bottom w:w="0" w:type="dxa"/>
          <w:right w:w="0" w:type="dxa"/>
        </w:tblCellMar>
      </w:tblPr>
      <w:tr>
        <w:trPr>
          <w:trHeight w:val="151"/>
        </w:trPr>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004E7D"/>
              </w:rPr>
              <w:t>Non-Equity</w:t>
            </w:r>
          </w:p>
        </w:tc>
        <w:tc>
          <w:tcPr>
            <w:tcW w:w="240" w:type="dxa"/>
            <w:vAlign w:val="bottom"/>
          </w:tcPr>
          <w:p>
            <w:pPr>
              <w:spacing w:after="0"/>
              <w:rPr>
                <w:sz w:val="13"/>
                <w:szCs w:val="13"/>
                <w:color w:val="auto"/>
              </w:rPr>
            </w:pPr>
          </w:p>
        </w:tc>
        <w:tc>
          <w:tcPr>
            <w:tcW w:w="1880" w:type="dxa"/>
            <w:vAlign w:val="bottom"/>
          </w:tcPr>
          <w:p>
            <w:pPr>
              <w:jc w:val="center"/>
              <w:ind w:right="101"/>
              <w:spacing w:after="0" w:line="151" w:lineRule="exact"/>
              <w:rPr>
                <w:sz w:val="20"/>
                <w:szCs w:val="20"/>
                <w:color w:val="auto"/>
              </w:rPr>
            </w:pPr>
            <w:r>
              <w:rPr>
                <w:rFonts w:ascii="Arial" w:cs="Arial" w:eastAsia="Arial" w:hAnsi="Arial"/>
                <w:sz w:val="14"/>
                <w:szCs w:val="14"/>
                <w:b w:val="1"/>
                <w:bCs w:val="1"/>
                <w:color w:val="004E7D"/>
              </w:rPr>
              <w:t>Change in Pension</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004E7D"/>
              </w:rPr>
              <w:t>Stock</w:t>
            </w:r>
          </w:p>
        </w:tc>
        <w:tc>
          <w:tcPr>
            <w:tcW w:w="11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004E7D"/>
              </w:rPr>
              <w:t>Option/SAR</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004E7D"/>
              </w:rPr>
              <w:t>Value And Nonqualified</w:t>
            </w:r>
          </w:p>
        </w:tc>
        <w:tc>
          <w:tcPr>
            <w:tcW w:w="200" w:type="dxa"/>
            <w:vAlign w:val="bottom"/>
          </w:tcPr>
          <w:p>
            <w:pPr>
              <w:spacing w:after="0"/>
              <w:rPr>
                <w:sz w:val="12"/>
                <w:szCs w:val="12"/>
                <w:color w:val="auto"/>
              </w:rPr>
            </w:pPr>
          </w:p>
        </w:tc>
        <w:tc>
          <w:tcPr>
            <w:tcW w:w="12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004E7D"/>
              </w:rPr>
              <w:t>All Other</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Fiscal Year</w:t>
            </w:r>
          </w:p>
        </w:tc>
        <w:tc>
          <w:tcPr>
            <w:tcW w:w="220" w:type="dxa"/>
            <w:vAlign w:val="bottom"/>
          </w:tcPr>
          <w:p>
            <w:pPr>
              <w:spacing w:after="0"/>
              <w:rPr>
                <w:sz w:val="12"/>
                <w:szCs w:val="12"/>
                <w:color w:val="auto"/>
              </w:rPr>
            </w:pPr>
          </w:p>
        </w:tc>
        <w:tc>
          <w:tcPr>
            <w:tcW w:w="8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004E7D"/>
              </w:rPr>
              <w:t>Salary</w:t>
            </w:r>
            <w:r>
              <w:rPr>
                <w:rFonts w:ascii="Arial" w:cs="Arial" w:eastAsia="Arial" w:hAnsi="Arial"/>
                <w:sz w:val="18"/>
                <w:szCs w:val="18"/>
                <w:b w:val="1"/>
                <w:bCs w:val="1"/>
                <w:color w:val="004E7D"/>
                <w:vertAlign w:val="superscript"/>
              </w:rPr>
              <w:t>1</w:t>
            </w:r>
          </w:p>
        </w:tc>
        <w:tc>
          <w:tcPr>
            <w:tcW w:w="2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0A2299"/>
              </w:rPr>
              <w:t>Bonus</w:t>
            </w:r>
          </w:p>
        </w:tc>
        <w:tc>
          <w:tcPr>
            <w:tcW w:w="10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61"/>
              <w:spacing w:after="0" w:line="140" w:lineRule="exact"/>
              <w:rPr>
                <w:sz w:val="20"/>
                <w:szCs w:val="20"/>
                <w:color w:val="auto"/>
              </w:rPr>
            </w:pPr>
            <w:r>
              <w:rPr>
                <w:rFonts w:ascii="Arial" w:cs="Arial" w:eastAsia="Arial" w:hAnsi="Arial"/>
                <w:sz w:val="14"/>
                <w:szCs w:val="14"/>
                <w:b w:val="1"/>
                <w:bCs w:val="1"/>
                <w:color w:val="004E7D"/>
              </w:rPr>
              <w:t>Incentive Plan</w:t>
            </w:r>
          </w:p>
        </w:tc>
        <w:tc>
          <w:tcPr>
            <w:tcW w:w="240" w:type="dxa"/>
            <w:vAlign w:val="bottom"/>
          </w:tcPr>
          <w:p>
            <w:pPr>
              <w:spacing w:after="0"/>
              <w:rPr>
                <w:sz w:val="12"/>
                <w:szCs w:val="12"/>
                <w:color w:val="auto"/>
              </w:rPr>
            </w:pPr>
          </w:p>
        </w:tc>
        <w:tc>
          <w:tcPr>
            <w:tcW w:w="1880" w:type="dxa"/>
            <w:vAlign w:val="bottom"/>
          </w:tcPr>
          <w:p>
            <w:pPr>
              <w:jc w:val="center"/>
              <w:ind w:right="81"/>
              <w:spacing w:after="0" w:line="140" w:lineRule="exact"/>
              <w:rPr>
                <w:sz w:val="20"/>
                <w:szCs w:val="20"/>
                <w:color w:val="auto"/>
              </w:rPr>
            </w:pPr>
            <w:r>
              <w:rPr>
                <w:rFonts w:ascii="Arial" w:cs="Arial" w:eastAsia="Arial" w:hAnsi="Arial"/>
                <w:sz w:val="14"/>
                <w:szCs w:val="14"/>
                <w:b w:val="1"/>
                <w:bCs w:val="1"/>
                <w:color w:val="004E7D"/>
              </w:rPr>
              <w:t>Deferred Compensation</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004E7D"/>
              </w:rPr>
              <w:t>Total</w:t>
            </w:r>
          </w:p>
        </w:tc>
        <w:tc>
          <w:tcPr>
            <w:tcW w:w="0" w:type="dxa"/>
            <w:vAlign w:val="bottom"/>
          </w:tcPr>
          <w:p>
            <w:pPr>
              <w:spacing w:after="0"/>
              <w:rPr>
                <w:sz w:val="1"/>
                <w:szCs w:val="1"/>
                <w:color w:val="auto"/>
              </w:rPr>
            </w:pPr>
          </w:p>
        </w:tc>
      </w:tr>
      <w:tr>
        <w:trPr>
          <w:trHeight w:val="205"/>
        </w:trPr>
        <w:tc>
          <w:tcPr>
            <w:tcW w:w="940" w:type="dxa"/>
            <w:vAlign w:val="bottom"/>
            <w:tcBorders>
              <w:bottom w:val="single" w:sz="8" w:color="004987"/>
            </w:tcBorders>
            <w:vMerge w:val="continue"/>
          </w:tcPr>
          <w:p>
            <w:pPr>
              <w:spacing w:after="0"/>
              <w:rPr>
                <w:sz w:val="17"/>
                <w:szCs w:val="17"/>
                <w:color w:val="auto"/>
              </w:rPr>
            </w:pPr>
          </w:p>
        </w:tc>
        <w:tc>
          <w:tcPr>
            <w:tcW w:w="220" w:type="dxa"/>
            <w:vAlign w:val="bottom"/>
            <w:tcBorders>
              <w:bottom w:val="single" w:sz="8" w:color="004987"/>
            </w:tcBorders>
          </w:tcPr>
          <w:p>
            <w:pPr>
              <w:spacing w:after="0"/>
              <w:rPr>
                <w:sz w:val="17"/>
                <w:szCs w:val="17"/>
                <w:color w:val="auto"/>
              </w:rPr>
            </w:pPr>
          </w:p>
        </w:tc>
        <w:tc>
          <w:tcPr>
            <w:tcW w:w="880" w:type="dxa"/>
            <w:vAlign w:val="bottom"/>
            <w:tcBorders>
              <w:bottom w:val="single" w:sz="8" w:color="004987"/>
            </w:tcBorders>
            <w:vMerge w:val="continue"/>
          </w:tcPr>
          <w:p>
            <w:pPr>
              <w:spacing w:after="0"/>
              <w:rPr>
                <w:sz w:val="17"/>
                <w:szCs w:val="17"/>
                <w:color w:val="auto"/>
              </w:rPr>
            </w:pPr>
          </w:p>
        </w:tc>
        <w:tc>
          <w:tcPr>
            <w:tcW w:w="200" w:type="dxa"/>
            <w:vAlign w:val="bottom"/>
            <w:tcBorders>
              <w:bottom w:val="single" w:sz="8" w:color="004987"/>
            </w:tcBorders>
          </w:tcPr>
          <w:p>
            <w:pPr>
              <w:spacing w:after="0"/>
              <w:rPr>
                <w:sz w:val="17"/>
                <w:szCs w:val="17"/>
                <w:color w:val="auto"/>
              </w:rPr>
            </w:pPr>
          </w:p>
        </w:tc>
        <w:tc>
          <w:tcPr>
            <w:tcW w:w="620" w:type="dxa"/>
            <w:vAlign w:val="bottom"/>
            <w:tcBorders>
              <w:bottom w:val="single" w:sz="8" w:color="004987"/>
            </w:tcBorders>
            <w:vMerge w:val="continue"/>
          </w:tcPr>
          <w:p>
            <w:pPr>
              <w:spacing w:after="0"/>
              <w:rPr>
                <w:sz w:val="17"/>
                <w:szCs w:val="17"/>
                <w:color w:val="auto"/>
              </w:rPr>
            </w:pPr>
          </w:p>
        </w:tc>
        <w:tc>
          <w:tcPr>
            <w:tcW w:w="1080" w:type="dxa"/>
            <w:vAlign w:val="bottom"/>
            <w:tcBorders>
              <w:bottom w:val="single" w:sz="8" w:color="004987"/>
            </w:tcBorders>
          </w:tcPr>
          <w:p>
            <w:pPr>
              <w:jc w:val="right"/>
              <w:ind w:right="160"/>
              <w:spacing w:after="0"/>
              <w:rPr>
                <w:sz w:val="20"/>
                <w:szCs w:val="20"/>
                <w:color w:val="auto"/>
              </w:rPr>
            </w:pPr>
            <w:r>
              <w:rPr>
                <w:rFonts w:ascii="Arial" w:cs="Arial" w:eastAsia="Arial" w:hAnsi="Arial"/>
                <w:sz w:val="14"/>
                <w:szCs w:val="14"/>
                <w:b w:val="1"/>
                <w:bCs w:val="1"/>
                <w:color w:val="004E7D"/>
              </w:rPr>
              <w:t>Awards</w:t>
            </w:r>
            <w:r>
              <w:rPr>
                <w:rFonts w:ascii="Arial" w:cs="Arial" w:eastAsia="Arial" w:hAnsi="Arial"/>
                <w:sz w:val="9"/>
                <w:szCs w:val="9"/>
                <w:b w:val="1"/>
                <w:bCs w:val="1"/>
                <w:color w:val="004E7D"/>
              </w:rPr>
              <w:t>2</w:t>
            </w:r>
          </w:p>
        </w:tc>
        <w:tc>
          <w:tcPr>
            <w:tcW w:w="1140" w:type="dxa"/>
            <w:vAlign w:val="bottom"/>
            <w:tcBorders>
              <w:bottom w:val="single" w:sz="8" w:color="004987"/>
            </w:tcBorders>
          </w:tcPr>
          <w:p>
            <w:pPr>
              <w:jc w:val="right"/>
              <w:ind w:right="200"/>
              <w:spacing w:after="0"/>
              <w:rPr>
                <w:sz w:val="20"/>
                <w:szCs w:val="20"/>
                <w:color w:val="auto"/>
              </w:rPr>
            </w:pPr>
            <w:r>
              <w:rPr>
                <w:rFonts w:ascii="Arial" w:cs="Arial" w:eastAsia="Arial" w:hAnsi="Arial"/>
                <w:sz w:val="14"/>
                <w:szCs w:val="14"/>
                <w:b w:val="1"/>
                <w:bCs w:val="1"/>
                <w:color w:val="004E7D"/>
              </w:rPr>
              <w:t>Awards</w:t>
            </w:r>
            <w:r>
              <w:rPr>
                <w:rFonts w:ascii="Arial" w:cs="Arial" w:eastAsia="Arial" w:hAnsi="Arial"/>
                <w:sz w:val="9"/>
                <w:szCs w:val="9"/>
                <w:b w:val="1"/>
                <w:bCs w:val="1"/>
                <w:color w:val="004E7D"/>
              </w:rPr>
              <w:t>2</w:t>
            </w:r>
          </w:p>
        </w:tc>
        <w:tc>
          <w:tcPr>
            <w:tcW w:w="200" w:type="dxa"/>
            <w:vAlign w:val="bottom"/>
            <w:tcBorders>
              <w:bottom w:val="single" w:sz="8" w:color="004987"/>
            </w:tcBorders>
          </w:tcPr>
          <w:p>
            <w:pPr>
              <w:spacing w:after="0"/>
              <w:rPr>
                <w:sz w:val="17"/>
                <w:szCs w:val="17"/>
                <w:color w:val="auto"/>
              </w:rPr>
            </w:pPr>
          </w:p>
        </w:tc>
        <w:tc>
          <w:tcPr>
            <w:tcW w:w="1200" w:type="dxa"/>
            <w:vAlign w:val="bottom"/>
            <w:tcBorders>
              <w:bottom w:val="single" w:sz="8" w:color="004987"/>
            </w:tcBorders>
          </w:tcPr>
          <w:p>
            <w:pPr>
              <w:jc w:val="center"/>
              <w:ind w:right="41"/>
              <w:spacing w:after="0"/>
              <w:rPr>
                <w:sz w:val="20"/>
                <w:szCs w:val="20"/>
                <w:color w:val="auto"/>
              </w:rPr>
            </w:pPr>
            <w:r>
              <w:rPr>
                <w:rFonts w:ascii="Arial" w:cs="Arial" w:eastAsia="Arial" w:hAnsi="Arial"/>
                <w:sz w:val="14"/>
                <w:szCs w:val="14"/>
                <w:b w:val="1"/>
                <w:bCs w:val="1"/>
                <w:color w:val="004E7D"/>
              </w:rPr>
              <w:t>Compensation</w:t>
            </w:r>
            <w:r>
              <w:rPr>
                <w:rFonts w:ascii="Arial" w:cs="Arial" w:eastAsia="Arial" w:hAnsi="Arial"/>
                <w:sz w:val="8"/>
                <w:szCs w:val="8"/>
                <w:b w:val="1"/>
                <w:bCs w:val="1"/>
                <w:color w:val="004E7D"/>
              </w:rPr>
              <w:t>3</w:t>
            </w:r>
          </w:p>
        </w:tc>
        <w:tc>
          <w:tcPr>
            <w:tcW w:w="240" w:type="dxa"/>
            <w:vAlign w:val="bottom"/>
            <w:tcBorders>
              <w:bottom w:val="single" w:sz="8" w:color="004987"/>
            </w:tcBorders>
          </w:tcPr>
          <w:p>
            <w:pPr>
              <w:spacing w:after="0"/>
              <w:rPr>
                <w:sz w:val="17"/>
                <w:szCs w:val="17"/>
                <w:color w:val="auto"/>
              </w:rPr>
            </w:pPr>
          </w:p>
        </w:tc>
        <w:tc>
          <w:tcPr>
            <w:tcW w:w="1880" w:type="dxa"/>
            <w:vAlign w:val="bottom"/>
            <w:tcBorders>
              <w:bottom w:val="single" w:sz="8" w:color="004987"/>
            </w:tcBorders>
          </w:tcPr>
          <w:p>
            <w:pPr>
              <w:jc w:val="center"/>
              <w:ind w:right="101"/>
              <w:spacing w:after="0"/>
              <w:rPr>
                <w:sz w:val="20"/>
                <w:szCs w:val="20"/>
                <w:color w:val="auto"/>
              </w:rPr>
            </w:pPr>
            <w:r>
              <w:rPr>
                <w:rFonts w:ascii="Arial" w:cs="Arial" w:eastAsia="Arial" w:hAnsi="Arial"/>
                <w:sz w:val="14"/>
                <w:szCs w:val="14"/>
                <w:b w:val="1"/>
                <w:bCs w:val="1"/>
                <w:color w:val="004E7D"/>
              </w:rPr>
              <w:t>Earnings</w:t>
            </w:r>
            <w:r>
              <w:rPr>
                <w:rFonts w:ascii="Arial" w:cs="Arial" w:eastAsia="Arial" w:hAnsi="Arial"/>
                <w:sz w:val="16"/>
                <w:szCs w:val="16"/>
                <w:b w:val="1"/>
                <w:bCs w:val="1"/>
                <w:color w:val="004E7D"/>
                <w:vertAlign w:val="superscript"/>
              </w:rPr>
              <w:t>4</w:t>
            </w:r>
          </w:p>
        </w:tc>
        <w:tc>
          <w:tcPr>
            <w:tcW w:w="200" w:type="dxa"/>
            <w:vAlign w:val="bottom"/>
            <w:tcBorders>
              <w:bottom w:val="single" w:sz="8" w:color="004987"/>
            </w:tcBorders>
          </w:tcPr>
          <w:p>
            <w:pPr>
              <w:spacing w:after="0"/>
              <w:rPr>
                <w:sz w:val="17"/>
                <w:szCs w:val="17"/>
                <w:color w:val="auto"/>
              </w:rPr>
            </w:pPr>
          </w:p>
        </w:tc>
        <w:tc>
          <w:tcPr>
            <w:tcW w:w="1220" w:type="dxa"/>
            <w:vAlign w:val="bottom"/>
            <w:tcBorders>
              <w:bottom w:val="single" w:sz="8" w:color="004987"/>
            </w:tcBorders>
          </w:tcPr>
          <w:p>
            <w:pPr>
              <w:jc w:val="right"/>
              <w:ind w:right="80"/>
              <w:spacing w:after="0"/>
              <w:rPr>
                <w:sz w:val="20"/>
                <w:szCs w:val="20"/>
                <w:color w:val="auto"/>
              </w:rPr>
            </w:pPr>
            <w:r>
              <w:rPr>
                <w:rFonts w:ascii="Arial" w:cs="Arial" w:eastAsia="Arial" w:hAnsi="Arial"/>
                <w:sz w:val="14"/>
                <w:szCs w:val="14"/>
                <w:b w:val="1"/>
                <w:bCs w:val="1"/>
                <w:color w:val="004E7D"/>
              </w:rPr>
              <w:t>Compensation</w:t>
            </w:r>
            <w:r>
              <w:rPr>
                <w:rFonts w:ascii="Arial" w:cs="Arial" w:eastAsia="Arial" w:hAnsi="Arial"/>
                <w:sz w:val="8"/>
                <w:szCs w:val="8"/>
                <w:b w:val="1"/>
                <w:bCs w:val="1"/>
                <w:color w:val="004E7D"/>
              </w:rPr>
              <w:t>5</w:t>
            </w:r>
          </w:p>
        </w:tc>
        <w:tc>
          <w:tcPr>
            <w:tcW w:w="1200" w:type="dxa"/>
            <w:vAlign w:val="bottom"/>
            <w:tcBorders>
              <w:bottom w:val="single" w:sz="8" w:color="00498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004E7D"/>
              </w:rPr>
              <w:t>Stephen P. Weisz</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Chief Executive Officer</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1,030,000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$ 4,410,027</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  1,890,006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2,456,661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8,265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37,932</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  9,832,891</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6,532,668</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2,750,017</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2,842,631</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76,703</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21,918</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13,223,937</w:t>
            </w: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699,712</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3,942,939</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1,379,988</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79,763</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31,607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6,134,009</w:t>
            </w:r>
          </w:p>
        </w:tc>
        <w:tc>
          <w:tcPr>
            <w:tcW w:w="0" w:type="dxa"/>
            <w:vAlign w:val="bottom"/>
          </w:tcPr>
          <w:p>
            <w:pPr>
              <w:spacing w:after="0"/>
              <w:rPr>
                <w:sz w:val="1"/>
                <w:szCs w:val="1"/>
                <w:color w:val="auto"/>
              </w:rPr>
            </w:pPr>
          </w:p>
        </w:tc>
      </w:tr>
      <w:tr>
        <w:trPr>
          <w:trHeight w:val="155"/>
        </w:trPr>
        <w:tc>
          <w:tcPr>
            <w:tcW w:w="20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00497F"/>
              </w:rPr>
              <w:t>John E. Geller, Jr.</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President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4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695,500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1,399,982</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600,023</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1,382,369</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1,868</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25,350</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4,105,092</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675,000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2,368,878</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999,980</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1,279,184</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12,336</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25,347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5,360,725</w:t>
            </w: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477,014</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1,321,060</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449,991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11,560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20,713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2,280,338</w:t>
            </w:r>
          </w:p>
        </w:tc>
        <w:tc>
          <w:tcPr>
            <w:tcW w:w="0" w:type="dxa"/>
            <w:vAlign w:val="bottom"/>
          </w:tcPr>
          <w:p>
            <w:pPr>
              <w:spacing w:after="0"/>
              <w:rPr>
                <w:sz w:val="1"/>
                <w:szCs w:val="1"/>
                <w:color w:val="auto"/>
              </w:rPr>
            </w:pPr>
          </w:p>
        </w:tc>
      </w:tr>
      <w:tr>
        <w:trPr>
          <w:trHeight w:val="155"/>
        </w:trPr>
        <w:tc>
          <w:tcPr>
            <w:tcW w:w="20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004E7D"/>
              </w:rPr>
              <w:t>Anthony E. Terry</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9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475,000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700,068</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300,011</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755,284</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1,920</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18,689</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2,250,972</w:t>
            </w: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366,530</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683,569</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93,978</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384,460</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10,931</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15,491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1,554,959</w:t>
            </w:r>
          </w:p>
        </w:tc>
        <w:tc>
          <w:tcPr>
            <w:tcW w:w="0" w:type="dxa"/>
            <w:vAlign w:val="bottom"/>
          </w:tcPr>
          <w:p>
            <w:pPr>
              <w:spacing w:after="0"/>
              <w:rPr>
                <w:sz w:val="1"/>
                <w:szCs w:val="1"/>
                <w:color w:val="auto"/>
              </w:rPr>
            </w:pPr>
          </w:p>
        </w:tc>
      </w:tr>
      <w:tr>
        <w:trPr>
          <w:trHeight w:val="156"/>
        </w:trPr>
        <w:tc>
          <w:tcPr>
            <w:tcW w:w="11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004E7D"/>
              </w:rPr>
              <w:t>Brian E. Miller</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President, Vacation Ownership</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793,000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839,867</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359,990</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1,260,927</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6,776</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26,665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3,287,225</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770,000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1,272,027</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550,017</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1,313,296</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39,471</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26,675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3,971,486</w:t>
            </w: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561,943</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910,536</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269,989</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39,515</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1,804,105</w:t>
            </w:r>
          </w:p>
        </w:tc>
        <w:tc>
          <w:tcPr>
            <w:tcW w:w="0" w:type="dxa"/>
            <w:vAlign w:val="bottom"/>
          </w:tcPr>
          <w:p>
            <w:pPr>
              <w:spacing w:after="0"/>
              <w:rPr>
                <w:sz w:val="1"/>
                <w:szCs w:val="1"/>
                <w:color w:val="auto"/>
              </w:rPr>
            </w:pPr>
          </w:p>
        </w:tc>
      </w:tr>
      <w:tr>
        <w:trPr>
          <w:trHeight w:val="156"/>
        </w:trPr>
        <w:tc>
          <w:tcPr>
            <w:tcW w:w="20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004E7D"/>
              </w:rPr>
              <w:t>Jeanette E. Marbert</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9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color w:val="auto"/>
              </w:rPr>
              <w:t>President, Exchange and Third-Party Management</w:t>
            </w: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541,000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700,068</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300,011</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860,229</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21,475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2,422,890</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525,000</w:t>
            </w:r>
          </w:p>
        </w:tc>
        <w:tc>
          <w:tcPr>
            <w:tcW w:w="2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1,207,755</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499,990</w:t>
            </w:r>
          </w:p>
        </w:tc>
        <w:tc>
          <w:tcPr>
            <w:tcW w:w="20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895,429</w:t>
            </w:r>
          </w:p>
        </w:tc>
        <w:tc>
          <w:tcPr>
            <w:tcW w:w="240" w:type="dxa"/>
            <w:vAlign w:val="bottom"/>
          </w:tcPr>
          <w:p>
            <w:pPr>
              <w:spacing w:after="0"/>
              <w:rPr>
                <w:sz w:val="18"/>
                <w:szCs w:val="18"/>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21,308</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3,149,722</w:t>
            </w:r>
          </w:p>
        </w:tc>
        <w:tc>
          <w:tcPr>
            <w:tcW w:w="0" w:type="dxa"/>
            <w:vAlign w:val="bottom"/>
          </w:tcPr>
          <w:p>
            <w:pPr>
              <w:spacing w:after="0"/>
              <w:rPr>
                <w:sz w:val="1"/>
                <w:szCs w:val="1"/>
                <w:color w:val="auto"/>
              </w:rPr>
            </w:pPr>
          </w:p>
        </w:tc>
      </w:tr>
      <w:tr>
        <w:trPr>
          <w:trHeight w:val="217"/>
        </w:trPr>
        <w:tc>
          <w:tcPr>
            <w:tcW w:w="940" w:type="dxa"/>
            <w:vAlign w:val="bottom"/>
            <w:tcBorders>
              <w:bottom w:val="single" w:sz="8" w:color="00497F"/>
            </w:tcBorders>
          </w:tcPr>
          <w:p>
            <w:pPr>
              <w:jc w:val="center"/>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00497F"/>
            </w:tcBorders>
          </w:tcPr>
          <w:p>
            <w:pPr>
              <w:spacing w:after="0"/>
              <w:rPr>
                <w:sz w:val="18"/>
                <w:szCs w:val="18"/>
                <w:color w:val="auto"/>
              </w:rPr>
            </w:pPr>
          </w:p>
        </w:tc>
        <w:tc>
          <w:tcPr>
            <w:tcW w:w="880" w:type="dxa"/>
            <w:vAlign w:val="bottom"/>
            <w:tcBorders>
              <w:bottom w:val="single" w:sz="8" w:color="00497F"/>
            </w:tcBorders>
          </w:tcPr>
          <w:p>
            <w:pPr>
              <w:jc w:val="right"/>
              <w:ind w:right="20"/>
              <w:spacing w:after="0"/>
              <w:rPr>
                <w:sz w:val="20"/>
                <w:szCs w:val="20"/>
                <w:color w:val="auto"/>
              </w:rPr>
            </w:pPr>
            <w:r>
              <w:rPr>
                <w:rFonts w:ascii="Arial" w:cs="Arial" w:eastAsia="Arial" w:hAnsi="Arial"/>
                <w:sz w:val="16"/>
                <w:szCs w:val="16"/>
                <w:color w:val="auto"/>
              </w:rPr>
              <w:t>366,808</w:t>
            </w:r>
          </w:p>
        </w:tc>
        <w:tc>
          <w:tcPr>
            <w:tcW w:w="200" w:type="dxa"/>
            <w:vAlign w:val="bottom"/>
            <w:tcBorders>
              <w:bottom w:val="single" w:sz="8" w:color="00497F"/>
            </w:tcBorders>
          </w:tcPr>
          <w:p>
            <w:pPr>
              <w:spacing w:after="0"/>
              <w:rPr>
                <w:sz w:val="18"/>
                <w:szCs w:val="18"/>
                <w:color w:val="auto"/>
              </w:rPr>
            </w:pPr>
          </w:p>
        </w:tc>
        <w:tc>
          <w:tcPr>
            <w:tcW w:w="620" w:type="dxa"/>
            <w:vAlign w:val="bottom"/>
            <w:tcBorders>
              <w:bottom w:val="single" w:sz="8" w:color="00497F"/>
            </w:tcBorders>
          </w:tcPr>
          <w:p>
            <w:pPr>
              <w:ind w:lef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0497F"/>
            </w:tcBorders>
          </w:tcPr>
          <w:p>
            <w:pPr>
              <w:jc w:val="right"/>
              <w:ind w:right="20"/>
              <w:spacing w:after="0"/>
              <w:rPr>
                <w:sz w:val="20"/>
                <w:szCs w:val="20"/>
                <w:color w:val="auto"/>
              </w:rPr>
            </w:pPr>
            <w:r>
              <w:rPr>
                <w:rFonts w:ascii="Arial" w:cs="Arial" w:eastAsia="Arial" w:hAnsi="Arial"/>
                <w:sz w:val="16"/>
                <w:szCs w:val="16"/>
                <w:color w:val="auto"/>
              </w:rPr>
              <w:t>629,973</w:t>
            </w:r>
          </w:p>
        </w:tc>
        <w:tc>
          <w:tcPr>
            <w:tcW w:w="1140" w:type="dxa"/>
            <w:vAlign w:val="bottom"/>
            <w:tcBorders>
              <w:bottom w:val="single" w:sz="8" w:color="00497F"/>
            </w:tcBorders>
          </w:tcPr>
          <w:p>
            <w:pPr>
              <w:jc w:val="right"/>
              <w:ind w:right="40"/>
              <w:spacing w:after="0"/>
              <w:rPr>
                <w:sz w:val="20"/>
                <w:szCs w:val="20"/>
                <w:color w:val="auto"/>
              </w:rPr>
            </w:pPr>
            <w:r>
              <w:rPr>
                <w:rFonts w:ascii="Arial" w:cs="Arial" w:eastAsia="Arial" w:hAnsi="Arial"/>
                <w:sz w:val="16"/>
                <w:szCs w:val="16"/>
                <w:color w:val="auto"/>
              </w:rPr>
              <w:t>269,989</w:t>
            </w:r>
          </w:p>
        </w:tc>
        <w:tc>
          <w:tcPr>
            <w:tcW w:w="200" w:type="dxa"/>
            <w:vAlign w:val="bottom"/>
            <w:tcBorders>
              <w:bottom w:val="single" w:sz="8" w:color="00497F"/>
            </w:tcBorders>
          </w:tcPr>
          <w:p>
            <w:pPr>
              <w:spacing w:after="0"/>
              <w:rPr>
                <w:sz w:val="18"/>
                <w:szCs w:val="18"/>
                <w:color w:val="auto"/>
              </w:rPr>
            </w:pPr>
          </w:p>
        </w:tc>
        <w:tc>
          <w:tcPr>
            <w:tcW w:w="1200" w:type="dxa"/>
            <w:vAlign w:val="bottom"/>
            <w:tcBorders>
              <w:bottom w:val="single" w:sz="8" w:color="00497F"/>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00497F"/>
            </w:tcBorders>
          </w:tcPr>
          <w:p>
            <w:pPr>
              <w:spacing w:after="0"/>
              <w:rPr>
                <w:sz w:val="18"/>
                <w:szCs w:val="18"/>
                <w:color w:val="auto"/>
              </w:rPr>
            </w:pPr>
          </w:p>
        </w:tc>
        <w:tc>
          <w:tcPr>
            <w:tcW w:w="1880" w:type="dxa"/>
            <w:vAlign w:val="bottom"/>
            <w:tcBorders>
              <w:bottom w:val="single" w:sz="8" w:color="00497F"/>
            </w:tcBorders>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0497F"/>
            </w:tcBorders>
          </w:tcPr>
          <w:p>
            <w:pPr>
              <w:spacing w:after="0"/>
              <w:rPr>
                <w:sz w:val="18"/>
                <w:szCs w:val="18"/>
                <w:color w:val="auto"/>
              </w:rPr>
            </w:pPr>
          </w:p>
        </w:tc>
        <w:tc>
          <w:tcPr>
            <w:tcW w:w="1220" w:type="dxa"/>
            <w:vAlign w:val="bottom"/>
            <w:tcBorders>
              <w:bottom w:val="single" w:sz="8" w:color="00497F"/>
            </w:tcBorders>
          </w:tcPr>
          <w:p>
            <w:pPr>
              <w:jc w:val="right"/>
              <w:ind w:right="20"/>
              <w:spacing w:after="0"/>
              <w:rPr>
                <w:sz w:val="20"/>
                <w:szCs w:val="20"/>
                <w:color w:val="auto"/>
              </w:rPr>
            </w:pPr>
            <w:r>
              <w:rPr>
                <w:rFonts w:ascii="Arial" w:cs="Arial" w:eastAsia="Arial" w:hAnsi="Arial"/>
                <w:sz w:val="16"/>
                <w:szCs w:val="16"/>
                <w:color w:val="auto"/>
              </w:rPr>
              <w:t>17,685</w:t>
            </w:r>
          </w:p>
        </w:tc>
        <w:tc>
          <w:tcPr>
            <w:tcW w:w="1200" w:type="dxa"/>
            <w:vAlign w:val="bottom"/>
            <w:tcBorders>
              <w:bottom w:val="single" w:sz="8" w:color="00497F"/>
            </w:tcBorders>
          </w:tcPr>
          <w:p>
            <w:pPr>
              <w:jc w:val="right"/>
              <w:spacing w:after="0"/>
              <w:rPr>
                <w:sz w:val="20"/>
                <w:szCs w:val="20"/>
                <w:color w:val="auto"/>
              </w:rPr>
            </w:pPr>
            <w:r>
              <w:rPr>
                <w:rFonts w:ascii="Arial" w:cs="Arial" w:eastAsia="Arial" w:hAnsi="Arial"/>
                <w:sz w:val="16"/>
                <w:szCs w:val="16"/>
                <w:b w:val="1"/>
                <w:bCs w:val="1"/>
                <w:color w:val="auto"/>
              </w:rPr>
              <w:t>1,284,455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This column reports all amounts earned as salary during the fiscal year, whether paid or deferred under employee benefit plans.</w:t>
      </w:r>
    </w:p>
    <w:p>
      <w:pPr>
        <w:spacing w:after="0" w:line="96" w:lineRule="exact"/>
        <w:rPr>
          <w:sz w:val="20"/>
          <w:szCs w:val="20"/>
          <w:color w:val="auto"/>
        </w:rPr>
      </w:pPr>
    </w:p>
    <w:p>
      <w:pPr>
        <w:ind w:left="220" w:right="40" w:hanging="212"/>
        <w:spacing w:after="0" w:line="249" w:lineRule="auto"/>
        <w:tabs>
          <w:tab w:leader="none" w:pos="280"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The value reported for Stock Awards and Option/SAR awards is the aggregate grant date fair value of the awards granted in the fiscal year as determined in accordance with accounting guidance for share-based payments, although we recognize the expense of the awards for financial reporting purposes over the service period of the awards. The assumptions for making the valuation determinations are set forth in Footnote 18, “Share-Based Compensation,” of the Notes to our Consolidated Financial Statements included in the 2022 Annual Report. For additional information on these awards, see the Grants of Plan-Based Awards for Fiscal Year 2022 table below. The value reported for the Performance Units granted in 2022 is the grant date value assuming performance at target, which was the most probable outcome of the performance conditions on the grant date. The values of the Performance Units granted in 2022 at the grant date assuming the maximum level of performance conditions is achieved are: Mr. Weisz, $6,299,995; Mr. Geller, $2,000,008; Mr. Terry, $1,000,004; Mr. Miller, $1,199,883; and Ms. Marbert, $1,000,004. The values reported for the 2020 Stock Awards represent the aggregate grant date fair value of awards and the incremental fair value related to the modification of the 2018 Performance Units as discussed in the Company's 2020 proxy statement. The values reported for the 2021 Stock Awards represent the aggregate grant date fair value of awards and the incremental fair value related to the modification of the 2019 Performance Units, as discussed in the Company’s 2021 proxy statement.</w:t>
      </w:r>
    </w:p>
    <w:p>
      <w:pPr>
        <w:spacing w:after="0" w:line="82" w:lineRule="exact"/>
        <w:rPr>
          <w:sz w:val="20"/>
          <w:szCs w:val="20"/>
          <w:color w:val="auto"/>
        </w:rPr>
      </w:pPr>
    </w:p>
    <w:p>
      <w:pPr>
        <w:ind w:left="220" w:right="40" w:hanging="212"/>
        <w:spacing w:after="0" w:line="238" w:lineRule="auto"/>
        <w:tabs>
          <w:tab w:leader="none" w:pos="280"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This column reports all amounts earned under the bonus plan in effect for such fiscal year, whether paid or deferred under other employee benefit plans. Amounts earned under a bonus plan during a fiscal year were paid in the first quarter of the following fiscal year except for 2021 which was split into two six (6) month plans and the first half paid during the 2021 fiscal year.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7" w:name="page48"/>
    <w:bookmarkEnd w:id="47"/>
    <w:p>
      <w:pPr>
        <w:ind w:left="220" w:right="80" w:hanging="212"/>
        <w:spacing w:after="0" w:line="233" w:lineRule="auto"/>
        <w:tabs>
          <w:tab w:leader="none" w:pos="28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The values reported equal the excess of the return on amounts credited to accounts in the MVW Deferred Compensation Plan and the Marriott Deferred Compensation Plan at a fixed rate of return over 120% of the applicable federal long-term rate, as discussed below under “Nonqualified Deferred Compensation for Fiscal Year 2022.”</w:t>
      </w:r>
    </w:p>
    <w:p>
      <w:pPr>
        <w:spacing w:after="0" w:line="97" w:lineRule="exact"/>
        <w:rPr>
          <w:sz w:val="20"/>
          <w:szCs w:val="20"/>
          <w:color w:val="auto"/>
        </w:rPr>
      </w:pPr>
    </w:p>
    <w:p>
      <w:pPr>
        <w:ind w:left="220" w:right="40" w:hanging="212"/>
        <w:spacing w:after="0"/>
        <w:tabs>
          <w:tab w:leader="none" w:pos="274"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All Other Compensation for 2022 consists of company contributions to the 401(k) Plan ($10,294 for each named executive officer); company contributions to the MVW Deferred Compensation Plan ($26,738 for Mr. Weisz; $14,642 for Mr. Geller; $8,148 for Mr. Terry; $15,921 for Mr. Miller; and $10,859 for Ms. Marbert); and premiums for an insurance policy on the life of each named executive officer ($900 for Mr. Weisz; $414 for Mr. Geller; $247 for Mr. Terry; $450 for Mr. Miller; and $322 for Ms. Marbert).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for Fiscal Year 2022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plan-based awards granted to the named executive officers in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ind w:right="19"/>
              <w:spacing w:after="0"/>
              <w:rPr>
                <w:sz w:val="20"/>
                <w:szCs w:val="20"/>
                <w:color w:val="auto"/>
              </w:rPr>
            </w:pPr>
            <w:r>
              <w:rPr>
                <w:rFonts w:ascii="Arial" w:cs="Arial" w:eastAsia="Arial" w:hAnsi="Arial"/>
                <w:sz w:val="12"/>
                <w:szCs w:val="12"/>
                <w:b w:val="1"/>
                <w:bCs w:val="1"/>
                <w:color w:val="004E7D"/>
                <w:w w:val="98"/>
              </w:rPr>
              <w:t>All Other</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jc w:val="center"/>
              <w:ind w:right="19"/>
              <w:spacing w:after="0" w:line="122" w:lineRule="exact"/>
              <w:rPr>
                <w:sz w:val="20"/>
                <w:szCs w:val="20"/>
                <w:color w:val="auto"/>
              </w:rPr>
            </w:pPr>
            <w:r>
              <w:rPr>
                <w:rFonts w:ascii="Arial" w:cs="Arial" w:eastAsia="Arial" w:hAnsi="Arial"/>
                <w:sz w:val="12"/>
                <w:szCs w:val="12"/>
                <w:b w:val="1"/>
                <w:bCs w:val="1"/>
                <w:color w:val="004E7D"/>
                <w:w w:val="94"/>
              </w:rPr>
              <w:t>Options/</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vMerge w:val="restart"/>
          </w:tcPr>
          <w:p>
            <w:pPr>
              <w:jc w:val="center"/>
              <w:ind w:left="38"/>
              <w:spacing w:after="0"/>
              <w:rPr>
                <w:sz w:val="20"/>
                <w:szCs w:val="20"/>
                <w:color w:val="auto"/>
              </w:rPr>
            </w:pPr>
            <w:r>
              <w:rPr>
                <w:rFonts w:ascii="Arial" w:cs="Arial" w:eastAsia="Arial" w:hAnsi="Arial"/>
                <w:sz w:val="12"/>
                <w:szCs w:val="12"/>
                <w:b w:val="1"/>
                <w:bCs w:val="1"/>
                <w:color w:val="004E7D"/>
                <w:w w:val="98"/>
              </w:rPr>
              <w:t>All Other</w:t>
            </w:r>
          </w:p>
        </w:tc>
        <w:tc>
          <w:tcPr>
            <w:tcW w:w="860" w:type="dxa"/>
            <w:vAlign w:val="bottom"/>
          </w:tcPr>
          <w:p>
            <w:pPr>
              <w:jc w:val="center"/>
              <w:ind w:right="19"/>
              <w:spacing w:after="0" w:line="118" w:lineRule="exact"/>
              <w:rPr>
                <w:sz w:val="20"/>
                <w:szCs w:val="20"/>
                <w:color w:val="auto"/>
              </w:rPr>
            </w:pPr>
            <w:r>
              <w:rPr>
                <w:rFonts w:ascii="Arial" w:cs="Arial" w:eastAsia="Arial" w:hAnsi="Arial"/>
                <w:sz w:val="12"/>
                <w:szCs w:val="12"/>
                <w:b w:val="1"/>
                <w:bCs w:val="1"/>
                <w:color w:val="004E7D"/>
              </w:rPr>
              <w:t>SAR</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60" w:type="dxa"/>
            <w:vAlign w:val="bottom"/>
          </w:tcPr>
          <w:p>
            <w:pPr>
              <w:jc w:val="center"/>
              <w:ind w:right="19"/>
              <w:spacing w:after="0" w:line="112" w:lineRule="exact"/>
              <w:rPr>
                <w:sz w:val="20"/>
                <w:szCs w:val="20"/>
                <w:color w:val="auto"/>
              </w:rPr>
            </w:pPr>
            <w:r>
              <w:rPr>
                <w:rFonts w:ascii="Arial" w:cs="Arial" w:eastAsia="Arial" w:hAnsi="Arial"/>
                <w:sz w:val="12"/>
                <w:szCs w:val="12"/>
                <w:b w:val="1"/>
                <w:bCs w:val="1"/>
                <w:color w:val="004E7D"/>
                <w:w w:val="97"/>
              </w:rPr>
              <w:t>Awards:</w:t>
            </w: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6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004E7D"/>
                <w:w w:val="97"/>
              </w:rPr>
              <w:t>Estimated Possible Payouts Under</w:t>
            </w:r>
          </w:p>
        </w:tc>
        <w:tc>
          <w:tcPr>
            <w:tcW w:w="2520" w:type="dxa"/>
            <w:vAlign w:val="bottom"/>
            <w:gridSpan w:val="3"/>
            <w:vMerge w:val="restart"/>
          </w:tcPr>
          <w:p>
            <w:pPr>
              <w:jc w:val="right"/>
              <w:ind w:right="417"/>
              <w:spacing w:after="0"/>
              <w:rPr>
                <w:sz w:val="20"/>
                <w:szCs w:val="20"/>
                <w:color w:val="auto"/>
              </w:rPr>
            </w:pPr>
            <w:r>
              <w:rPr>
                <w:rFonts w:ascii="Arial" w:cs="Arial" w:eastAsia="Arial" w:hAnsi="Arial"/>
                <w:sz w:val="12"/>
                <w:szCs w:val="12"/>
                <w:b w:val="1"/>
                <w:bCs w:val="1"/>
                <w:color w:val="004E7D"/>
              </w:rPr>
              <w:t>Estimated Possible Payouts</w:t>
            </w:r>
          </w:p>
        </w:tc>
        <w:tc>
          <w:tcPr>
            <w:tcW w:w="800" w:type="dxa"/>
            <w:vAlign w:val="bottom"/>
          </w:tcPr>
          <w:p>
            <w:pPr>
              <w:jc w:val="center"/>
              <w:ind w:left="18"/>
              <w:spacing w:after="0" w:line="122" w:lineRule="exact"/>
              <w:rPr>
                <w:sz w:val="20"/>
                <w:szCs w:val="20"/>
                <w:color w:val="auto"/>
              </w:rPr>
            </w:pPr>
            <w:r>
              <w:rPr>
                <w:rFonts w:ascii="Arial" w:cs="Arial" w:eastAsia="Arial" w:hAnsi="Arial"/>
                <w:sz w:val="12"/>
                <w:szCs w:val="12"/>
                <w:b w:val="1"/>
                <w:bCs w:val="1"/>
                <w:color w:val="004E7D"/>
                <w:w w:val="97"/>
              </w:rPr>
              <w:t>Stock</w:t>
            </w:r>
          </w:p>
        </w:tc>
        <w:tc>
          <w:tcPr>
            <w:tcW w:w="860" w:type="dxa"/>
            <w:vAlign w:val="bottom"/>
          </w:tcPr>
          <w:p>
            <w:pPr>
              <w:jc w:val="center"/>
              <w:ind w:right="19"/>
              <w:spacing w:after="0" w:line="122" w:lineRule="exact"/>
              <w:rPr>
                <w:sz w:val="20"/>
                <w:szCs w:val="20"/>
                <w:color w:val="auto"/>
              </w:rPr>
            </w:pPr>
            <w:r>
              <w:rPr>
                <w:rFonts w:ascii="Arial" w:cs="Arial" w:eastAsia="Arial" w:hAnsi="Arial"/>
                <w:sz w:val="12"/>
                <w:szCs w:val="12"/>
                <w:b w:val="1"/>
                <w:bCs w:val="1"/>
                <w:color w:val="004E7D"/>
                <w:w w:val="96"/>
              </w:rPr>
              <w:t>Number of</w:t>
            </w:r>
          </w:p>
        </w:tc>
        <w:tc>
          <w:tcPr>
            <w:tcW w:w="720" w:type="dxa"/>
            <w:vAlign w:val="bottom"/>
          </w:tcPr>
          <w:p>
            <w:pPr>
              <w:spacing w:after="0"/>
              <w:rPr>
                <w:sz w:val="10"/>
                <w:szCs w:val="10"/>
                <w:color w:val="auto"/>
              </w:rPr>
            </w:pPr>
          </w:p>
        </w:tc>
        <w:tc>
          <w:tcPr>
            <w:tcW w:w="82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004E7D"/>
                <w:w w:val="97"/>
              </w:rPr>
              <w:t>Grant Date</w:t>
            </w: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800" w:type="dxa"/>
            <w:vAlign w:val="bottom"/>
          </w:tcPr>
          <w:p>
            <w:pPr>
              <w:jc w:val="center"/>
              <w:ind w:left="38"/>
              <w:spacing w:after="0" w:line="118" w:lineRule="exact"/>
              <w:rPr>
                <w:sz w:val="20"/>
                <w:szCs w:val="20"/>
                <w:color w:val="auto"/>
              </w:rPr>
            </w:pPr>
            <w:r>
              <w:rPr>
                <w:rFonts w:ascii="Arial" w:cs="Arial" w:eastAsia="Arial" w:hAnsi="Arial"/>
                <w:sz w:val="12"/>
                <w:szCs w:val="12"/>
                <w:b w:val="1"/>
                <w:bCs w:val="1"/>
                <w:color w:val="004E7D"/>
                <w:w w:val="97"/>
              </w:rPr>
              <w:t>Awards:</w:t>
            </w:r>
          </w:p>
        </w:tc>
        <w:tc>
          <w:tcPr>
            <w:tcW w:w="86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004E7D"/>
                <w:w w:val="97"/>
              </w:rPr>
              <w:t>Securities</w:t>
            </w: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6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004E7D"/>
              </w:rPr>
              <w:t>Non-Equity Incentive Plan Awards</w:t>
            </w:r>
            <w:r>
              <w:rPr>
                <w:rFonts w:ascii="Arial" w:cs="Arial" w:eastAsia="Arial" w:hAnsi="Arial"/>
                <w:sz w:val="14"/>
                <w:szCs w:val="14"/>
                <w:color w:val="004E7D"/>
                <w:vertAlign w:val="superscript"/>
              </w:rPr>
              <w:t>3</w:t>
            </w:r>
          </w:p>
        </w:tc>
        <w:tc>
          <w:tcPr>
            <w:tcW w:w="2520" w:type="dxa"/>
            <w:vAlign w:val="bottom"/>
            <w:gridSpan w:val="3"/>
          </w:tcPr>
          <w:p>
            <w:pPr>
              <w:jc w:val="right"/>
              <w:ind w:right="197"/>
              <w:spacing w:after="0" w:line="122" w:lineRule="exact"/>
              <w:rPr>
                <w:sz w:val="20"/>
                <w:szCs w:val="20"/>
                <w:color w:val="auto"/>
              </w:rPr>
            </w:pPr>
            <w:r>
              <w:rPr>
                <w:rFonts w:ascii="Arial" w:cs="Arial" w:eastAsia="Arial" w:hAnsi="Arial"/>
                <w:sz w:val="12"/>
                <w:szCs w:val="12"/>
                <w:b w:val="1"/>
                <w:bCs w:val="1"/>
                <w:color w:val="004E7D"/>
              </w:rPr>
              <w:t>Under Equity Incentive Plan Awards</w:t>
            </w:r>
          </w:p>
        </w:tc>
        <w:tc>
          <w:tcPr>
            <w:tcW w:w="800" w:type="dxa"/>
            <w:vAlign w:val="bottom"/>
          </w:tcPr>
          <w:p>
            <w:pPr>
              <w:jc w:val="right"/>
              <w:ind w:right="78"/>
              <w:spacing w:after="0" w:line="122" w:lineRule="exact"/>
              <w:rPr>
                <w:sz w:val="20"/>
                <w:szCs w:val="20"/>
                <w:color w:val="auto"/>
              </w:rPr>
            </w:pPr>
            <w:r>
              <w:rPr>
                <w:rFonts w:ascii="Arial" w:cs="Arial" w:eastAsia="Arial" w:hAnsi="Arial"/>
                <w:sz w:val="12"/>
                <w:szCs w:val="12"/>
                <w:b w:val="1"/>
                <w:bCs w:val="1"/>
                <w:color w:val="004E7D"/>
              </w:rPr>
              <w:t>Number</w:t>
            </w:r>
          </w:p>
        </w:tc>
        <w:tc>
          <w:tcPr>
            <w:tcW w:w="860" w:type="dxa"/>
            <w:vAlign w:val="bottom"/>
          </w:tcPr>
          <w:p>
            <w:pPr>
              <w:jc w:val="center"/>
              <w:ind w:right="19"/>
              <w:spacing w:after="0" w:line="122" w:lineRule="exact"/>
              <w:rPr>
                <w:sz w:val="20"/>
                <w:szCs w:val="20"/>
                <w:color w:val="auto"/>
              </w:rPr>
            </w:pPr>
            <w:r>
              <w:rPr>
                <w:rFonts w:ascii="Arial" w:cs="Arial" w:eastAsia="Arial" w:hAnsi="Arial"/>
                <w:sz w:val="12"/>
                <w:szCs w:val="12"/>
                <w:b w:val="1"/>
                <w:bCs w:val="1"/>
                <w:color w:val="004E7D"/>
                <w:w w:val="98"/>
              </w:rPr>
              <w:t>Under-</w:t>
            </w:r>
          </w:p>
        </w:tc>
        <w:tc>
          <w:tcPr>
            <w:tcW w:w="720" w:type="dxa"/>
            <w:vAlign w:val="bottom"/>
          </w:tcPr>
          <w:p>
            <w:pPr>
              <w:spacing w:after="0"/>
              <w:rPr>
                <w:sz w:val="10"/>
                <w:szCs w:val="10"/>
                <w:color w:val="auto"/>
              </w:rPr>
            </w:pPr>
          </w:p>
        </w:tc>
        <w:tc>
          <w:tcPr>
            <w:tcW w:w="820" w:type="dxa"/>
            <w:vAlign w:val="bottom"/>
          </w:tcPr>
          <w:p>
            <w:pPr>
              <w:jc w:val="right"/>
              <w:ind w:right="58"/>
              <w:spacing w:after="0" w:line="122" w:lineRule="exact"/>
              <w:rPr>
                <w:sz w:val="20"/>
                <w:szCs w:val="20"/>
                <w:color w:val="auto"/>
              </w:rPr>
            </w:pPr>
            <w:r>
              <w:rPr>
                <w:rFonts w:ascii="Arial" w:cs="Arial" w:eastAsia="Arial" w:hAnsi="Arial"/>
                <w:sz w:val="12"/>
                <w:szCs w:val="12"/>
                <w:b w:val="1"/>
                <w:bCs w:val="1"/>
                <w:color w:val="004E7D"/>
                <w:w w:val="94"/>
              </w:rPr>
              <w:t>Fair Value of</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bottom w:val="single" w:sz="8" w:color="004987"/>
            </w:tcBorders>
          </w:tcPr>
          <w:p>
            <w:pPr>
              <w:spacing w:after="0"/>
              <w:rPr>
                <w:sz w:val="2"/>
                <w:szCs w:val="2"/>
                <w:color w:val="auto"/>
              </w:rPr>
            </w:pPr>
          </w:p>
        </w:tc>
        <w:tc>
          <w:tcPr>
            <w:tcW w:w="900" w:type="dxa"/>
            <w:vAlign w:val="bottom"/>
            <w:tcBorders>
              <w:bottom w:val="single" w:sz="8" w:color="004987"/>
            </w:tcBorders>
          </w:tcPr>
          <w:p>
            <w:pPr>
              <w:spacing w:after="0"/>
              <w:rPr>
                <w:sz w:val="2"/>
                <w:szCs w:val="2"/>
                <w:color w:val="auto"/>
              </w:rPr>
            </w:pPr>
          </w:p>
        </w:tc>
        <w:tc>
          <w:tcPr>
            <w:tcW w:w="860" w:type="dxa"/>
            <w:vAlign w:val="bottom"/>
            <w:tcBorders>
              <w:bottom w:val="single" w:sz="8" w:color="004987"/>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004987"/>
            </w:tcBorders>
          </w:tcPr>
          <w:p>
            <w:pPr>
              <w:spacing w:after="0"/>
              <w:rPr>
                <w:sz w:val="2"/>
                <w:szCs w:val="2"/>
                <w:color w:val="auto"/>
              </w:rPr>
            </w:pPr>
          </w:p>
        </w:tc>
        <w:tc>
          <w:tcPr>
            <w:tcW w:w="800" w:type="dxa"/>
            <w:vAlign w:val="bottom"/>
            <w:tcBorders>
              <w:bottom w:val="single" w:sz="8" w:color="004987"/>
            </w:tcBorders>
          </w:tcPr>
          <w:p>
            <w:pPr>
              <w:spacing w:after="0"/>
              <w:rPr>
                <w:sz w:val="2"/>
                <w:szCs w:val="2"/>
                <w:color w:val="auto"/>
              </w:rPr>
            </w:pPr>
          </w:p>
        </w:tc>
        <w:tc>
          <w:tcPr>
            <w:tcW w:w="780" w:type="dxa"/>
            <w:vAlign w:val="bottom"/>
            <w:tcBorders>
              <w:bottom w:val="single" w:sz="8" w:color="004987"/>
            </w:tcBorders>
          </w:tcPr>
          <w:p>
            <w:pPr>
              <w:spacing w:after="0"/>
              <w:rPr>
                <w:sz w:val="2"/>
                <w:szCs w:val="2"/>
                <w:color w:val="auto"/>
              </w:rPr>
            </w:pPr>
          </w:p>
        </w:tc>
        <w:tc>
          <w:tcPr>
            <w:tcW w:w="800" w:type="dxa"/>
            <w:vAlign w:val="bottom"/>
            <w:vMerge w:val="restart"/>
          </w:tcPr>
          <w:p>
            <w:pPr>
              <w:jc w:val="right"/>
              <w:ind w:right="18"/>
              <w:spacing w:after="0" w:line="122" w:lineRule="exact"/>
              <w:rPr>
                <w:sz w:val="20"/>
                <w:szCs w:val="20"/>
                <w:color w:val="auto"/>
              </w:rPr>
            </w:pPr>
            <w:r>
              <w:rPr>
                <w:rFonts w:ascii="Arial" w:cs="Arial" w:eastAsia="Arial" w:hAnsi="Arial"/>
                <w:sz w:val="12"/>
                <w:szCs w:val="12"/>
                <w:b w:val="1"/>
                <w:bCs w:val="1"/>
                <w:color w:val="004E7D"/>
              </w:rPr>
              <w:t>of Shares</w:t>
            </w:r>
          </w:p>
        </w:tc>
        <w:tc>
          <w:tcPr>
            <w:tcW w:w="860" w:type="dxa"/>
            <w:vAlign w:val="bottom"/>
            <w:vMerge w:val="restart"/>
          </w:tcPr>
          <w:p>
            <w:pPr>
              <w:jc w:val="center"/>
              <w:ind w:right="19"/>
              <w:spacing w:after="0" w:line="122" w:lineRule="exact"/>
              <w:rPr>
                <w:sz w:val="20"/>
                <w:szCs w:val="20"/>
                <w:color w:val="auto"/>
              </w:rPr>
            </w:pPr>
            <w:r>
              <w:rPr>
                <w:rFonts w:ascii="Arial" w:cs="Arial" w:eastAsia="Arial" w:hAnsi="Arial"/>
                <w:sz w:val="12"/>
                <w:szCs w:val="12"/>
                <w:b w:val="1"/>
                <w:bCs w:val="1"/>
                <w:color w:val="004E7D"/>
                <w:w w:val="92"/>
              </w:rPr>
              <w:t>lying</w:t>
            </w:r>
          </w:p>
        </w:tc>
        <w:tc>
          <w:tcPr>
            <w:tcW w:w="720" w:type="dxa"/>
            <w:vAlign w:val="bottom"/>
            <w:vMerge w:val="restart"/>
          </w:tcPr>
          <w:p>
            <w:pPr>
              <w:jc w:val="center"/>
              <w:ind w:right="138"/>
              <w:spacing w:after="0" w:line="122" w:lineRule="exact"/>
              <w:rPr>
                <w:sz w:val="20"/>
                <w:szCs w:val="20"/>
                <w:color w:val="auto"/>
              </w:rPr>
            </w:pPr>
            <w:r>
              <w:rPr>
                <w:rFonts w:ascii="Arial" w:cs="Arial" w:eastAsia="Arial" w:hAnsi="Arial"/>
                <w:sz w:val="12"/>
                <w:szCs w:val="12"/>
                <w:b w:val="1"/>
                <w:bCs w:val="1"/>
                <w:color w:val="004E7D"/>
                <w:w w:val="97"/>
              </w:rPr>
              <w:t>Exercise</w:t>
            </w:r>
          </w:p>
        </w:tc>
        <w:tc>
          <w:tcPr>
            <w:tcW w:w="820" w:type="dxa"/>
            <w:vAlign w:val="bottom"/>
            <w:vMerge w:val="restart"/>
          </w:tcPr>
          <w:p>
            <w:pPr>
              <w:jc w:val="center"/>
              <w:ind w:right="38"/>
              <w:spacing w:after="0" w:line="122" w:lineRule="exact"/>
              <w:rPr>
                <w:sz w:val="20"/>
                <w:szCs w:val="20"/>
                <w:color w:val="auto"/>
              </w:rPr>
            </w:pPr>
            <w:r>
              <w:rPr>
                <w:rFonts w:ascii="Arial" w:cs="Arial" w:eastAsia="Arial" w:hAnsi="Arial"/>
                <w:sz w:val="12"/>
                <w:szCs w:val="12"/>
                <w:b w:val="1"/>
                <w:bCs w:val="1"/>
                <w:color w:val="004E7D"/>
                <w:w w:val="97"/>
              </w:rPr>
              <w:t>Stock and</w:t>
            </w:r>
          </w:p>
        </w:tc>
        <w:tc>
          <w:tcPr>
            <w:tcW w:w="0" w:type="dxa"/>
            <w:vAlign w:val="bottom"/>
          </w:tcPr>
          <w:p>
            <w:pPr>
              <w:spacing w:after="0"/>
              <w:rPr>
                <w:sz w:val="1"/>
                <w:szCs w:val="1"/>
                <w:color w:val="auto"/>
              </w:rPr>
            </w:pPr>
          </w:p>
        </w:tc>
      </w:tr>
      <w:tr>
        <w:trPr>
          <w:trHeight w:val="74"/>
        </w:trPr>
        <w:tc>
          <w:tcPr>
            <w:tcW w:w="940" w:type="dxa"/>
            <w:vAlign w:val="bottom"/>
          </w:tcPr>
          <w:p>
            <w:pPr>
              <w:spacing w:after="0"/>
              <w:rPr>
                <w:sz w:val="6"/>
                <w:szCs w:val="6"/>
                <w:color w:val="auto"/>
              </w:rPr>
            </w:pPr>
          </w:p>
        </w:tc>
        <w:tc>
          <w:tcPr>
            <w:tcW w:w="920" w:type="dxa"/>
            <w:vAlign w:val="bottom"/>
            <w:vMerge w:val="restart"/>
          </w:tcPr>
          <w:p>
            <w:pPr>
              <w:ind w:left="260"/>
              <w:spacing w:after="0"/>
              <w:rPr>
                <w:sz w:val="20"/>
                <w:szCs w:val="20"/>
                <w:color w:val="auto"/>
              </w:rPr>
            </w:pPr>
            <w:r>
              <w:rPr>
                <w:rFonts w:ascii="Arial" w:cs="Arial" w:eastAsia="Arial" w:hAnsi="Arial"/>
                <w:sz w:val="12"/>
                <w:szCs w:val="12"/>
                <w:b w:val="1"/>
                <w:bCs w:val="1"/>
                <w:color w:val="004E7D"/>
              </w:rPr>
              <w:t>Grant</w:t>
            </w:r>
          </w:p>
        </w:tc>
        <w:tc>
          <w:tcPr>
            <w:tcW w:w="1000" w:type="dxa"/>
            <w:vAlign w:val="bottom"/>
            <w:vMerge w:val="restart"/>
          </w:tcPr>
          <w:p>
            <w:pPr>
              <w:jc w:val="center"/>
              <w:ind w:right="57"/>
              <w:spacing w:after="0"/>
              <w:rPr>
                <w:sz w:val="20"/>
                <w:szCs w:val="20"/>
                <w:color w:val="auto"/>
              </w:rPr>
            </w:pPr>
            <w:r>
              <w:rPr>
                <w:rFonts w:ascii="Arial" w:cs="Arial" w:eastAsia="Arial" w:hAnsi="Arial"/>
                <w:sz w:val="12"/>
                <w:szCs w:val="12"/>
                <w:b w:val="1"/>
                <w:bCs w:val="1"/>
                <w:color w:val="004E7D"/>
                <w:w w:val="99"/>
              </w:rPr>
              <w:t>Approval</w:t>
            </w:r>
          </w:p>
        </w:tc>
        <w:tc>
          <w:tcPr>
            <w:tcW w:w="82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004E7D"/>
              </w:rPr>
              <w:t>Threshold</w:t>
            </w: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004E7D"/>
                <w:w w:val="92"/>
              </w:rPr>
              <w:t>Target</w:t>
            </w:r>
          </w:p>
        </w:tc>
        <w:tc>
          <w:tcPr>
            <w:tcW w:w="9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004E7D"/>
              </w:rPr>
              <w:t>Maximum</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004E7D"/>
              </w:rPr>
              <w:t>Threshold</w:t>
            </w:r>
          </w:p>
        </w:tc>
        <w:tc>
          <w:tcPr>
            <w:tcW w:w="800" w:type="dxa"/>
            <w:vAlign w:val="bottom"/>
            <w:vMerge w:val="restart"/>
          </w:tcPr>
          <w:p>
            <w:pPr>
              <w:jc w:val="right"/>
              <w:ind w:right="197"/>
              <w:spacing w:after="0"/>
              <w:rPr>
                <w:sz w:val="20"/>
                <w:szCs w:val="20"/>
                <w:color w:val="auto"/>
              </w:rPr>
            </w:pPr>
            <w:r>
              <w:rPr>
                <w:rFonts w:ascii="Arial" w:cs="Arial" w:eastAsia="Arial" w:hAnsi="Arial"/>
                <w:sz w:val="12"/>
                <w:szCs w:val="12"/>
                <w:b w:val="1"/>
                <w:bCs w:val="1"/>
                <w:color w:val="004E7D"/>
              </w:rPr>
              <w:t>Target</w:t>
            </w:r>
          </w:p>
        </w:tc>
        <w:tc>
          <w:tcPr>
            <w:tcW w:w="78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004E7D"/>
              </w:rPr>
              <w:t>Maximum</w:t>
            </w:r>
          </w:p>
        </w:tc>
        <w:tc>
          <w:tcPr>
            <w:tcW w:w="8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004E7D"/>
              </w:rPr>
              <w:t>Award Type</w:t>
            </w:r>
            <w:r>
              <w:rPr>
                <w:rFonts w:ascii="Arial" w:cs="Arial" w:eastAsia="Arial" w:hAnsi="Arial"/>
                <w:sz w:val="15"/>
                <w:szCs w:val="15"/>
                <w:color w:val="004E7D"/>
                <w:vertAlign w:val="superscript"/>
              </w:rPr>
              <w:t>1</w:t>
            </w: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tcPr>
          <w:p>
            <w:pPr>
              <w:jc w:val="right"/>
              <w:ind w:right="58"/>
              <w:spacing w:after="0" w:line="108" w:lineRule="exact"/>
              <w:rPr>
                <w:sz w:val="20"/>
                <w:szCs w:val="20"/>
                <w:color w:val="auto"/>
              </w:rPr>
            </w:pPr>
            <w:r>
              <w:rPr>
                <w:rFonts w:ascii="Arial" w:cs="Arial" w:eastAsia="Arial" w:hAnsi="Arial"/>
                <w:sz w:val="12"/>
                <w:szCs w:val="12"/>
                <w:b w:val="1"/>
                <w:bCs w:val="1"/>
                <w:color w:val="004E7D"/>
              </w:rPr>
              <w:t>of Stock</w:t>
            </w:r>
          </w:p>
        </w:tc>
        <w:tc>
          <w:tcPr>
            <w:tcW w:w="860" w:type="dxa"/>
            <w:vAlign w:val="bottom"/>
          </w:tcPr>
          <w:p>
            <w:pPr>
              <w:jc w:val="center"/>
              <w:ind w:right="19"/>
              <w:spacing w:after="0" w:line="108" w:lineRule="exact"/>
              <w:rPr>
                <w:sz w:val="20"/>
                <w:szCs w:val="20"/>
                <w:color w:val="auto"/>
              </w:rPr>
            </w:pPr>
            <w:r>
              <w:rPr>
                <w:rFonts w:ascii="Arial" w:cs="Arial" w:eastAsia="Arial" w:hAnsi="Arial"/>
                <w:sz w:val="12"/>
                <w:szCs w:val="12"/>
                <w:b w:val="1"/>
                <w:bCs w:val="1"/>
                <w:color w:val="004E7D"/>
                <w:w w:val="94"/>
              </w:rPr>
              <w:t>Options/</w:t>
            </w:r>
          </w:p>
        </w:tc>
        <w:tc>
          <w:tcPr>
            <w:tcW w:w="720" w:type="dxa"/>
            <w:vAlign w:val="bottom"/>
          </w:tcPr>
          <w:p>
            <w:pPr>
              <w:jc w:val="center"/>
              <w:ind w:right="118"/>
              <w:spacing w:after="0" w:line="108" w:lineRule="exact"/>
              <w:rPr>
                <w:sz w:val="20"/>
                <w:szCs w:val="20"/>
                <w:color w:val="auto"/>
              </w:rPr>
            </w:pPr>
            <w:r>
              <w:rPr>
                <w:rFonts w:ascii="Arial" w:cs="Arial" w:eastAsia="Arial" w:hAnsi="Arial"/>
                <w:sz w:val="12"/>
                <w:szCs w:val="12"/>
                <w:b w:val="1"/>
                <w:bCs w:val="1"/>
                <w:color w:val="004E7D"/>
                <w:w w:val="95"/>
              </w:rPr>
              <w:t>or Base</w:t>
            </w:r>
          </w:p>
        </w:tc>
        <w:tc>
          <w:tcPr>
            <w:tcW w:w="820" w:type="dxa"/>
            <w:vAlign w:val="bottom"/>
          </w:tcPr>
          <w:p>
            <w:pPr>
              <w:jc w:val="right"/>
              <w:ind w:right="58"/>
              <w:spacing w:after="0" w:line="108" w:lineRule="exact"/>
              <w:rPr>
                <w:sz w:val="20"/>
                <w:szCs w:val="20"/>
                <w:color w:val="auto"/>
              </w:rPr>
            </w:pPr>
            <w:r>
              <w:rPr>
                <w:rFonts w:ascii="Arial" w:cs="Arial" w:eastAsia="Arial" w:hAnsi="Arial"/>
                <w:sz w:val="12"/>
                <w:szCs w:val="12"/>
                <w:b w:val="1"/>
                <w:bCs w:val="1"/>
                <w:color w:val="004E7D"/>
                <w:w w:val="96"/>
              </w:rPr>
              <w:t>Option/ SAR</w:t>
            </w:r>
          </w:p>
        </w:tc>
        <w:tc>
          <w:tcPr>
            <w:tcW w:w="0" w:type="dxa"/>
            <w:vAlign w:val="bottom"/>
          </w:tcPr>
          <w:p>
            <w:pPr>
              <w:spacing w:after="0"/>
              <w:rPr>
                <w:sz w:val="1"/>
                <w:szCs w:val="1"/>
                <w:color w:val="auto"/>
              </w:rPr>
            </w:pPr>
          </w:p>
        </w:tc>
      </w:tr>
      <w:tr>
        <w:trPr>
          <w:trHeight w:val="169"/>
        </w:trPr>
        <w:tc>
          <w:tcPr>
            <w:tcW w:w="940" w:type="dxa"/>
            <w:vAlign w:val="bottom"/>
            <w:tcBorders>
              <w:bottom w:val="single" w:sz="8" w:color="004987"/>
            </w:tcBorders>
            <w:vMerge w:val="continue"/>
          </w:tcPr>
          <w:p>
            <w:pPr>
              <w:spacing w:after="0"/>
              <w:rPr>
                <w:sz w:val="14"/>
                <w:szCs w:val="14"/>
                <w:color w:val="auto"/>
              </w:rPr>
            </w:pPr>
          </w:p>
        </w:tc>
        <w:tc>
          <w:tcPr>
            <w:tcW w:w="920" w:type="dxa"/>
            <w:vAlign w:val="bottom"/>
            <w:tcBorders>
              <w:bottom w:val="single" w:sz="8" w:color="004987"/>
            </w:tcBorders>
          </w:tcPr>
          <w:p>
            <w:pPr>
              <w:ind w:left="280"/>
              <w:spacing w:after="0" w:line="162" w:lineRule="exact"/>
              <w:rPr>
                <w:sz w:val="20"/>
                <w:szCs w:val="20"/>
                <w:color w:val="auto"/>
              </w:rPr>
            </w:pPr>
            <w:r>
              <w:rPr>
                <w:rFonts w:ascii="Arial" w:cs="Arial" w:eastAsia="Arial" w:hAnsi="Arial"/>
                <w:sz w:val="12"/>
                <w:szCs w:val="12"/>
                <w:b w:val="1"/>
                <w:bCs w:val="1"/>
                <w:color w:val="004E7D"/>
              </w:rPr>
              <w:t>Date</w:t>
            </w:r>
            <w:r>
              <w:rPr>
                <w:rFonts w:ascii="Arial" w:cs="Arial" w:eastAsia="Arial" w:hAnsi="Arial"/>
                <w:sz w:val="15"/>
                <w:szCs w:val="15"/>
                <w:color w:val="004E7D"/>
                <w:vertAlign w:val="superscript"/>
              </w:rPr>
              <w:t>2</w:t>
            </w:r>
          </w:p>
        </w:tc>
        <w:tc>
          <w:tcPr>
            <w:tcW w:w="1000" w:type="dxa"/>
            <w:vAlign w:val="bottom"/>
            <w:tcBorders>
              <w:bottom w:val="single" w:sz="8" w:color="004987"/>
            </w:tcBorders>
          </w:tcPr>
          <w:p>
            <w:pPr>
              <w:jc w:val="center"/>
              <w:ind w:right="37"/>
              <w:spacing w:after="0" w:line="162" w:lineRule="exact"/>
              <w:rPr>
                <w:sz w:val="20"/>
                <w:szCs w:val="20"/>
                <w:color w:val="auto"/>
              </w:rPr>
            </w:pPr>
            <w:r>
              <w:rPr>
                <w:rFonts w:ascii="Arial" w:cs="Arial" w:eastAsia="Arial" w:hAnsi="Arial"/>
                <w:sz w:val="12"/>
                <w:szCs w:val="12"/>
                <w:b w:val="1"/>
                <w:bCs w:val="1"/>
                <w:color w:val="004E7D"/>
                <w:w w:val="94"/>
              </w:rPr>
              <w:t>Date</w:t>
            </w:r>
            <w:r>
              <w:rPr>
                <w:rFonts w:ascii="Arial" w:cs="Arial" w:eastAsia="Arial" w:hAnsi="Arial"/>
                <w:sz w:val="15"/>
                <w:szCs w:val="15"/>
                <w:color w:val="004E7D"/>
                <w:w w:val="94"/>
                <w:vertAlign w:val="superscript"/>
              </w:rPr>
              <w:t>2</w:t>
            </w:r>
          </w:p>
        </w:tc>
        <w:tc>
          <w:tcPr>
            <w:tcW w:w="820" w:type="dxa"/>
            <w:vAlign w:val="bottom"/>
            <w:tcBorders>
              <w:bottom w:val="single" w:sz="8" w:color="004987"/>
            </w:tcBorders>
          </w:tcPr>
          <w:p>
            <w:pPr>
              <w:jc w:val="right"/>
              <w:ind w:right="338"/>
              <w:spacing w:after="0"/>
              <w:rPr>
                <w:sz w:val="20"/>
                <w:szCs w:val="20"/>
                <w:color w:val="auto"/>
              </w:rPr>
            </w:pPr>
            <w:r>
              <w:rPr>
                <w:rFonts w:ascii="Arial" w:cs="Arial" w:eastAsia="Arial" w:hAnsi="Arial"/>
                <w:sz w:val="12"/>
                <w:szCs w:val="12"/>
                <w:b w:val="1"/>
                <w:bCs w:val="1"/>
                <w:color w:val="004E7D"/>
              </w:rPr>
              <w:t>$</w:t>
            </w:r>
          </w:p>
        </w:tc>
        <w:tc>
          <w:tcPr>
            <w:tcW w:w="900" w:type="dxa"/>
            <w:vAlign w:val="bottom"/>
            <w:tcBorders>
              <w:bottom w:val="single" w:sz="8" w:color="004987"/>
            </w:tcBorders>
          </w:tcPr>
          <w:p>
            <w:pPr>
              <w:jc w:val="center"/>
              <w:spacing w:after="0"/>
              <w:rPr>
                <w:sz w:val="20"/>
                <w:szCs w:val="20"/>
                <w:color w:val="auto"/>
              </w:rPr>
            </w:pPr>
            <w:r>
              <w:rPr>
                <w:rFonts w:ascii="Arial" w:cs="Arial" w:eastAsia="Arial" w:hAnsi="Arial"/>
                <w:sz w:val="12"/>
                <w:szCs w:val="12"/>
                <w:b w:val="1"/>
                <w:bCs w:val="1"/>
                <w:color w:val="004E7D"/>
                <w:w w:val="89"/>
              </w:rPr>
              <w:t>$</w:t>
            </w:r>
          </w:p>
        </w:tc>
        <w:tc>
          <w:tcPr>
            <w:tcW w:w="860" w:type="dxa"/>
            <w:vAlign w:val="bottom"/>
            <w:tcBorders>
              <w:bottom w:val="single" w:sz="8" w:color="004987"/>
            </w:tcBorders>
          </w:tcPr>
          <w:p>
            <w:pPr>
              <w:ind w:left="420"/>
              <w:spacing w:after="0"/>
              <w:rPr>
                <w:sz w:val="20"/>
                <w:szCs w:val="20"/>
                <w:color w:val="auto"/>
              </w:rPr>
            </w:pPr>
            <w:r>
              <w:rPr>
                <w:rFonts w:ascii="Arial" w:cs="Arial" w:eastAsia="Arial" w:hAnsi="Arial"/>
                <w:sz w:val="12"/>
                <w:szCs w:val="12"/>
                <w:b w:val="1"/>
                <w:bCs w:val="1"/>
                <w:color w:val="004E7D"/>
              </w:rPr>
              <w:t>$</w:t>
            </w:r>
          </w:p>
        </w:tc>
        <w:tc>
          <w:tcPr>
            <w:tcW w:w="80" w:type="dxa"/>
            <w:vAlign w:val="bottom"/>
            <w:tcBorders>
              <w:bottom w:val="single" w:sz="8" w:color="004987"/>
            </w:tcBorders>
          </w:tcPr>
          <w:p>
            <w:pPr>
              <w:spacing w:after="0"/>
              <w:rPr>
                <w:sz w:val="14"/>
                <w:szCs w:val="14"/>
                <w:color w:val="auto"/>
              </w:rPr>
            </w:pPr>
          </w:p>
        </w:tc>
        <w:tc>
          <w:tcPr>
            <w:tcW w:w="940" w:type="dxa"/>
            <w:vAlign w:val="bottom"/>
            <w:tcBorders>
              <w:bottom w:val="single" w:sz="8" w:color="004987"/>
            </w:tcBorders>
          </w:tcPr>
          <w:p>
            <w:pPr>
              <w:ind w:left="400"/>
              <w:spacing w:after="0"/>
              <w:rPr>
                <w:sz w:val="20"/>
                <w:szCs w:val="20"/>
                <w:color w:val="auto"/>
              </w:rPr>
            </w:pPr>
            <w:r>
              <w:rPr>
                <w:rFonts w:ascii="Arial" w:cs="Arial" w:eastAsia="Arial" w:hAnsi="Arial"/>
                <w:sz w:val="12"/>
                <w:szCs w:val="12"/>
                <w:b w:val="1"/>
                <w:bCs w:val="1"/>
                <w:color w:val="004E7D"/>
              </w:rPr>
              <w:t>#</w:t>
            </w:r>
          </w:p>
        </w:tc>
        <w:tc>
          <w:tcPr>
            <w:tcW w:w="800" w:type="dxa"/>
            <w:vAlign w:val="bottom"/>
            <w:tcBorders>
              <w:bottom w:val="single" w:sz="8" w:color="004987"/>
            </w:tcBorders>
          </w:tcPr>
          <w:p>
            <w:pPr>
              <w:jc w:val="right"/>
              <w:ind w:right="337"/>
              <w:spacing w:after="0"/>
              <w:rPr>
                <w:sz w:val="20"/>
                <w:szCs w:val="20"/>
                <w:color w:val="auto"/>
              </w:rPr>
            </w:pPr>
            <w:r>
              <w:rPr>
                <w:rFonts w:ascii="Arial" w:cs="Arial" w:eastAsia="Arial" w:hAnsi="Arial"/>
                <w:sz w:val="12"/>
                <w:szCs w:val="12"/>
                <w:b w:val="1"/>
                <w:bCs w:val="1"/>
                <w:color w:val="004E7D"/>
              </w:rPr>
              <w:t>#</w:t>
            </w:r>
          </w:p>
        </w:tc>
        <w:tc>
          <w:tcPr>
            <w:tcW w:w="780" w:type="dxa"/>
            <w:vAlign w:val="bottom"/>
            <w:tcBorders>
              <w:bottom w:val="single" w:sz="8" w:color="004987"/>
            </w:tcBorders>
          </w:tcPr>
          <w:p>
            <w:pPr>
              <w:jc w:val="right"/>
              <w:ind w:right="297"/>
              <w:spacing w:after="0"/>
              <w:rPr>
                <w:sz w:val="20"/>
                <w:szCs w:val="20"/>
                <w:color w:val="auto"/>
              </w:rPr>
            </w:pPr>
            <w:r>
              <w:rPr>
                <w:rFonts w:ascii="Arial" w:cs="Arial" w:eastAsia="Arial" w:hAnsi="Arial"/>
                <w:sz w:val="12"/>
                <w:szCs w:val="12"/>
                <w:b w:val="1"/>
                <w:bCs w:val="1"/>
                <w:color w:val="004E7D"/>
              </w:rPr>
              <w:t>#</w:t>
            </w:r>
          </w:p>
        </w:tc>
        <w:tc>
          <w:tcPr>
            <w:tcW w:w="800" w:type="dxa"/>
            <w:vAlign w:val="bottom"/>
            <w:tcBorders>
              <w:bottom w:val="single" w:sz="8" w:color="004987"/>
            </w:tcBorders>
          </w:tcPr>
          <w:p>
            <w:pPr>
              <w:jc w:val="right"/>
              <w:ind w:right="78"/>
              <w:spacing w:after="0"/>
              <w:rPr>
                <w:sz w:val="20"/>
                <w:szCs w:val="20"/>
                <w:color w:val="auto"/>
              </w:rPr>
            </w:pPr>
            <w:r>
              <w:rPr>
                <w:rFonts w:ascii="Arial" w:cs="Arial" w:eastAsia="Arial" w:hAnsi="Arial"/>
                <w:sz w:val="12"/>
                <w:szCs w:val="12"/>
                <w:b w:val="1"/>
                <w:bCs w:val="1"/>
                <w:color w:val="004E7D"/>
              </w:rPr>
              <w:t>or Units</w:t>
            </w:r>
          </w:p>
        </w:tc>
        <w:tc>
          <w:tcPr>
            <w:tcW w:w="860" w:type="dxa"/>
            <w:vAlign w:val="bottom"/>
            <w:tcBorders>
              <w:bottom w:val="single" w:sz="8" w:color="004987"/>
            </w:tcBorders>
          </w:tcPr>
          <w:p>
            <w:pPr>
              <w:jc w:val="center"/>
              <w:ind w:right="59"/>
              <w:spacing w:after="0"/>
              <w:rPr>
                <w:sz w:val="20"/>
                <w:szCs w:val="20"/>
                <w:color w:val="auto"/>
              </w:rPr>
            </w:pPr>
            <w:r>
              <w:rPr>
                <w:rFonts w:ascii="Arial" w:cs="Arial" w:eastAsia="Arial" w:hAnsi="Arial"/>
                <w:sz w:val="12"/>
                <w:szCs w:val="12"/>
                <w:b w:val="1"/>
                <w:bCs w:val="1"/>
                <w:color w:val="004E7D"/>
                <w:w w:val="93"/>
              </w:rPr>
              <w:t>SARs</w:t>
            </w:r>
          </w:p>
        </w:tc>
        <w:tc>
          <w:tcPr>
            <w:tcW w:w="720" w:type="dxa"/>
            <w:vAlign w:val="bottom"/>
            <w:tcBorders>
              <w:bottom w:val="single" w:sz="8" w:color="004987"/>
            </w:tcBorders>
          </w:tcPr>
          <w:p>
            <w:pPr>
              <w:jc w:val="center"/>
              <w:ind w:right="158"/>
              <w:spacing w:after="0" w:line="162" w:lineRule="exact"/>
              <w:rPr>
                <w:sz w:val="20"/>
                <w:szCs w:val="20"/>
                <w:color w:val="auto"/>
              </w:rPr>
            </w:pPr>
            <w:r>
              <w:rPr>
                <w:rFonts w:ascii="Arial" w:cs="Arial" w:eastAsia="Arial" w:hAnsi="Arial"/>
                <w:sz w:val="12"/>
                <w:szCs w:val="12"/>
                <w:b w:val="1"/>
                <w:bCs w:val="1"/>
                <w:color w:val="004E7D"/>
                <w:w w:val="97"/>
              </w:rPr>
              <w:t>Price</w:t>
            </w:r>
            <w:r>
              <w:rPr>
                <w:rFonts w:ascii="Arial" w:cs="Arial" w:eastAsia="Arial" w:hAnsi="Arial"/>
                <w:sz w:val="15"/>
                <w:szCs w:val="15"/>
                <w:color w:val="004E7D"/>
                <w:w w:val="97"/>
                <w:vertAlign w:val="superscript"/>
              </w:rPr>
              <w:t>4</w:t>
            </w:r>
          </w:p>
        </w:tc>
        <w:tc>
          <w:tcPr>
            <w:tcW w:w="820" w:type="dxa"/>
            <w:vAlign w:val="bottom"/>
            <w:tcBorders>
              <w:bottom w:val="single" w:sz="8" w:color="004987"/>
            </w:tcBorders>
          </w:tcPr>
          <w:p>
            <w:pPr>
              <w:jc w:val="center"/>
              <w:ind w:right="58"/>
              <w:spacing w:after="0" w:line="162" w:lineRule="exact"/>
              <w:rPr>
                <w:sz w:val="20"/>
                <w:szCs w:val="20"/>
                <w:color w:val="auto"/>
              </w:rPr>
            </w:pPr>
            <w:r>
              <w:rPr>
                <w:rFonts w:ascii="Arial" w:cs="Arial" w:eastAsia="Arial" w:hAnsi="Arial"/>
                <w:sz w:val="12"/>
                <w:szCs w:val="12"/>
                <w:b w:val="1"/>
                <w:bCs w:val="1"/>
                <w:color w:val="004E7D"/>
                <w:w w:val="93"/>
              </w:rPr>
              <w:t>Awards</w:t>
            </w:r>
            <w:r>
              <w:rPr>
                <w:rFonts w:ascii="Arial" w:cs="Arial" w:eastAsia="Arial" w:hAnsi="Arial"/>
                <w:sz w:val="15"/>
                <w:szCs w:val="15"/>
                <w:color w:val="004E7D"/>
                <w:w w:val="93"/>
                <w:vertAlign w:val="superscript"/>
              </w:rPr>
              <w:t>5</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3"/>
                <w:szCs w:val="13"/>
                <w:b w:val="1"/>
                <w:bCs w:val="1"/>
                <w:color w:val="004E7D"/>
              </w:rPr>
              <w:t>S. Weisz</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40" w:type="dxa"/>
            <w:vAlign w:val="bottom"/>
          </w:tcPr>
          <w:p>
            <w:pPr>
              <w:ind w:left="20"/>
              <w:spacing w:after="0"/>
              <w:rPr>
                <w:sz w:val="20"/>
                <w:szCs w:val="20"/>
                <w:color w:val="auto"/>
              </w:rPr>
            </w:pPr>
            <w:r>
              <w:rPr>
                <w:rFonts w:ascii="Arial" w:cs="Arial" w:eastAsia="Arial" w:hAnsi="Arial"/>
                <w:sz w:val="13"/>
                <w:szCs w:val="13"/>
                <w:color w:val="auto"/>
              </w:rPr>
              <w:t>Bonus</w:t>
            </w: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   386,250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  1,545,000</w:t>
            </w:r>
          </w:p>
        </w:tc>
        <w:tc>
          <w:tcPr>
            <w:tcW w:w="860" w:type="dxa"/>
            <w:vAlign w:val="bottom"/>
          </w:tcPr>
          <w:p>
            <w:pPr>
              <w:jc w:val="right"/>
              <w:spacing w:after="0"/>
              <w:rPr>
                <w:sz w:val="20"/>
                <w:szCs w:val="20"/>
                <w:color w:val="auto"/>
              </w:rPr>
            </w:pPr>
            <w:r>
              <w:rPr>
                <w:rFonts w:ascii="Arial" w:cs="Arial" w:eastAsia="Arial" w:hAnsi="Arial"/>
                <w:sz w:val="13"/>
                <w:szCs w:val="13"/>
                <w:color w:val="auto"/>
              </w:rPr>
              <w:t>$  3,090,000</w:t>
            </w:r>
          </w:p>
        </w:tc>
        <w:tc>
          <w:tcPr>
            <w:tcW w:w="80" w:type="dxa"/>
            <w:vAlign w:val="bottom"/>
          </w:tcPr>
          <w:p>
            <w:pPr>
              <w:spacing w:after="0"/>
              <w:rPr>
                <w:sz w:val="17"/>
                <w:szCs w:val="17"/>
                <w:color w:val="auto"/>
              </w:rPr>
            </w:pP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20,708</w:t>
            </w:r>
          </w:p>
        </w:tc>
        <w:tc>
          <w:tcPr>
            <w:tcW w:w="780" w:type="dxa"/>
            <w:vAlign w:val="bottom"/>
          </w:tcPr>
          <w:p>
            <w:pPr>
              <w:jc w:val="right"/>
              <w:spacing w:after="0"/>
              <w:rPr>
                <w:sz w:val="20"/>
                <w:szCs w:val="20"/>
                <w:color w:val="auto"/>
              </w:rPr>
            </w:pPr>
            <w:r>
              <w:rPr>
                <w:rFonts w:ascii="Arial" w:cs="Arial" w:eastAsia="Arial" w:hAnsi="Arial"/>
                <w:sz w:val="13"/>
                <w:szCs w:val="13"/>
                <w:color w:val="auto"/>
              </w:rPr>
              <w:t>41,416</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3,149,997</w:t>
            </w:r>
          </w:p>
        </w:tc>
        <w:tc>
          <w:tcPr>
            <w:tcW w:w="0" w:type="dxa"/>
            <w:vAlign w:val="bottom"/>
          </w:tcPr>
          <w:p>
            <w:pPr>
              <w:spacing w:after="0"/>
              <w:rPr>
                <w:sz w:val="1"/>
                <w:szCs w:val="1"/>
                <w:color w:val="auto"/>
              </w:rPr>
            </w:pPr>
          </w:p>
        </w:tc>
      </w:tr>
      <w:tr>
        <w:trPr>
          <w:trHeight w:val="176"/>
        </w:trPr>
        <w:tc>
          <w:tcPr>
            <w:tcW w:w="940" w:type="dxa"/>
            <w:vAlign w:val="bottom"/>
          </w:tcPr>
          <w:p>
            <w:pPr>
              <w:ind w:left="20"/>
              <w:spacing w:after="0"/>
              <w:rPr>
                <w:sz w:val="20"/>
                <w:szCs w:val="20"/>
                <w:color w:val="auto"/>
              </w:rPr>
            </w:pPr>
            <w:r>
              <w:rPr>
                <w:rFonts w:ascii="Arial" w:cs="Arial" w:eastAsia="Arial" w:hAnsi="Arial"/>
                <w:sz w:val="13"/>
                <w:szCs w:val="13"/>
                <w:color w:val="auto"/>
              </w:rPr>
              <w:t>SARs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9"/>
              <w:spacing w:after="0"/>
              <w:rPr>
                <w:sz w:val="20"/>
                <w:szCs w:val="20"/>
                <w:color w:val="auto"/>
              </w:rPr>
            </w:pPr>
            <w:r>
              <w:rPr>
                <w:rFonts w:ascii="Arial" w:cs="Arial" w:eastAsia="Arial" w:hAnsi="Arial"/>
                <w:sz w:val="13"/>
                <w:szCs w:val="13"/>
                <w:color w:val="auto"/>
              </w:rPr>
              <w:t>31,669</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159.27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1,890,006</w:t>
            </w:r>
          </w:p>
        </w:tc>
        <w:tc>
          <w:tcPr>
            <w:tcW w:w="0" w:type="dxa"/>
            <w:vAlign w:val="bottom"/>
          </w:tcPr>
          <w:p>
            <w:pPr>
              <w:spacing w:after="0"/>
              <w:rPr>
                <w:sz w:val="1"/>
                <w:szCs w:val="1"/>
                <w:color w:val="auto"/>
              </w:rPr>
            </w:pPr>
          </w:p>
        </w:tc>
      </w:tr>
      <w:tr>
        <w:trPr>
          <w:trHeight w:val="18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8,219</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1,260,030</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3"/>
                <w:szCs w:val="13"/>
                <w:b w:val="1"/>
                <w:bCs w:val="1"/>
                <w:color w:val="004E7D"/>
              </w:rPr>
              <w:t>J. Geller</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940" w:type="dxa"/>
            <w:vAlign w:val="bottom"/>
          </w:tcPr>
          <w:p>
            <w:pPr>
              <w:ind w:left="20"/>
              <w:spacing w:after="0"/>
              <w:rPr>
                <w:sz w:val="20"/>
                <w:szCs w:val="20"/>
                <w:color w:val="auto"/>
              </w:rPr>
            </w:pPr>
            <w:r>
              <w:rPr>
                <w:rFonts w:ascii="Arial" w:cs="Arial" w:eastAsia="Arial" w:hAnsi="Arial"/>
                <w:sz w:val="13"/>
                <w:szCs w:val="13"/>
                <w:color w:val="auto"/>
              </w:rPr>
              <w:t>Bonus</w:t>
            </w: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217,344</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869,375</w:t>
            </w:r>
          </w:p>
        </w:tc>
        <w:tc>
          <w:tcPr>
            <w:tcW w:w="860" w:type="dxa"/>
            <w:vAlign w:val="bottom"/>
          </w:tcPr>
          <w:p>
            <w:pPr>
              <w:jc w:val="right"/>
              <w:spacing w:after="0"/>
              <w:rPr>
                <w:sz w:val="20"/>
                <w:szCs w:val="20"/>
                <w:color w:val="auto"/>
              </w:rPr>
            </w:pPr>
            <w:r>
              <w:rPr>
                <w:rFonts w:ascii="Arial" w:cs="Arial" w:eastAsia="Arial" w:hAnsi="Arial"/>
                <w:sz w:val="13"/>
                <w:szCs w:val="13"/>
                <w:color w:val="auto"/>
              </w:rPr>
              <w:t>1,738,750</w:t>
            </w:r>
          </w:p>
        </w:tc>
        <w:tc>
          <w:tcPr>
            <w:tcW w:w="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6,574</w:t>
            </w:r>
          </w:p>
        </w:tc>
        <w:tc>
          <w:tcPr>
            <w:tcW w:w="780" w:type="dxa"/>
            <w:vAlign w:val="bottom"/>
          </w:tcPr>
          <w:p>
            <w:pPr>
              <w:jc w:val="right"/>
              <w:spacing w:after="0"/>
              <w:rPr>
                <w:sz w:val="20"/>
                <w:szCs w:val="20"/>
                <w:color w:val="auto"/>
              </w:rPr>
            </w:pPr>
            <w:r>
              <w:rPr>
                <w:rFonts w:ascii="Arial" w:cs="Arial" w:eastAsia="Arial" w:hAnsi="Arial"/>
                <w:sz w:val="13"/>
                <w:szCs w:val="13"/>
                <w:color w:val="auto"/>
              </w:rPr>
              <w:t>13,148</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1,000,004</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SARs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9"/>
              <w:spacing w:after="0"/>
              <w:rPr>
                <w:sz w:val="20"/>
                <w:szCs w:val="20"/>
                <w:color w:val="auto"/>
              </w:rPr>
            </w:pPr>
            <w:r>
              <w:rPr>
                <w:rFonts w:ascii="Arial" w:cs="Arial" w:eastAsia="Arial" w:hAnsi="Arial"/>
                <w:sz w:val="13"/>
                <w:szCs w:val="13"/>
                <w:color w:val="auto"/>
              </w:rPr>
              <w:t>10,054</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159.27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600,023</w:t>
            </w:r>
          </w:p>
        </w:tc>
        <w:tc>
          <w:tcPr>
            <w:tcW w:w="0" w:type="dxa"/>
            <w:vAlign w:val="bottom"/>
          </w:tcPr>
          <w:p>
            <w:pPr>
              <w:spacing w:after="0"/>
              <w:rPr>
                <w:sz w:val="1"/>
                <w:szCs w:val="1"/>
                <w:color w:val="auto"/>
              </w:rPr>
            </w:pPr>
          </w:p>
        </w:tc>
      </w:tr>
      <w:tr>
        <w:trPr>
          <w:trHeight w:val="18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2,609</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399,978</w:t>
            </w:r>
          </w:p>
        </w:tc>
        <w:tc>
          <w:tcPr>
            <w:tcW w:w="0" w:type="dxa"/>
            <w:vAlign w:val="bottom"/>
          </w:tcPr>
          <w:p>
            <w:pPr>
              <w:spacing w:after="0"/>
              <w:rPr>
                <w:sz w:val="1"/>
                <w:szCs w:val="1"/>
                <w:color w:val="auto"/>
              </w:rPr>
            </w:pPr>
          </w:p>
        </w:tc>
      </w:tr>
      <w:tr>
        <w:trPr>
          <w:trHeight w:val="181"/>
        </w:trPr>
        <w:tc>
          <w:tcPr>
            <w:tcW w:w="940" w:type="dxa"/>
            <w:vAlign w:val="bottom"/>
          </w:tcPr>
          <w:p>
            <w:pPr>
              <w:ind w:left="20"/>
              <w:spacing w:after="0"/>
              <w:rPr>
                <w:sz w:val="20"/>
                <w:szCs w:val="20"/>
                <w:color w:val="auto"/>
              </w:rPr>
            </w:pPr>
            <w:r>
              <w:rPr>
                <w:rFonts w:ascii="Arial" w:cs="Arial" w:eastAsia="Arial" w:hAnsi="Arial"/>
                <w:sz w:val="13"/>
                <w:szCs w:val="13"/>
                <w:b w:val="1"/>
                <w:bCs w:val="1"/>
                <w:color w:val="004E7D"/>
              </w:rPr>
              <w:t>A. Terry</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Pr>
          <w:p>
            <w:pPr>
              <w:ind w:left="20"/>
              <w:spacing w:after="0"/>
              <w:rPr>
                <w:sz w:val="20"/>
                <w:szCs w:val="20"/>
                <w:color w:val="auto"/>
              </w:rPr>
            </w:pPr>
            <w:r>
              <w:rPr>
                <w:rFonts w:ascii="Arial" w:cs="Arial" w:eastAsia="Arial" w:hAnsi="Arial"/>
                <w:sz w:val="13"/>
                <w:szCs w:val="13"/>
                <w:color w:val="auto"/>
              </w:rPr>
              <w:t>Bonus</w:t>
            </w: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118,750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475,000</w:t>
            </w:r>
          </w:p>
        </w:tc>
        <w:tc>
          <w:tcPr>
            <w:tcW w:w="860" w:type="dxa"/>
            <w:vAlign w:val="bottom"/>
          </w:tcPr>
          <w:p>
            <w:pPr>
              <w:jc w:val="right"/>
              <w:spacing w:after="0"/>
              <w:rPr>
                <w:sz w:val="20"/>
                <w:szCs w:val="20"/>
                <w:color w:val="auto"/>
              </w:rPr>
            </w:pPr>
            <w:r>
              <w:rPr>
                <w:rFonts w:ascii="Arial" w:cs="Arial" w:eastAsia="Arial" w:hAnsi="Arial"/>
                <w:sz w:val="13"/>
                <w:szCs w:val="13"/>
                <w:color w:val="auto"/>
              </w:rPr>
              <w:t>950,000</w:t>
            </w:r>
          </w:p>
        </w:tc>
        <w:tc>
          <w:tcPr>
            <w:tcW w:w="8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3,287</w:t>
            </w:r>
          </w:p>
        </w:tc>
        <w:tc>
          <w:tcPr>
            <w:tcW w:w="780" w:type="dxa"/>
            <w:vAlign w:val="bottom"/>
          </w:tcPr>
          <w:p>
            <w:pPr>
              <w:jc w:val="right"/>
              <w:spacing w:after="0"/>
              <w:rPr>
                <w:sz w:val="20"/>
                <w:szCs w:val="20"/>
                <w:color w:val="auto"/>
              </w:rPr>
            </w:pPr>
            <w:r>
              <w:rPr>
                <w:rFonts w:ascii="Arial" w:cs="Arial" w:eastAsia="Arial" w:hAnsi="Arial"/>
                <w:sz w:val="13"/>
                <w:szCs w:val="13"/>
                <w:color w:val="auto"/>
              </w:rPr>
              <w:t>6,574</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SARs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9"/>
              <w:spacing w:after="0"/>
              <w:rPr>
                <w:sz w:val="20"/>
                <w:szCs w:val="20"/>
                <w:color w:val="auto"/>
              </w:rPr>
            </w:pPr>
            <w:r>
              <w:rPr>
                <w:rFonts w:ascii="Arial" w:cs="Arial" w:eastAsia="Arial" w:hAnsi="Arial"/>
                <w:sz w:val="13"/>
                <w:szCs w:val="13"/>
                <w:color w:val="auto"/>
              </w:rPr>
              <w:t>5,027</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159.27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300,011</w:t>
            </w:r>
          </w:p>
        </w:tc>
        <w:tc>
          <w:tcPr>
            <w:tcW w:w="0" w:type="dxa"/>
            <w:vAlign w:val="bottom"/>
          </w:tcPr>
          <w:p>
            <w:pPr>
              <w:spacing w:after="0"/>
              <w:rPr>
                <w:sz w:val="1"/>
                <w:szCs w:val="1"/>
                <w:color w:val="auto"/>
              </w:rPr>
            </w:pPr>
          </w:p>
        </w:tc>
      </w:tr>
      <w:tr>
        <w:trPr>
          <w:trHeight w:val="18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1,305</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200,066</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Arial" w:cs="Arial" w:eastAsia="Arial" w:hAnsi="Arial"/>
                <w:sz w:val="13"/>
                <w:szCs w:val="13"/>
                <w:b w:val="1"/>
                <w:bCs w:val="1"/>
                <w:color w:val="004E7D"/>
              </w:rPr>
              <w:t>B. Miller</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20"/>
              <w:spacing w:after="0"/>
              <w:rPr>
                <w:sz w:val="20"/>
                <w:szCs w:val="20"/>
                <w:color w:val="auto"/>
              </w:rPr>
            </w:pPr>
            <w:r>
              <w:rPr>
                <w:rFonts w:ascii="Arial" w:cs="Arial" w:eastAsia="Arial" w:hAnsi="Arial"/>
                <w:sz w:val="13"/>
                <w:szCs w:val="13"/>
                <w:color w:val="auto"/>
              </w:rPr>
              <w:t>Bonus</w:t>
            </w: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198,250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793,000</w:t>
            </w:r>
          </w:p>
        </w:tc>
        <w:tc>
          <w:tcPr>
            <w:tcW w:w="860" w:type="dxa"/>
            <w:vAlign w:val="bottom"/>
          </w:tcPr>
          <w:p>
            <w:pPr>
              <w:jc w:val="right"/>
              <w:spacing w:after="0"/>
              <w:rPr>
                <w:sz w:val="20"/>
                <w:szCs w:val="20"/>
                <w:color w:val="auto"/>
              </w:rPr>
            </w:pPr>
            <w:r>
              <w:rPr>
                <w:rFonts w:ascii="Arial" w:cs="Arial" w:eastAsia="Arial" w:hAnsi="Arial"/>
                <w:sz w:val="13"/>
                <w:szCs w:val="13"/>
                <w:color w:val="auto"/>
              </w:rPr>
              <w:t>1,586,000</w:t>
            </w:r>
          </w:p>
        </w:tc>
        <w:tc>
          <w:tcPr>
            <w:tcW w:w="80" w:type="dxa"/>
            <w:vAlign w:val="bottom"/>
          </w:tcPr>
          <w:p>
            <w:pPr>
              <w:spacing w:after="0"/>
              <w:rPr>
                <w:sz w:val="14"/>
                <w:szCs w:val="14"/>
                <w:color w:val="auto"/>
              </w:rPr>
            </w:pP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3,944</w:t>
            </w:r>
          </w:p>
        </w:tc>
        <w:tc>
          <w:tcPr>
            <w:tcW w:w="780" w:type="dxa"/>
            <w:vAlign w:val="bottom"/>
          </w:tcPr>
          <w:p>
            <w:pPr>
              <w:jc w:val="right"/>
              <w:spacing w:after="0"/>
              <w:rPr>
                <w:sz w:val="20"/>
                <w:szCs w:val="20"/>
                <w:color w:val="auto"/>
              </w:rPr>
            </w:pPr>
            <w:r>
              <w:rPr>
                <w:rFonts w:ascii="Arial" w:cs="Arial" w:eastAsia="Arial" w:hAnsi="Arial"/>
                <w:sz w:val="13"/>
                <w:szCs w:val="13"/>
                <w:color w:val="auto"/>
              </w:rPr>
              <w:t>7,888</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599,942</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SARs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9"/>
              <w:spacing w:after="0"/>
              <w:rPr>
                <w:sz w:val="20"/>
                <w:szCs w:val="20"/>
                <w:color w:val="auto"/>
              </w:rPr>
            </w:pPr>
            <w:r>
              <w:rPr>
                <w:rFonts w:ascii="Arial" w:cs="Arial" w:eastAsia="Arial" w:hAnsi="Arial"/>
                <w:sz w:val="13"/>
                <w:szCs w:val="13"/>
                <w:color w:val="auto"/>
              </w:rPr>
              <w:t>6,032</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159.27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359,990</w:t>
            </w:r>
          </w:p>
        </w:tc>
        <w:tc>
          <w:tcPr>
            <w:tcW w:w="0" w:type="dxa"/>
            <w:vAlign w:val="bottom"/>
          </w:tcPr>
          <w:p>
            <w:pPr>
              <w:spacing w:after="0"/>
              <w:rPr>
                <w:sz w:val="1"/>
                <w:szCs w:val="1"/>
                <w:color w:val="auto"/>
              </w:rPr>
            </w:pPr>
          </w:p>
        </w:tc>
      </w:tr>
      <w:tr>
        <w:trPr>
          <w:trHeight w:val="18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1,565</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239,925</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3"/>
                <w:szCs w:val="13"/>
                <w:b w:val="1"/>
                <w:bCs w:val="1"/>
                <w:color w:val="004E7D"/>
              </w:rPr>
              <w:t>J. Marbert</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940" w:type="dxa"/>
            <w:vAlign w:val="bottom"/>
          </w:tcPr>
          <w:p>
            <w:pPr>
              <w:ind w:left="20"/>
              <w:spacing w:after="0"/>
              <w:rPr>
                <w:sz w:val="20"/>
                <w:szCs w:val="20"/>
                <w:color w:val="auto"/>
              </w:rPr>
            </w:pPr>
            <w:r>
              <w:rPr>
                <w:rFonts w:ascii="Arial" w:cs="Arial" w:eastAsia="Arial" w:hAnsi="Arial"/>
                <w:sz w:val="13"/>
                <w:szCs w:val="13"/>
                <w:color w:val="auto"/>
              </w:rPr>
              <w:t>Bonus</w:t>
            </w: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135,250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541,000</w:t>
            </w:r>
          </w:p>
        </w:tc>
        <w:tc>
          <w:tcPr>
            <w:tcW w:w="860" w:type="dxa"/>
            <w:vAlign w:val="bottom"/>
          </w:tcPr>
          <w:p>
            <w:pPr>
              <w:jc w:val="right"/>
              <w:spacing w:after="0"/>
              <w:rPr>
                <w:sz w:val="20"/>
                <w:szCs w:val="20"/>
                <w:color w:val="auto"/>
              </w:rPr>
            </w:pPr>
            <w:r>
              <w:rPr>
                <w:rFonts w:ascii="Arial" w:cs="Arial" w:eastAsia="Arial" w:hAnsi="Arial"/>
                <w:sz w:val="13"/>
                <w:szCs w:val="13"/>
                <w:color w:val="auto"/>
              </w:rPr>
              <w:t>1,082,000</w:t>
            </w:r>
          </w:p>
        </w:tc>
        <w:tc>
          <w:tcPr>
            <w:tcW w:w="80" w:type="dxa"/>
            <w:vAlign w:val="bottom"/>
          </w:tcPr>
          <w:p>
            <w:pPr>
              <w:spacing w:after="0"/>
              <w:rPr>
                <w:sz w:val="19"/>
                <w:szCs w:val="19"/>
                <w:color w:val="auto"/>
              </w:rPr>
            </w:pP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3,287</w:t>
            </w:r>
          </w:p>
        </w:tc>
        <w:tc>
          <w:tcPr>
            <w:tcW w:w="780" w:type="dxa"/>
            <w:vAlign w:val="bottom"/>
          </w:tcPr>
          <w:p>
            <w:pPr>
              <w:jc w:val="right"/>
              <w:spacing w:after="0"/>
              <w:rPr>
                <w:sz w:val="20"/>
                <w:szCs w:val="20"/>
                <w:color w:val="auto"/>
              </w:rPr>
            </w:pPr>
            <w:r>
              <w:rPr>
                <w:rFonts w:ascii="Arial" w:cs="Arial" w:eastAsia="Arial" w:hAnsi="Arial"/>
                <w:sz w:val="13"/>
                <w:szCs w:val="13"/>
                <w:color w:val="auto"/>
              </w:rPr>
              <w:t>6,574</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ind w:left="5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rPr>
              <w:t>SARs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9"/>
              <w:spacing w:after="0"/>
              <w:rPr>
                <w:sz w:val="20"/>
                <w:szCs w:val="20"/>
                <w:color w:val="auto"/>
              </w:rPr>
            </w:pPr>
            <w:r>
              <w:rPr>
                <w:rFonts w:ascii="Arial" w:cs="Arial" w:eastAsia="Arial" w:hAnsi="Arial"/>
                <w:sz w:val="13"/>
                <w:szCs w:val="13"/>
                <w:color w:val="auto"/>
              </w:rPr>
              <w:t>5,027</w:t>
            </w:r>
          </w:p>
        </w:tc>
        <w:tc>
          <w:tcPr>
            <w:tcW w:w="720" w:type="dxa"/>
            <w:vAlign w:val="bottom"/>
          </w:tcPr>
          <w:p>
            <w:pPr>
              <w:jc w:val="right"/>
              <w:ind w:right="138"/>
              <w:spacing w:after="0"/>
              <w:rPr>
                <w:sz w:val="20"/>
                <w:szCs w:val="20"/>
                <w:color w:val="auto"/>
              </w:rPr>
            </w:pPr>
            <w:r>
              <w:rPr>
                <w:rFonts w:ascii="Arial" w:cs="Arial" w:eastAsia="Arial" w:hAnsi="Arial"/>
                <w:sz w:val="13"/>
                <w:szCs w:val="13"/>
                <w:color w:val="auto"/>
              </w:rPr>
              <w:t>159.27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300,011</w:t>
            </w:r>
          </w:p>
        </w:tc>
        <w:tc>
          <w:tcPr>
            <w:tcW w:w="0" w:type="dxa"/>
            <w:vAlign w:val="bottom"/>
          </w:tcPr>
          <w:p>
            <w:pPr>
              <w:spacing w:after="0"/>
              <w:rPr>
                <w:sz w:val="1"/>
                <w:szCs w:val="1"/>
                <w:color w:val="auto"/>
              </w:rPr>
            </w:pPr>
          </w:p>
        </w:tc>
      </w:tr>
      <w:tr>
        <w:trPr>
          <w:trHeight w:val="183"/>
        </w:trPr>
        <w:tc>
          <w:tcPr>
            <w:tcW w:w="940" w:type="dxa"/>
            <w:vAlign w:val="bottom"/>
            <w:tcBorders>
              <w:bottom w:val="single" w:sz="8" w:color="00497F"/>
            </w:tcBorders>
          </w:tcPr>
          <w:p>
            <w:pPr>
              <w:ind w:left="2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00497F"/>
            </w:tcBorders>
          </w:tcPr>
          <w:p>
            <w:pPr>
              <w:jc w:val="center"/>
              <w:spacing w:after="0"/>
              <w:rPr>
                <w:sz w:val="20"/>
                <w:szCs w:val="20"/>
                <w:color w:val="auto"/>
              </w:rPr>
            </w:pPr>
            <w:r>
              <w:rPr>
                <w:rFonts w:ascii="Arial" w:cs="Arial" w:eastAsia="Arial" w:hAnsi="Arial"/>
                <w:sz w:val="13"/>
                <w:szCs w:val="13"/>
                <w:color w:val="auto"/>
                <w:w w:val="96"/>
              </w:rPr>
              <w:t>2/28/2022</w:t>
            </w:r>
          </w:p>
        </w:tc>
        <w:tc>
          <w:tcPr>
            <w:tcW w:w="1000" w:type="dxa"/>
            <w:vAlign w:val="bottom"/>
            <w:tcBorders>
              <w:bottom w:val="single" w:sz="8" w:color="00497F"/>
            </w:tcBorders>
          </w:tcPr>
          <w:p>
            <w:pPr>
              <w:jc w:val="center"/>
              <w:spacing w:after="0"/>
              <w:rPr>
                <w:sz w:val="20"/>
                <w:szCs w:val="20"/>
                <w:color w:val="auto"/>
              </w:rPr>
            </w:pPr>
            <w:r>
              <w:rPr>
                <w:rFonts w:ascii="Arial" w:cs="Arial" w:eastAsia="Arial" w:hAnsi="Arial"/>
                <w:sz w:val="13"/>
                <w:szCs w:val="13"/>
                <w:color w:val="auto"/>
                <w:w w:val="96"/>
              </w:rPr>
              <w:t>2/17/2022</w:t>
            </w:r>
          </w:p>
        </w:tc>
        <w:tc>
          <w:tcPr>
            <w:tcW w:w="820" w:type="dxa"/>
            <w:vAlign w:val="bottom"/>
            <w:tcBorders>
              <w:bottom w:val="single" w:sz="8" w:color="00497F"/>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00497F"/>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00497F"/>
            </w:tcBorders>
            <w:gridSpan w:val="2"/>
          </w:tcPr>
          <w:p>
            <w:pPr>
              <w:ind w:left="7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00497F"/>
            </w:tcBorders>
          </w:tcPr>
          <w:p>
            <w:pPr>
              <w:ind w:left="6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497F"/>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00497F"/>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497F"/>
            </w:tcBorders>
          </w:tcPr>
          <w:p>
            <w:pPr>
              <w:jc w:val="right"/>
              <w:ind w:right="78"/>
              <w:spacing w:after="0"/>
              <w:rPr>
                <w:sz w:val="20"/>
                <w:szCs w:val="20"/>
                <w:color w:val="auto"/>
              </w:rPr>
            </w:pPr>
            <w:r>
              <w:rPr>
                <w:rFonts w:ascii="Arial" w:cs="Arial" w:eastAsia="Arial" w:hAnsi="Arial"/>
                <w:sz w:val="13"/>
                <w:szCs w:val="13"/>
                <w:color w:val="auto"/>
              </w:rPr>
              <w:t>1,305</w:t>
            </w:r>
          </w:p>
        </w:tc>
        <w:tc>
          <w:tcPr>
            <w:tcW w:w="860" w:type="dxa"/>
            <w:vAlign w:val="bottom"/>
            <w:tcBorders>
              <w:bottom w:val="single" w:sz="8" w:color="00497F"/>
            </w:tcBorders>
          </w:tcPr>
          <w:p>
            <w:pPr>
              <w:ind w:left="5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00497F"/>
            </w:tcBorders>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0497F"/>
            </w:tcBorders>
          </w:tcPr>
          <w:p>
            <w:pPr>
              <w:jc w:val="right"/>
              <w:ind w:right="98"/>
              <w:spacing w:after="0"/>
              <w:rPr>
                <w:sz w:val="20"/>
                <w:szCs w:val="20"/>
                <w:color w:val="auto"/>
              </w:rPr>
            </w:pPr>
            <w:r>
              <w:rPr>
                <w:rFonts w:ascii="Arial" w:cs="Arial" w:eastAsia="Arial" w:hAnsi="Arial"/>
                <w:sz w:val="13"/>
                <w:szCs w:val="13"/>
                <w:color w:val="auto"/>
              </w:rPr>
              <w:t>200,066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right="260" w:hanging="212"/>
        <w:spacing w:after="0" w:line="227" w:lineRule="auto"/>
        <w:tabs>
          <w:tab w:leader="none" w:pos="283"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“Bonus” refers to our Bonus Plan in which our named executive officers participated. “Performance,” “SARs” and “RSUs” refers to Performance Units, SARs and RSUs, respectively, granted under the 2020 Equity Plan with respect to equity awards granted in February 2022.</w:t>
      </w:r>
    </w:p>
    <w:p>
      <w:pPr>
        <w:spacing w:after="0" w:line="97" w:lineRule="exact"/>
        <w:rPr>
          <w:sz w:val="20"/>
          <w:szCs w:val="20"/>
          <w:color w:val="auto"/>
        </w:rPr>
      </w:pPr>
    </w:p>
    <w:p>
      <w:pPr>
        <w:ind w:left="220" w:right="140" w:hanging="212"/>
        <w:spacing w:after="0" w:line="238" w:lineRule="auto"/>
        <w:tabs>
          <w:tab w:leader="none" w:pos="283"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“Grant Date” applies to equity awards reported in the “Estimated Possible Payouts Under Equity Incentive Plan Awards,” “All Other Stock Awards” and “All Other Options/SAR Awards” columns. The CPC approved grants of annual Performance Units, SARs and RSUs for the named executive officers on February 17, 2022, and the grant date of these awards was February 28, 2022.</w:t>
      </w:r>
    </w:p>
    <w:p>
      <w:pPr>
        <w:spacing w:after="0" w:line="84" w:lineRule="exact"/>
        <w:rPr>
          <w:sz w:val="20"/>
          <w:szCs w:val="20"/>
          <w:color w:val="auto"/>
        </w:rPr>
      </w:pPr>
    </w:p>
    <w:p>
      <w:pPr>
        <w:ind w:left="220" w:right="740" w:hanging="212"/>
        <w:spacing w:after="0" w:line="227" w:lineRule="auto"/>
        <w:tabs>
          <w:tab w:leader="none" w:pos="280"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These columns are intended to include potential payouts corresponding to the achievement of the threshold, target and maximum performance objectives under the Bonus Plan.</w:t>
      </w:r>
    </w:p>
    <w:p>
      <w:pPr>
        <w:spacing w:after="0" w:line="70"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The awards were granted with an exercise or base price equal to the average of the high and low stock price on the NYSE on the date of grant.</w:t>
      </w:r>
    </w:p>
    <w:p>
      <w:pPr>
        <w:spacing w:after="0" w:line="82" w:lineRule="exact"/>
        <w:rPr>
          <w:sz w:val="20"/>
          <w:szCs w:val="20"/>
          <w:color w:val="auto"/>
        </w:rPr>
      </w:pPr>
    </w:p>
    <w:p>
      <w:pPr>
        <w:ind w:left="220" w:right="40" w:hanging="212"/>
        <w:spacing w:after="0" w:line="246" w:lineRule="auto"/>
        <w:tabs>
          <w:tab w:leader="none" w:pos="280"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The value reported for Equity Incentive Plan Awards, Stock Awards and Option/SAR Awards is the aggregate grant date fair value of the awards granted in 2022 as determined in accordance with accounting standards for share-based payments. The value reported for the Performance Units is the grant date value assuming performance at the target level, which was the probable outcome of the performance conditions as of the grant date. The assumptions for making the valuation determinations are set forth in Footnote 18, “Share-Based Compensation,” of the Notes to our annual Consolidated Financial Statements included in the 2022 Annual Report.</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48" w:name="page49"/>
    <w:bookmarkEnd w:id="48"/>
    <w:p>
      <w:pPr>
        <w:ind w:left="80" w:right="40"/>
        <w:spacing w:after="0" w:line="260" w:lineRule="auto"/>
        <w:rPr>
          <w:sz w:val="20"/>
          <w:szCs w:val="20"/>
          <w:color w:val="auto"/>
        </w:rPr>
      </w:pPr>
      <w:r>
        <w:rPr>
          <w:rFonts w:ascii="Arial" w:cs="Arial" w:eastAsia="Arial" w:hAnsi="Arial"/>
          <w:sz w:val="16"/>
          <w:szCs w:val="16"/>
          <w:color w:val="auto"/>
        </w:rPr>
        <w:t>The Grants of Plan-Based Awards table reports the potential dollar value of cash incentive awards under the Bonus Plan at their threshold, target and maximum achievement levels, and the number and grant date fair value of Performance Units, SARs and RSUs granted under the 2020 Equity Plan, in each case granted to each named executive officer during the 2022 fiscal year. For cash incentives, this table reports the range of potential amounts that could have been earned by the executive under the Bonus Plans for 2022, whereas the Non-Equity Incentive Plan Compensation column in the Summary Compensation Table reports the actual value earned by the executive for 2022.</w:t>
      </w:r>
    </w:p>
    <w:p>
      <w:pPr>
        <w:spacing w:after="0" w:line="83" w:lineRule="exact"/>
        <w:rPr>
          <w:sz w:val="20"/>
          <w:szCs w:val="20"/>
          <w:color w:val="auto"/>
        </w:rPr>
      </w:pPr>
    </w:p>
    <w:p>
      <w:pPr>
        <w:ind w:left="80" w:right="120"/>
        <w:spacing w:after="0" w:line="261" w:lineRule="auto"/>
        <w:rPr>
          <w:sz w:val="20"/>
          <w:szCs w:val="20"/>
          <w:color w:val="auto"/>
        </w:rPr>
      </w:pPr>
      <w:r>
        <w:rPr>
          <w:rFonts w:ascii="Arial" w:cs="Arial" w:eastAsia="Arial" w:hAnsi="Arial"/>
          <w:sz w:val="16"/>
          <w:szCs w:val="16"/>
          <w:color w:val="auto"/>
        </w:rPr>
        <w:t>Annual RSU and SAR grants under the 2020 Equity Plan typically vest in four equal annual increments beginning approximately a year after the grant date, contingent on continued employment. Even when vested, an executive could lose the right to exercise or receive a distribution of any outstanding stock awards if the executive’s employment terminated due to serious misconduct as defined in the Equity Plans, or if it is determined that the executive has engaged in competition or has engaged in criminal conduct or other behavior that was actually or potentially harmful. These awards do not accrue or pay cash dividends and do not bear voting rights until they vest (in the case of RSUs) or are exercised (in the case of SARs) and shares are issued to the grantee.</w:t>
      </w:r>
    </w:p>
    <w:p>
      <w:pPr>
        <w:spacing w:after="0" w:line="68" w:lineRule="exact"/>
        <w:rPr>
          <w:sz w:val="20"/>
          <w:szCs w:val="20"/>
          <w:color w:val="auto"/>
        </w:rPr>
      </w:pPr>
    </w:p>
    <w:p>
      <w:pPr>
        <w:ind w:left="80" w:right="100"/>
        <w:spacing w:after="0" w:line="259" w:lineRule="auto"/>
        <w:rPr>
          <w:sz w:val="20"/>
          <w:szCs w:val="20"/>
          <w:color w:val="auto"/>
        </w:rPr>
      </w:pPr>
      <w:r>
        <w:rPr>
          <w:rFonts w:ascii="Arial" w:cs="Arial" w:eastAsia="Arial" w:hAnsi="Arial"/>
          <w:sz w:val="16"/>
          <w:szCs w:val="16"/>
          <w:color w:val="auto"/>
        </w:rPr>
        <w:t>Performance Units represent the right to receive shares of our common stock at the end of a performance period, which with respect to the Performance Units granted in 2022 began January 1, 2022 and will end on December 31, 2024, contingent on continued employment through such date. The number of shares that will be received following the end of the performance period will be based on the Company’s cumulative achievement over the period with respect to specified performance objectives and can range from zero to two times the number of Performance Units granted. Performance Units will be forfeited if the named executive officer engages in competition or acts that are or potentially are injurious to the Company’s operations, financial condition or business reputation during the performance period; the named executive officers are also prohibited from soliciting any of our employees to leave our employment during the period from the grant date until the first anniversary of the termination of the officer’s employment for any reason.</w:t>
      </w:r>
    </w:p>
    <w:p>
      <w:pPr>
        <w:spacing w:after="0" w:line="82" w:lineRule="exact"/>
        <w:rPr>
          <w:sz w:val="20"/>
          <w:szCs w:val="20"/>
          <w:color w:val="auto"/>
        </w:rPr>
      </w:pPr>
    </w:p>
    <w:p>
      <w:pPr>
        <w:ind w:left="80" w:right="560"/>
        <w:spacing w:after="0" w:line="286" w:lineRule="auto"/>
        <w:rPr>
          <w:sz w:val="20"/>
          <w:szCs w:val="20"/>
          <w:color w:val="auto"/>
        </w:rPr>
      </w:pPr>
      <w:r>
        <w:rPr>
          <w:rFonts w:ascii="Arial" w:cs="Arial" w:eastAsia="Arial" w:hAnsi="Arial"/>
          <w:sz w:val="16"/>
          <w:szCs w:val="16"/>
          <w:color w:val="auto"/>
        </w:rPr>
        <w:t>For information regarding treatment of the equity awards upon a termination of employment, see “Potential Payments Upon Termination or Change in Control.”</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Outstanding Equity Awards at 2022 Fiscal Year-End</w:t>
      </w:r>
    </w:p>
    <w:p>
      <w:pPr>
        <w:spacing w:after="0" w:line="131" w:lineRule="exact"/>
        <w:rPr>
          <w:sz w:val="20"/>
          <w:szCs w:val="20"/>
          <w:color w:val="auto"/>
        </w:rPr>
      </w:pPr>
    </w:p>
    <w:p>
      <w:pPr>
        <w:ind w:left="80" w:right="120"/>
        <w:spacing w:after="0" w:line="263" w:lineRule="auto"/>
        <w:rPr>
          <w:sz w:val="20"/>
          <w:szCs w:val="20"/>
          <w:color w:val="auto"/>
        </w:rPr>
      </w:pPr>
      <w:r>
        <w:rPr>
          <w:rFonts w:ascii="Arial" w:cs="Arial" w:eastAsia="Arial" w:hAnsi="Arial"/>
          <w:sz w:val="16"/>
          <w:szCs w:val="16"/>
          <w:color w:val="auto"/>
        </w:rPr>
        <w:t>The following table shows information about outstanding Performance Units, SARs and RSUs with respect to our common stock as of December 31, 2022, our fiscal year-end. The market values are based on the closing price of our common stock on the NYSE on December 31, 2022, the last trading day of our</w:t>
      </w:r>
    </w:p>
    <w:p>
      <w:pPr>
        <w:sectPr>
          <w:pgSz w:w="11900" w:h="16838" w:orient="portrait"/>
          <w:cols w:equalWidth="0" w:num="1">
            <w:col w:w="11320"/>
          </w:cols>
          <w:pgMar w:left="240" w:top="1138" w:right="339" w:bottom="1440" w:gutter="0" w:footer="0" w:header="0"/>
        </w:sectPr>
      </w:pPr>
    </w:p>
    <w:p>
      <w:pPr>
        <w:ind w:left="80"/>
        <w:spacing w:after="0"/>
        <w:rPr>
          <w:sz w:val="20"/>
          <w:szCs w:val="20"/>
          <w:color w:val="auto"/>
        </w:rPr>
      </w:pPr>
      <w:r>
        <w:rPr>
          <w:rFonts w:ascii="Arial" w:cs="Arial" w:eastAsia="Arial" w:hAnsi="Arial"/>
          <w:sz w:val="16"/>
          <w:szCs w:val="16"/>
          <w:color w:val="auto"/>
        </w:rPr>
        <w:t>fiscal year, which was $134.59.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004E7D"/>
              </w:rPr>
              <w:t>Grant Date</w:t>
            </w:r>
          </w:p>
        </w:tc>
        <w:tc>
          <w:tcPr>
            <w:tcW w:w="720" w:type="dxa"/>
            <w:vAlign w:val="bottom"/>
          </w:tcPr>
          <w:p>
            <w:pPr>
              <w:jc w:val="center"/>
              <w:ind w:left="208"/>
              <w:spacing w:after="0"/>
              <w:rPr>
                <w:sz w:val="20"/>
                <w:szCs w:val="20"/>
                <w:color w:val="auto"/>
              </w:rPr>
            </w:pPr>
            <w:r>
              <w:rPr>
                <w:rFonts w:ascii="Arial" w:cs="Arial" w:eastAsia="Arial" w:hAnsi="Arial"/>
                <w:sz w:val="14"/>
                <w:szCs w:val="14"/>
                <w:b w:val="1"/>
                <w:bCs w:val="1"/>
                <w:color w:val="004E7D"/>
              </w:rPr>
              <w:t>Award</w:t>
            </w:r>
          </w:p>
        </w:tc>
        <w:tc>
          <w:tcPr>
            <w:tcW w:w="0" w:type="dxa"/>
            <w:vAlign w:val="bottom"/>
          </w:tcPr>
          <w:p>
            <w:pPr>
              <w:spacing w:after="0"/>
              <w:rPr>
                <w:sz w:val="1"/>
                <w:szCs w:val="1"/>
                <w:color w:val="auto"/>
              </w:rPr>
            </w:pPr>
          </w:p>
        </w:tc>
      </w:tr>
      <w:tr>
        <w:trPr>
          <w:trHeight w:val="185"/>
        </w:trPr>
        <w:tc>
          <w:tcPr>
            <w:tcW w:w="1000" w:type="dxa"/>
            <w:vAlign w:val="bottom"/>
            <w:vMerge w:val="continue"/>
          </w:tcPr>
          <w:p>
            <w:pPr>
              <w:spacing w:after="0"/>
              <w:rPr>
                <w:sz w:val="16"/>
                <w:szCs w:val="16"/>
                <w:color w:val="auto"/>
              </w:rPr>
            </w:pPr>
          </w:p>
        </w:tc>
        <w:tc>
          <w:tcPr>
            <w:tcW w:w="720" w:type="dxa"/>
            <w:vAlign w:val="bottom"/>
          </w:tcPr>
          <w:p>
            <w:pPr>
              <w:jc w:val="center"/>
              <w:ind w:left="188"/>
              <w:spacing w:after="0"/>
              <w:rPr>
                <w:sz w:val="20"/>
                <w:szCs w:val="20"/>
                <w:color w:val="auto"/>
              </w:rPr>
            </w:pPr>
            <w:r>
              <w:rPr>
                <w:rFonts w:ascii="Arial" w:cs="Arial" w:eastAsia="Arial" w:hAnsi="Arial"/>
                <w:sz w:val="14"/>
                <w:szCs w:val="14"/>
                <w:b w:val="1"/>
                <w:bCs w:val="1"/>
                <w:color w:val="004E7D"/>
              </w:rPr>
              <w:t>Type</w:t>
            </w:r>
            <w:r>
              <w:rPr>
                <w:rFonts w:ascii="Arial" w:cs="Arial" w:eastAsia="Arial" w:hAnsi="Arial"/>
                <w:sz w:val="8"/>
                <w:szCs w:val="8"/>
                <w:b w:val="1"/>
                <w:bCs w:val="1"/>
                <w:color w:val="004E7D"/>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280" w:type="dxa"/>
            <w:vAlign w:val="bottom"/>
            <w:gridSpan w:val="2"/>
          </w:tcPr>
          <w:p>
            <w:pPr>
              <w:ind w:left="1000"/>
              <w:spacing w:after="0"/>
              <w:rPr>
                <w:sz w:val="20"/>
                <w:szCs w:val="20"/>
                <w:color w:val="auto"/>
              </w:rPr>
            </w:pPr>
            <w:r>
              <w:rPr>
                <w:rFonts w:ascii="Arial" w:cs="Arial" w:eastAsia="Arial" w:hAnsi="Arial"/>
                <w:sz w:val="14"/>
                <w:szCs w:val="14"/>
                <w:b w:val="1"/>
                <w:bCs w:val="1"/>
                <w:color w:val="004E7D"/>
              </w:rPr>
              <w:t>Option Awards</w:t>
            </w:r>
          </w:p>
        </w:tc>
        <w:tc>
          <w:tcPr>
            <w:tcW w:w="1160" w:type="dxa"/>
            <w:vAlign w:val="bottom"/>
          </w:tcPr>
          <w:p>
            <w:pPr>
              <w:spacing w:after="0"/>
              <w:rPr>
                <w:sz w:val="17"/>
                <w:szCs w:val="17"/>
                <w:color w:val="auto"/>
              </w:rPr>
            </w:pPr>
          </w:p>
        </w:tc>
        <w:tc>
          <w:tcPr>
            <w:tcW w:w="1020" w:type="dxa"/>
            <w:vAlign w:val="bottom"/>
            <w:tcBorders>
              <w:bottom w:val="single" w:sz="8" w:color="00497F"/>
            </w:tcBorders>
          </w:tcPr>
          <w:p>
            <w:pPr>
              <w:spacing w:after="0"/>
              <w:rPr>
                <w:sz w:val="17"/>
                <w:szCs w:val="17"/>
                <w:color w:val="auto"/>
              </w:rPr>
            </w:pPr>
          </w:p>
        </w:tc>
        <w:tc>
          <w:tcPr>
            <w:tcW w:w="1020" w:type="dxa"/>
            <w:vAlign w:val="bottom"/>
            <w:tcBorders>
              <w:bottom w:val="single" w:sz="8" w:color="00497F"/>
            </w:tcBorders>
          </w:tcPr>
          <w:p>
            <w:pPr>
              <w:spacing w:after="0"/>
              <w:rPr>
                <w:sz w:val="17"/>
                <w:szCs w:val="17"/>
                <w:color w:val="auto"/>
              </w:rPr>
            </w:pPr>
          </w:p>
        </w:tc>
        <w:tc>
          <w:tcPr>
            <w:tcW w:w="1600" w:type="dxa"/>
            <w:vAlign w:val="bottom"/>
            <w:tcBorders>
              <w:bottom w:val="single" w:sz="8" w:color="00497F"/>
            </w:tcBorders>
          </w:tcPr>
          <w:p>
            <w:pPr>
              <w:ind w:left="100"/>
              <w:spacing w:after="0"/>
              <w:rPr>
                <w:sz w:val="20"/>
                <w:szCs w:val="20"/>
                <w:color w:val="auto"/>
              </w:rPr>
            </w:pPr>
            <w:r>
              <w:rPr>
                <w:rFonts w:ascii="Arial" w:cs="Arial" w:eastAsia="Arial" w:hAnsi="Arial"/>
                <w:sz w:val="14"/>
                <w:szCs w:val="14"/>
                <w:b w:val="1"/>
                <w:bCs w:val="1"/>
                <w:color w:val="004E7D"/>
              </w:rPr>
              <w:t>Stock Awards</w:t>
            </w:r>
          </w:p>
        </w:tc>
        <w:tc>
          <w:tcPr>
            <w:tcW w:w="1600" w:type="dxa"/>
            <w:vAlign w:val="bottom"/>
            <w:tcBorders>
              <w:bottom w:val="single" w:sz="8" w:color="00497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Equity Incentive</w:t>
            </w:r>
          </w:p>
        </w:tc>
        <w:tc>
          <w:tcPr>
            <w:tcW w:w="1600" w:type="dxa"/>
            <w:vAlign w:val="bottom"/>
          </w:tcPr>
          <w:p>
            <w:pPr>
              <w:jc w:val="center"/>
              <w:spacing w:after="0" w:line="147" w:lineRule="exact"/>
              <w:rPr>
                <w:sz w:val="20"/>
                <w:szCs w:val="20"/>
                <w:color w:val="auto"/>
              </w:rPr>
            </w:pPr>
            <w:r>
              <w:rPr>
                <w:rFonts w:ascii="Arial" w:cs="Arial" w:eastAsia="Arial" w:hAnsi="Arial"/>
                <w:sz w:val="14"/>
                <w:szCs w:val="14"/>
                <w:b w:val="1"/>
                <w:bCs w:val="1"/>
                <w:color w:val="004E7D"/>
              </w:rPr>
              <w:t>Equity Incentive</w:t>
            </w:r>
          </w:p>
        </w:tc>
        <w:tc>
          <w:tcPr>
            <w:tcW w:w="0" w:type="dxa"/>
            <w:vAlign w:val="bottom"/>
          </w:tcPr>
          <w:p>
            <w:pPr>
              <w:spacing w:after="0"/>
              <w:rPr>
                <w:sz w:val="1"/>
                <w:szCs w:val="1"/>
                <w:color w:val="auto"/>
              </w:rPr>
            </w:pPr>
          </w:p>
        </w:tc>
      </w:tr>
      <w:tr>
        <w:trPr>
          <w:trHeight w:val="149"/>
        </w:trPr>
        <w:tc>
          <w:tcPr>
            <w:tcW w:w="13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004E7D"/>
              </w:rPr>
              <w:t>Number of</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Number of</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004E7D"/>
              </w:rPr>
              <w:t>Market</w:t>
            </w:r>
          </w:p>
        </w:tc>
        <w:tc>
          <w:tcPr>
            <w:tcW w:w="1600" w:type="dxa"/>
            <w:vAlign w:val="bottom"/>
            <w:vMerge w:val="continue"/>
          </w:tcPr>
          <w:p>
            <w:pPr>
              <w:spacing w:after="0"/>
              <w:rPr>
                <w:sz w:val="12"/>
                <w:szCs w:val="12"/>
                <w:color w:val="auto"/>
              </w:rPr>
            </w:pPr>
          </w:p>
        </w:tc>
        <w:tc>
          <w:tcPr>
            <w:tcW w:w="1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004E7D"/>
              </w:rPr>
              <w:t>Plan Awards:</w:t>
            </w:r>
          </w:p>
        </w:tc>
        <w:tc>
          <w:tcPr>
            <w:tcW w:w="0" w:type="dxa"/>
            <w:vAlign w:val="bottom"/>
          </w:tcPr>
          <w:p>
            <w:pPr>
              <w:spacing w:after="0"/>
              <w:rPr>
                <w:sz w:val="1"/>
                <w:szCs w:val="1"/>
                <w:color w:val="auto"/>
              </w:rPr>
            </w:pPr>
          </w:p>
        </w:tc>
      </w:tr>
      <w:tr>
        <w:trPr>
          <w:trHeight w:val="144"/>
        </w:trPr>
        <w:tc>
          <w:tcPr>
            <w:tcW w:w="13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60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004E7D"/>
              </w:rPr>
              <w:t>Plan Awards:</w:t>
            </w:r>
          </w:p>
        </w:tc>
        <w:tc>
          <w:tcPr>
            <w:tcW w:w="16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004E7D"/>
              </w:rPr>
              <w:t>Market or</w:t>
            </w:r>
          </w:p>
        </w:tc>
        <w:tc>
          <w:tcPr>
            <w:tcW w:w="0" w:type="dxa"/>
            <w:vAlign w:val="bottom"/>
          </w:tcPr>
          <w:p>
            <w:pPr>
              <w:spacing w:after="0"/>
              <w:rPr>
                <w:sz w:val="1"/>
                <w:szCs w:val="1"/>
                <w:color w:val="auto"/>
              </w:rPr>
            </w:pPr>
          </w:p>
        </w:tc>
      </w:tr>
      <w:tr>
        <w:trPr>
          <w:trHeight w:val="148"/>
        </w:trPr>
        <w:tc>
          <w:tcPr>
            <w:tcW w:w="13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004E7D"/>
              </w:rPr>
              <w:t>Securities</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Shares or</w:t>
            </w: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004E7D"/>
              </w:rPr>
              <w:t>Value of</w:t>
            </w:r>
          </w:p>
        </w:tc>
        <w:tc>
          <w:tcPr>
            <w:tcW w:w="16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004E7D"/>
              </w:rPr>
              <w:t>Number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Payout Value</w:t>
            </w:r>
          </w:p>
        </w:tc>
        <w:tc>
          <w:tcPr>
            <w:tcW w:w="0" w:type="dxa"/>
            <w:vAlign w:val="bottom"/>
          </w:tcPr>
          <w:p>
            <w:pPr>
              <w:spacing w:after="0"/>
              <w:rPr>
                <w:sz w:val="1"/>
                <w:szCs w:val="1"/>
                <w:color w:val="auto"/>
              </w:rPr>
            </w:pPr>
          </w:p>
        </w:tc>
      </w:tr>
      <w:tr>
        <w:trPr>
          <w:trHeight w:val="135"/>
        </w:trPr>
        <w:tc>
          <w:tcPr>
            <w:tcW w:w="13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004E7D"/>
              </w:rPr>
              <w:t>Underlying</w:t>
            </w:r>
          </w:p>
        </w:tc>
        <w:tc>
          <w:tcPr>
            <w:tcW w:w="9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004E7D"/>
              </w:rPr>
              <w:t>Option/</w:t>
            </w:r>
          </w:p>
        </w:tc>
        <w:tc>
          <w:tcPr>
            <w:tcW w:w="11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w w:val="99"/>
              </w:rPr>
              <w:t>Units of</w:t>
            </w:r>
          </w:p>
        </w:tc>
        <w:tc>
          <w:tcPr>
            <w:tcW w:w="10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004E7D"/>
              </w:rPr>
              <w:t>Shares or</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Unearned</w:t>
            </w:r>
          </w:p>
        </w:tc>
        <w:tc>
          <w:tcPr>
            <w:tcW w:w="16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004E7D"/>
              </w:rPr>
              <w:t>of Unearned</w:t>
            </w:r>
          </w:p>
        </w:tc>
        <w:tc>
          <w:tcPr>
            <w:tcW w:w="0" w:type="dxa"/>
            <w:vAlign w:val="bottom"/>
          </w:tcPr>
          <w:p>
            <w:pPr>
              <w:spacing w:after="0"/>
              <w:rPr>
                <w:sz w:val="1"/>
                <w:szCs w:val="1"/>
                <w:color w:val="auto"/>
              </w:rPr>
            </w:pPr>
          </w:p>
        </w:tc>
      </w:tr>
      <w:tr>
        <w:trPr>
          <w:trHeight w:val="148"/>
        </w:trPr>
        <w:tc>
          <w:tcPr>
            <w:tcW w:w="13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004E7D"/>
              </w:rPr>
              <w:t>Unexercised</w:t>
            </w:r>
          </w:p>
        </w:tc>
        <w:tc>
          <w:tcPr>
            <w:tcW w:w="980" w:type="dxa"/>
            <w:vAlign w:val="bottom"/>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Option/ SAR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Stock</w:t>
            </w:r>
          </w:p>
        </w:tc>
        <w:tc>
          <w:tcPr>
            <w:tcW w:w="10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004E7D"/>
              </w:rPr>
              <w:t>Units of</w:t>
            </w:r>
          </w:p>
        </w:tc>
        <w:tc>
          <w:tcPr>
            <w:tcW w:w="16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004E7D"/>
              </w:rPr>
              <w:t>Shares, Units</w:t>
            </w:r>
          </w:p>
        </w:tc>
        <w:tc>
          <w:tcPr>
            <w:tcW w:w="1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004E7D"/>
              </w:rPr>
              <w:t>Shares, Units</w:t>
            </w:r>
          </w:p>
        </w:tc>
        <w:tc>
          <w:tcPr>
            <w:tcW w:w="0" w:type="dxa"/>
            <w:vAlign w:val="bottom"/>
          </w:tcPr>
          <w:p>
            <w:pPr>
              <w:spacing w:after="0"/>
              <w:rPr>
                <w:sz w:val="1"/>
                <w:szCs w:val="1"/>
                <w:color w:val="auto"/>
              </w:rPr>
            </w:pPr>
          </w:p>
        </w:tc>
      </w:tr>
      <w:tr>
        <w:trPr>
          <w:trHeight w:val="135"/>
        </w:trPr>
        <w:tc>
          <w:tcPr>
            <w:tcW w:w="13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004E7D"/>
              </w:rPr>
              <w:t>Options/SARs</w:t>
            </w:r>
          </w:p>
        </w:tc>
        <w:tc>
          <w:tcPr>
            <w:tcW w:w="9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004E7D"/>
              </w:rPr>
              <w:t>SAR</w:t>
            </w:r>
          </w:p>
        </w:tc>
        <w:tc>
          <w:tcPr>
            <w:tcW w:w="116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That Have</w:t>
            </w:r>
          </w:p>
        </w:tc>
        <w:tc>
          <w:tcPr>
            <w:tcW w:w="10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004E7D"/>
              </w:rPr>
              <w:t>Stock That</w:t>
            </w:r>
          </w:p>
        </w:tc>
        <w:tc>
          <w:tcPr>
            <w:tcW w:w="160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004E7D"/>
              </w:rPr>
              <w:t>or Other Rights</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or Other Rights</w:t>
            </w:r>
          </w:p>
        </w:tc>
        <w:tc>
          <w:tcPr>
            <w:tcW w:w="0" w:type="dxa"/>
            <w:vAlign w:val="bottom"/>
          </w:tcPr>
          <w:p>
            <w:pPr>
              <w:spacing w:after="0"/>
              <w:rPr>
                <w:sz w:val="1"/>
                <w:szCs w:val="1"/>
                <w:color w:val="auto"/>
              </w:rPr>
            </w:pPr>
          </w:p>
        </w:tc>
      </w:tr>
      <w:tr>
        <w:trPr>
          <w:trHeight w:val="149"/>
        </w:trPr>
        <w:tc>
          <w:tcPr>
            <w:tcW w:w="13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004E7D"/>
              </w:rPr>
              <w:t>Exercisable/</w:t>
            </w:r>
          </w:p>
        </w:tc>
        <w:tc>
          <w:tcPr>
            <w:tcW w:w="9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004E7D"/>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Expiration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Not</w:t>
            </w:r>
          </w:p>
        </w:tc>
        <w:tc>
          <w:tcPr>
            <w:tcW w:w="10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004E7D"/>
              </w:rPr>
              <w:t>Have Not</w:t>
            </w:r>
          </w:p>
        </w:tc>
        <w:tc>
          <w:tcPr>
            <w:tcW w:w="16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004E7D"/>
              </w:rPr>
              <w:t>That Have Not</w:t>
            </w:r>
          </w:p>
        </w:tc>
        <w:tc>
          <w:tcPr>
            <w:tcW w:w="1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004E7D"/>
              </w:rPr>
              <w:t>That Have Not</w:t>
            </w:r>
          </w:p>
        </w:tc>
        <w:tc>
          <w:tcPr>
            <w:tcW w:w="0" w:type="dxa"/>
            <w:vAlign w:val="bottom"/>
          </w:tcPr>
          <w:p>
            <w:pPr>
              <w:spacing w:after="0"/>
              <w:rPr>
                <w:sz w:val="1"/>
                <w:szCs w:val="1"/>
                <w:color w:val="auto"/>
              </w:rPr>
            </w:pPr>
          </w:p>
        </w:tc>
      </w:tr>
      <w:tr>
        <w:trPr>
          <w:trHeight w:val="189"/>
        </w:trPr>
        <w:tc>
          <w:tcPr>
            <w:tcW w:w="1300" w:type="dxa"/>
            <w:vAlign w:val="bottom"/>
          </w:tcPr>
          <w:p>
            <w:pPr>
              <w:jc w:val="center"/>
              <w:ind w:right="208"/>
              <w:spacing w:after="0"/>
              <w:rPr>
                <w:sz w:val="20"/>
                <w:szCs w:val="20"/>
                <w:color w:val="auto"/>
              </w:rPr>
            </w:pPr>
            <w:r>
              <w:rPr>
                <w:rFonts w:ascii="Arial" w:cs="Arial" w:eastAsia="Arial" w:hAnsi="Arial"/>
                <w:sz w:val="14"/>
                <w:szCs w:val="14"/>
                <w:b w:val="1"/>
                <w:bCs w:val="1"/>
                <w:color w:val="004E7D"/>
              </w:rPr>
              <w:t>Unexercisable</w:t>
            </w:r>
            <w:r>
              <w:rPr>
                <w:rFonts w:ascii="Arial" w:cs="Arial" w:eastAsia="Arial" w:hAnsi="Arial"/>
                <w:sz w:val="8"/>
                <w:szCs w:val="8"/>
                <w:b w:val="1"/>
                <w:bCs w:val="1"/>
                <w:color w:val="004E7D"/>
              </w:rPr>
              <w:t>2</w:t>
            </w:r>
          </w:p>
        </w:tc>
        <w:tc>
          <w:tcPr>
            <w:tcW w:w="980" w:type="dxa"/>
            <w:vAlign w:val="bottom"/>
          </w:tcPr>
          <w:p>
            <w:pPr>
              <w:jc w:val="center"/>
              <w:ind w:left="68"/>
              <w:spacing w:after="0"/>
              <w:rPr>
                <w:sz w:val="20"/>
                <w:szCs w:val="20"/>
                <w:color w:val="auto"/>
              </w:rPr>
            </w:pPr>
            <w:r>
              <w:rPr>
                <w:rFonts w:ascii="Arial" w:cs="Arial" w:eastAsia="Arial" w:hAnsi="Arial"/>
                <w:sz w:val="14"/>
                <w:szCs w:val="14"/>
                <w:b w:val="1"/>
                <w:bCs w:val="1"/>
                <w:color w:val="004E7D"/>
              </w:rPr>
              <w:t>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E7D"/>
                <w:w w:val="98"/>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4E7D"/>
              </w:rPr>
              <w:t>Vested</w:t>
            </w:r>
            <w:r>
              <w:rPr>
                <w:rFonts w:ascii="Arial" w:cs="Arial" w:eastAsia="Arial" w:hAnsi="Arial"/>
                <w:sz w:val="8"/>
                <w:szCs w:val="8"/>
                <w:b w:val="1"/>
                <w:bCs w:val="1"/>
                <w:color w:val="004E7D"/>
              </w:rPr>
              <w:t>3</w:t>
            </w: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004E7D"/>
              </w:rPr>
              <w:t>Vested</w:t>
            </w:r>
          </w:p>
        </w:tc>
        <w:tc>
          <w:tcPr>
            <w:tcW w:w="1600" w:type="dxa"/>
            <w:vAlign w:val="bottom"/>
          </w:tcPr>
          <w:p>
            <w:pPr>
              <w:jc w:val="center"/>
              <w:ind w:left="8"/>
              <w:spacing w:after="0"/>
              <w:rPr>
                <w:sz w:val="20"/>
                <w:szCs w:val="20"/>
                <w:color w:val="auto"/>
              </w:rPr>
            </w:pPr>
            <w:r>
              <w:rPr>
                <w:rFonts w:ascii="Arial" w:cs="Arial" w:eastAsia="Arial" w:hAnsi="Arial"/>
                <w:sz w:val="14"/>
                <w:szCs w:val="14"/>
                <w:b w:val="1"/>
                <w:bCs w:val="1"/>
                <w:color w:val="004E7D"/>
              </w:rPr>
              <w:t>Vested (#)</w:t>
            </w: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004E7D"/>
              </w:rPr>
              <w:t>Vested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-864870</wp:posOffset>
            </wp:positionV>
            <wp:extent cx="23228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20" w:space="320"/>
            <w:col w:w="8680"/>
          </w:cols>
          <w:pgMar w:left="240" w:top="113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0" w:type="dxa"/>
            <w:vAlign w:val="bottom"/>
          </w:tcPr>
          <w:p>
            <w:pPr>
              <w:spacing w:after="0"/>
              <w:rPr>
                <w:sz w:val="19"/>
                <w:szCs w:val="19"/>
                <w:color w:val="auto"/>
              </w:rPr>
            </w:pPr>
          </w:p>
        </w:tc>
        <w:tc>
          <w:tcPr>
            <w:tcW w:w="980" w:type="dxa"/>
            <w:vAlign w:val="bottom"/>
            <w:tcBorders>
              <w:top w:val="single" w:sz="8" w:color="004987"/>
            </w:tcBorders>
          </w:tcPr>
          <w:p>
            <w:pPr>
              <w:ind w:left="20"/>
              <w:spacing w:after="0"/>
              <w:rPr>
                <w:sz w:val="20"/>
                <w:szCs w:val="20"/>
                <w:color w:val="auto"/>
              </w:rPr>
            </w:pPr>
            <w:r>
              <w:rPr>
                <w:rFonts w:ascii="Arial" w:cs="Arial" w:eastAsia="Arial" w:hAnsi="Arial"/>
                <w:sz w:val="16"/>
                <w:szCs w:val="16"/>
                <w:b w:val="1"/>
                <w:bCs w:val="1"/>
                <w:color w:val="004E7D"/>
              </w:rPr>
              <w:t>S. Weisz</w:t>
            </w:r>
          </w:p>
        </w:tc>
        <w:tc>
          <w:tcPr>
            <w:tcW w:w="1340" w:type="dxa"/>
            <w:vAlign w:val="bottom"/>
            <w:tcBorders>
              <w:top w:val="single" w:sz="8" w:color="004987"/>
            </w:tcBorders>
            <w:vMerge w:val="restart"/>
          </w:tcPr>
          <w:p>
            <w:pPr>
              <w:ind w:left="180"/>
              <w:spacing w:after="0"/>
              <w:rPr>
                <w:sz w:val="20"/>
                <w:szCs w:val="20"/>
                <w:color w:val="auto"/>
              </w:rPr>
            </w:pPr>
            <w:r>
              <w:rPr>
                <w:rFonts w:ascii="Arial" w:cs="Arial" w:eastAsia="Arial" w:hAnsi="Arial"/>
                <w:sz w:val="16"/>
                <w:szCs w:val="16"/>
                <w:color w:val="auto"/>
              </w:rPr>
              <w:t xml:space="preserve">Performance </w:t>
            </w:r>
            <w:r>
              <w:rPr>
                <w:rFonts w:ascii="Arial" w:cs="Arial" w:eastAsia="Arial" w:hAnsi="Arial"/>
                <w:sz w:val="16"/>
                <w:szCs w:val="16"/>
                <w:color w:val="auto"/>
                <w:vertAlign w:val="superscript"/>
              </w:rPr>
              <w:t>4</w:t>
            </w:r>
          </w:p>
        </w:tc>
        <w:tc>
          <w:tcPr>
            <w:tcW w:w="880" w:type="dxa"/>
            <w:vAlign w:val="bottom"/>
            <w:tcBorders>
              <w:top w:val="single" w:sz="8" w:color="004987"/>
            </w:tcBorders>
          </w:tcPr>
          <w:p>
            <w:pPr>
              <w:spacing w:after="0"/>
              <w:rPr>
                <w:sz w:val="19"/>
                <w:szCs w:val="19"/>
                <w:color w:val="auto"/>
              </w:rPr>
            </w:pPr>
          </w:p>
        </w:tc>
        <w:tc>
          <w:tcPr>
            <w:tcW w:w="900" w:type="dxa"/>
            <w:vAlign w:val="bottom"/>
            <w:tcBorders>
              <w:top w:val="single" w:sz="8" w:color="004987"/>
            </w:tcBorders>
          </w:tcPr>
          <w:p>
            <w:pPr>
              <w:spacing w:after="0"/>
              <w:rPr>
                <w:sz w:val="19"/>
                <w:szCs w:val="19"/>
                <w:color w:val="auto"/>
              </w:rPr>
            </w:pPr>
          </w:p>
        </w:tc>
        <w:tc>
          <w:tcPr>
            <w:tcW w:w="880" w:type="dxa"/>
            <w:vAlign w:val="bottom"/>
            <w:tcBorders>
              <w:top w:val="single" w:sz="8" w:color="004987"/>
            </w:tcBorders>
          </w:tcPr>
          <w:p>
            <w:pPr>
              <w:spacing w:after="0"/>
              <w:rPr>
                <w:sz w:val="19"/>
                <w:szCs w:val="19"/>
                <w:color w:val="auto"/>
              </w:rPr>
            </w:pPr>
          </w:p>
        </w:tc>
        <w:tc>
          <w:tcPr>
            <w:tcW w:w="1180" w:type="dxa"/>
            <w:vAlign w:val="bottom"/>
            <w:tcBorders>
              <w:top w:val="single" w:sz="8" w:color="004987"/>
            </w:tcBorders>
          </w:tcPr>
          <w:p>
            <w:pPr>
              <w:spacing w:after="0"/>
              <w:rPr>
                <w:sz w:val="19"/>
                <w:szCs w:val="19"/>
                <w:color w:val="auto"/>
              </w:rPr>
            </w:pPr>
          </w:p>
        </w:tc>
        <w:tc>
          <w:tcPr>
            <w:tcW w:w="980" w:type="dxa"/>
            <w:vAlign w:val="bottom"/>
            <w:tcBorders>
              <w:top w:val="single" w:sz="8" w:color="004987"/>
            </w:tcBorders>
          </w:tcPr>
          <w:p>
            <w:pPr>
              <w:spacing w:after="0"/>
              <w:rPr>
                <w:sz w:val="19"/>
                <w:szCs w:val="19"/>
                <w:color w:val="auto"/>
              </w:rPr>
            </w:pPr>
          </w:p>
        </w:tc>
        <w:tc>
          <w:tcPr>
            <w:tcW w:w="1420" w:type="dxa"/>
            <w:vAlign w:val="bottom"/>
            <w:tcBorders>
              <w:top w:val="single" w:sz="8" w:color="004987"/>
            </w:tcBorders>
          </w:tcPr>
          <w:p>
            <w:pPr>
              <w:spacing w:after="0"/>
              <w:rPr>
                <w:sz w:val="19"/>
                <w:szCs w:val="19"/>
                <w:color w:val="auto"/>
              </w:rPr>
            </w:pPr>
          </w:p>
        </w:tc>
        <w:tc>
          <w:tcPr>
            <w:tcW w:w="1000" w:type="dxa"/>
            <w:vAlign w:val="bottom"/>
            <w:tcBorders>
              <w:top w:val="single" w:sz="8" w:color="004987"/>
            </w:tcBorders>
          </w:tcPr>
          <w:p>
            <w:pPr>
              <w:spacing w:after="0"/>
              <w:rPr>
                <w:sz w:val="19"/>
                <w:szCs w:val="19"/>
                <w:color w:val="auto"/>
              </w:rPr>
            </w:pPr>
          </w:p>
        </w:tc>
        <w:tc>
          <w:tcPr>
            <w:tcW w:w="440" w:type="dxa"/>
            <w:vAlign w:val="bottom"/>
            <w:tcBorders>
              <w:top w:val="single" w:sz="8" w:color="004987"/>
            </w:tcBorders>
            <w:vMerge w:val="restart"/>
          </w:tcPr>
          <w:p>
            <w:pPr>
              <w:jc w:val="right"/>
              <w:ind w:right="316"/>
              <w:spacing w:after="0"/>
              <w:rPr>
                <w:sz w:val="20"/>
                <w:szCs w:val="20"/>
                <w:color w:val="auto"/>
              </w:rPr>
            </w:pPr>
            <w:r>
              <w:rPr>
                <w:rFonts w:ascii="Arial" w:cs="Arial" w:eastAsia="Arial" w:hAnsi="Arial"/>
                <w:sz w:val="9"/>
                <w:szCs w:val="9"/>
                <w:color w:val="auto"/>
              </w:rPr>
              <w:t>4</w:t>
            </w:r>
          </w:p>
        </w:tc>
        <w:tc>
          <w:tcPr>
            <w:tcW w:w="1100" w:type="dxa"/>
            <w:vAlign w:val="bottom"/>
            <w:tcBorders>
              <w:top w:val="single" w:sz="8" w:color="004987"/>
            </w:tcBorders>
          </w:tcPr>
          <w:p>
            <w:pPr>
              <w:spacing w:after="0"/>
              <w:rPr>
                <w:sz w:val="19"/>
                <w:szCs w:val="19"/>
                <w:color w:val="auto"/>
              </w:rPr>
            </w:pPr>
          </w:p>
        </w:tc>
        <w:tc>
          <w:tcPr>
            <w:tcW w:w="140" w:type="dxa"/>
            <w:vAlign w:val="bottom"/>
            <w:tcBorders>
              <w:top w:val="single" w:sz="8" w:color="004987"/>
            </w:tcBorders>
            <w:vMerge w:val="restart"/>
          </w:tcPr>
          <w:p>
            <w:pPr>
              <w:jc w:val="right"/>
              <w:ind w:right="36"/>
              <w:spacing w:after="0"/>
              <w:rPr>
                <w:sz w:val="20"/>
                <w:szCs w:val="20"/>
                <w:color w:val="auto"/>
              </w:rPr>
            </w:pPr>
            <w:r>
              <w:rPr>
                <w:rFonts w:ascii="Arial" w:cs="Arial" w:eastAsia="Arial" w:hAnsi="Arial"/>
                <w:sz w:val="9"/>
                <w:szCs w:val="9"/>
                <w:color w:val="auto"/>
                <w:w w:val="78"/>
              </w:rPr>
              <w:t>5</w:t>
            </w:r>
          </w:p>
        </w:tc>
        <w:tc>
          <w:tcPr>
            <w:tcW w:w="0" w:type="dxa"/>
            <w:vAlign w:val="bottom"/>
          </w:tcPr>
          <w:p>
            <w:pPr>
              <w:spacing w:after="0"/>
              <w:rPr>
                <w:sz w:val="1"/>
                <w:szCs w:val="1"/>
                <w:color w:val="auto"/>
              </w:rPr>
            </w:pPr>
          </w:p>
        </w:tc>
      </w:tr>
      <w:tr>
        <w:trPr>
          <w:trHeight w:val="215"/>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2/28/2022</w:t>
            </w:r>
          </w:p>
        </w:tc>
        <w:tc>
          <w:tcPr>
            <w:tcW w:w="1340" w:type="dxa"/>
            <w:vAlign w:val="bottom"/>
            <w:vMerge w:val="continue"/>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41,416</w:t>
            </w:r>
          </w:p>
        </w:tc>
        <w:tc>
          <w:tcPr>
            <w:tcW w:w="44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5,574,179</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3/2/2015</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27,227</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77.42</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3/2/2025</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2/29/2016</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55,831</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61.71</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2/28/2026</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2/27/2017</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35,831</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97.53</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2/27/2027</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3/1/2018</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24,134</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143.38</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3/1/2028</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3/4/2019</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32,710</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10,904</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100.52</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3/4/2029</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3/2/2020</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23,287</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23,287</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96.82</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3/2/2030</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59"/>
              <w:spacing w:after="0"/>
              <w:rPr>
                <w:sz w:val="20"/>
                <w:szCs w:val="20"/>
                <w:color w:val="auto"/>
              </w:rPr>
            </w:pPr>
            <w:r>
              <w:rPr>
                <w:rFonts w:ascii="Arial" w:cs="Arial" w:eastAsia="Arial" w:hAnsi="Arial"/>
                <w:sz w:val="16"/>
                <w:szCs w:val="16"/>
                <w:color w:val="auto"/>
                <w:w w:val="99"/>
              </w:rPr>
              <w:t>3/1/2021</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9,729</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29,190</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173.88</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3/1/2031</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39"/>
              <w:spacing w:after="0"/>
              <w:rPr>
                <w:sz w:val="20"/>
                <w:szCs w:val="20"/>
                <w:color w:val="auto"/>
              </w:rPr>
            </w:pPr>
            <w:r>
              <w:rPr>
                <w:rFonts w:ascii="Arial" w:cs="Arial" w:eastAsia="Arial" w:hAnsi="Arial"/>
                <w:sz w:val="16"/>
                <w:szCs w:val="16"/>
                <w:color w:val="auto"/>
              </w:rPr>
              <w:t>2/28/2022</w:t>
            </w:r>
          </w:p>
        </w:tc>
        <w:tc>
          <w:tcPr>
            <w:tcW w:w="1340" w:type="dxa"/>
            <w:vAlign w:val="bottom"/>
          </w:tcPr>
          <w:p>
            <w:pPr>
              <w:ind w:left="180"/>
              <w:spacing w:after="0"/>
              <w:rPr>
                <w:sz w:val="20"/>
                <w:szCs w:val="20"/>
                <w:color w:val="auto"/>
              </w:rPr>
            </w:pPr>
            <w:r>
              <w:rPr>
                <w:rFonts w:ascii="Arial" w:cs="Arial" w:eastAsia="Arial" w:hAnsi="Arial"/>
                <w:sz w:val="16"/>
                <w:szCs w:val="16"/>
                <w:color w:val="auto"/>
              </w:rPr>
              <w:t>VAC SARs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31,669</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159.27</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2/28/2032</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3/4/2019</w:t>
            </w:r>
          </w:p>
        </w:tc>
        <w:tc>
          <w:tcPr>
            <w:tcW w:w="1340" w:type="dxa"/>
            <w:vAlign w:val="bottom"/>
          </w:tcPr>
          <w:p>
            <w:pPr>
              <w:ind w:left="180"/>
              <w:spacing w:after="0"/>
              <w:rPr>
                <w:sz w:val="20"/>
                <w:szCs w:val="20"/>
                <w:color w:val="auto"/>
              </w:rPr>
            </w:pPr>
            <w:r>
              <w:rPr>
                <w:rFonts w:ascii="Arial" w:cs="Arial" w:eastAsia="Arial" w:hAnsi="Arial"/>
                <w:sz w:val="16"/>
                <w:szCs w:val="16"/>
                <w:color w:val="auto"/>
              </w:rPr>
              <w:t>VAC RSUs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2,729</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367,296</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59"/>
              <w:spacing w:after="0"/>
              <w:rPr>
                <w:sz w:val="20"/>
                <w:szCs w:val="20"/>
                <w:color w:val="auto"/>
              </w:rPr>
            </w:pPr>
            <w:r>
              <w:rPr>
                <w:rFonts w:ascii="Arial" w:cs="Arial" w:eastAsia="Arial" w:hAnsi="Arial"/>
                <w:sz w:val="16"/>
                <w:szCs w:val="16"/>
                <w:color w:val="auto"/>
                <w:w w:val="99"/>
              </w:rPr>
              <w:t>3/2/2020</w:t>
            </w:r>
          </w:p>
        </w:tc>
        <w:tc>
          <w:tcPr>
            <w:tcW w:w="1340" w:type="dxa"/>
            <w:vAlign w:val="bottom"/>
          </w:tcPr>
          <w:p>
            <w:pPr>
              <w:ind w:left="180"/>
              <w:spacing w:after="0"/>
              <w:rPr>
                <w:sz w:val="20"/>
                <w:szCs w:val="20"/>
                <w:color w:val="auto"/>
              </w:rPr>
            </w:pPr>
            <w:r>
              <w:rPr>
                <w:rFonts w:ascii="Arial" w:cs="Arial" w:eastAsia="Arial" w:hAnsi="Arial"/>
                <w:sz w:val="16"/>
                <w:szCs w:val="16"/>
                <w:color w:val="auto"/>
              </w:rPr>
              <w:t>VAC RSUs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5,010</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674,296</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59"/>
              <w:spacing w:after="0"/>
              <w:rPr>
                <w:sz w:val="20"/>
                <w:szCs w:val="20"/>
                <w:color w:val="auto"/>
              </w:rPr>
            </w:pPr>
            <w:r>
              <w:rPr>
                <w:rFonts w:ascii="Arial" w:cs="Arial" w:eastAsia="Arial" w:hAnsi="Arial"/>
                <w:sz w:val="16"/>
                <w:szCs w:val="16"/>
                <w:color w:val="auto"/>
                <w:w w:val="99"/>
              </w:rPr>
              <w:t>3/1/2021</w:t>
            </w:r>
          </w:p>
        </w:tc>
        <w:tc>
          <w:tcPr>
            <w:tcW w:w="1340" w:type="dxa"/>
            <w:vAlign w:val="bottom"/>
          </w:tcPr>
          <w:p>
            <w:pPr>
              <w:ind w:left="180"/>
              <w:spacing w:after="0"/>
              <w:rPr>
                <w:sz w:val="20"/>
                <w:szCs w:val="20"/>
                <w:color w:val="auto"/>
              </w:rPr>
            </w:pPr>
            <w:r>
              <w:rPr>
                <w:rFonts w:ascii="Arial" w:cs="Arial" w:eastAsia="Arial" w:hAnsi="Arial"/>
                <w:sz w:val="16"/>
                <w:szCs w:val="16"/>
                <w:color w:val="auto"/>
              </w:rPr>
              <w:t>VAC RSUs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12,192</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1,640,921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59"/>
              <w:spacing w:after="0"/>
              <w:rPr>
                <w:sz w:val="20"/>
                <w:szCs w:val="20"/>
                <w:color w:val="auto"/>
              </w:rPr>
            </w:pPr>
            <w:r>
              <w:rPr>
                <w:rFonts w:ascii="Arial" w:cs="Arial" w:eastAsia="Arial" w:hAnsi="Arial"/>
                <w:sz w:val="16"/>
                <w:szCs w:val="16"/>
                <w:color w:val="auto"/>
              </w:rPr>
              <w:t>12/15/2021</w:t>
            </w:r>
          </w:p>
        </w:tc>
        <w:tc>
          <w:tcPr>
            <w:tcW w:w="1340" w:type="dxa"/>
            <w:vAlign w:val="bottom"/>
          </w:tcPr>
          <w:p>
            <w:pPr>
              <w:ind w:left="180"/>
              <w:spacing w:after="0"/>
              <w:rPr>
                <w:sz w:val="20"/>
                <w:szCs w:val="20"/>
                <w:color w:val="auto"/>
              </w:rPr>
            </w:pPr>
            <w:r>
              <w:rPr>
                <w:rFonts w:ascii="Arial" w:cs="Arial" w:eastAsia="Arial" w:hAnsi="Arial"/>
                <w:sz w:val="16"/>
                <w:szCs w:val="16"/>
                <w:color w:val="auto"/>
              </w:rPr>
              <w:t>VAC RSUs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18,865</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2,539,040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gridSpan w:val="2"/>
          </w:tcPr>
          <w:p>
            <w:pPr>
              <w:jc w:val="center"/>
              <w:ind w:right="139"/>
              <w:spacing w:after="0"/>
              <w:rPr>
                <w:sz w:val="20"/>
                <w:szCs w:val="20"/>
                <w:color w:val="auto"/>
              </w:rPr>
            </w:pPr>
            <w:r>
              <w:rPr>
                <w:rFonts w:ascii="Arial" w:cs="Arial" w:eastAsia="Arial" w:hAnsi="Arial"/>
                <w:sz w:val="16"/>
                <w:szCs w:val="16"/>
                <w:color w:val="auto"/>
              </w:rPr>
              <w:t>2/28/2022</w:t>
            </w:r>
          </w:p>
        </w:tc>
        <w:tc>
          <w:tcPr>
            <w:tcW w:w="1340" w:type="dxa"/>
            <w:vAlign w:val="bottom"/>
          </w:tcPr>
          <w:p>
            <w:pPr>
              <w:ind w:left="180"/>
              <w:spacing w:after="0"/>
              <w:rPr>
                <w:sz w:val="20"/>
                <w:szCs w:val="20"/>
                <w:color w:val="auto"/>
              </w:rPr>
            </w:pPr>
            <w:r>
              <w:rPr>
                <w:rFonts w:ascii="Arial" w:cs="Arial" w:eastAsia="Arial" w:hAnsi="Arial"/>
                <w:sz w:val="16"/>
                <w:szCs w:val="16"/>
                <w:color w:val="auto"/>
              </w:rPr>
              <w:t>VAC RSUs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8,219</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1,106,195</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44</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240" w:top="1138"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97"/>
        </w:trPr>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Borders>
              <w:bottom w:val="single" w:sz="8" w:color="004987"/>
            </w:tcBorders>
          </w:tcPr>
          <w:p>
            <w:pPr>
              <w:spacing w:after="0"/>
              <w:rPr>
                <w:sz w:val="17"/>
                <w:szCs w:val="17"/>
                <w:color w:val="auto"/>
              </w:rPr>
            </w:pPr>
          </w:p>
        </w:tc>
        <w:tc>
          <w:tcPr>
            <w:tcW w:w="1700" w:type="dxa"/>
            <w:vAlign w:val="bottom"/>
            <w:tcBorders>
              <w:bottom w:val="single" w:sz="8" w:color="004987"/>
            </w:tcBorders>
            <w:gridSpan w:val="2"/>
          </w:tcPr>
          <w:p>
            <w:pPr>
              <w:jc w:val="right"/>
              <w:ind w:right="240"/>
              <w:spacing w:after="0"/>
              <w:rPr>
                <w:sz w:val="20"/>
                <w:szCs w:val="20"/>
                <w:color w:val="auto"/>
              </w:rPr>
            </w:pPr>
            <w:r>
              <w:rPr>
                <w:rFonts w:ascii="Arial" w:cs="Arial" w:eastAsia="Arial" w:hAnsi="Arial"/>
                <w:sz w:val="14"/>
                <w:szCs w:val="14"/>
                <w:b w:val="1"/>
                <w:bCs w:val="1"/>
                <w:color w:val="004E7D"/>
              </w:rPr>
              <w:t>Option Awards</w:t>
            </w:r>
          </w:p>
        </w:tc>
        <w:tc>
          <w:tcPr>
            <w:tcW w:w="1000" w:type="dxa"/>
            <w:vAlign w:val="bottom"/>
            <w:tcBorders>
              <w:bottom w:val="single" w:sz="8" w:color="004987"/>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004987"/>
            </w:tcBorders>
          </w:tcPr>
          <w:p>
            <w:pPr>
              <w:spacing w:after="0"/>
              <w:rPr>
                <w:sz w:val="17"/>
                <w:szCs w:val="17"/>
                <w:color w:val="auto"/>
              </w:rPr>
            </w:pPr>
          </w:p>
        </w:tc>
        <w:tc>
          <w:tcPr>
            <w:tcW w:w="980" w:type="dxa"/>
            <w:vAlign w:val="bottom"/>
            <w:tcBorders>
              <w:bottom w:val="single" w:sz="8" w:color="004987"/>
            </w:tcBorders>
          </w:tcPr>
          <w:p>
            <w:pPr>
              <w:spacing w:after="0"/>
              <w:rPr>
                <w:sz w:val="17"/>
                <w:szCs w:val="17"/>
                <w:color w:val="auto"/>
              </w:rPr>
            </w:pPr>
          </w:p>
        </w:tc>
        <w:tc>
          <w:tcPr>
            <w:tcW w:w="1480" w:type="dxa"/>
            <w:vAlign w:val="bottom"/>
            <w:tcBorders>
              <w:bottom w:val="single" w:sz="8" w:color="004987"/>
            </w:tcBorders>
          </w:tcPr>
          <w:p>
            <w:pPr>
              <w:jc w:val="right"/>
              <w:ind w:right="441"/>
              <w:spacing w:after="0"/>
              <w:rPr>
                <w:sz w:val="20"/>
                <w:szCs w:val="20"/>
                <w:color w:val="auto"/>
              </w:rPr>
            </w:pPr>
            <w:r>
              <w:rPr>
                <w:rFonts w:ascii="Arial" w:cs="Arial" w:eastAsia="Arial" w:hAnsi="Arial"/>
                <w:sz w:val="14"/>
                <w:szCs w:val="14"/>
                <w:b w:val="1"/>
                <w:bCs w:val="1"/>
                <w:color w:val="004E7D"/>
              </w:rPr>
              <w:t>Stock Awards</w:t>
            </w:r>
          </w:p>
        </w:tc>
        <w:tc>
          <w:tcPr>
            <w:tcW w:w="180" w:type="dxa"/>
            <w:vAlign w:val="bottom"/>
            <w:tcBorders>
              <w:bottom w:val="single" w:sz="8" w:color="004987"/>
            </w:tcBorders>
          </w:tcPr>
          <w:p>
            <w:pPr>
              <w:spacing w:after="0"/>
              <w:rPr>
                <w:sz w:val="17"/>
                <w:szCs w:val="17"/>
                <w:color w:val="auto"/>
              </w:rPr>
            </w:pPr>
          </w:p>
        </w:tc>
        <w:tc>
          <w:tcPr>
            <w:tcW w:w="1360" w:type="dxa"/>
            <w:vAlign w:val="bottom"/>
            <w:tcBorders>
              <w:bottom w:val="single" w:sz="8" w:color="004987"/>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004E7D"/>
              </w:rPr>
              <w:t>Equity Incentive</w:t>
            </w:r>
          </w:p>
        </w:tc>
        <w:tc>
          <w:tcPr>
            <w:tcW w:w="180" w:type="dxa"/>
            <w:vAlign w:val="bottom"/>
          </w:tcPr>
          <w:p>
            <w:pPr>
              <w:spacing w:after="0"/>
              <w:rPr>
                <w:sz w:val="12"/>
                <w:szCs w:val="12"/>
                <w:color w:val="auto"/>
              </w:rPr>
            </w:pPr>
          </w:p>
        </w:tc>
        <w:tc>
          <w:tcPr>
            <w:tcW w:w="1360" w:type="dxa"/>
            <w:vAlign w:val="bottom"/>
          </w:tcPr>
          <w:p>
            <w:pPr>
              <w:jc w:val="center"/>
              <w:spacing w:after="0" w:line="143" w:lineRule="exact"/>
              <w:rPr>
                <w:sz w:val="20"/>
                <w:szCs w:val="20"/>
                <w:color w:val="auto"/>
              </w:rPr>
            </w:pPr>
            <w:r>
              <w:rPr>
                <w:rFonts w:ascii="Arial" w:cs="Arial" w:eastAsia="Arial" w:hAnsi="Arial"/>
                <w:sz w:val="14"/>
                <w:szCs w:val="14"/>
                <w:b w:val="1"/>
                <w:bCs w:val="1"/>
                <w:color w:val="004E7D"/>
              </w:rPr>
              <w:t>Equity Incentive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4E7D"/>
              </w:rPr>
              <w:t>Number of</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004E7D"/>
              </w:rPr>
              <w:t>Number of</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Market</w:t>
            </w:r>
          </w:p>
        </w:tc>
        <w:tc>
          <w:tcPr>
            <w:tcW w:w="1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Plan 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480" w:type="dxa"/>
            <w:vAlign w:val="bottom"/>
          </w:tcPr>
          <w:p>
            <w:pPr>
              <w:jc w:val="center"/>
              <w:ind w:left="41"/>
              <w:spacing w:after="0" w:line="135" w:lineRule="exact"/>
              <w:rPr>
                <w:sz w:val="20"/>
                <w:szCs w:val="20"/>
                <w:color w:val="auto"/>
              </w:rPr>
            </w:pPr>
            <w:r>
              <w:rPr>
                <w:rFonts w:ascii="Arial" w:cs="Arial" w:eastAsia="Arial" w:hAnsi="Arial"/>
                <w:sz w:val="14"/>
                <w:szCs w:val="14"/>
                <w:b w:val="1"/>
                <w:bCs w:val="1"/>
                <w:color w:val="004E7D"/>
              </w:rPr>
              <w:t>Plan Awards:</w:t>
            </w:r>
          </w:p>
        </w:tc>
        <w:tc>
          <w:tcPr>
            <w:tcW w:w="1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Market or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004E7D"/>
              </w:rPr>
              <w:t>Securities</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004E7D"/>
              </w:rPr>
              <w:t>Shares or</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w w:val="99"/>
              </w:rPr>
              <w:t>Value of</w:t>
            </w:r>
          </w:p>
        </w:tc>
        <w:tc>
          <w:tcPr>
            <w:tcW w:w="148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004E7D"/>
              </w:rPr>
              <w:t>Number of</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Payout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004E7D"/>
              </w:rPr>
              <w:t>Underlying</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Option/</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004E7D"/>
              </w:rPr>
              <w:t>Units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Shares or</w:t>
            </w:r>
          </w:p>
        </w:tc>
        <w:tc>
          <w:tcPr>
            <w:tcW w:w="14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004E7D"/>
              </w:rPr>
              <w:t>Unearned</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of Unearned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0" w:type="dxa"/>
            <w:vAlign w:val="bottom"/>
            <w:gridSpan w:val="2"/>
          </w:tcPr>
          <w:p>
            <w:pPr>
              <w:jc w:val="center"/>
              <w:ind w:right="19"/>
              <w:spacing w:after="0" w:line="135" w:lineRule="exact"/>
              <w:rPr>
                <w:sz w:val="20"/>
                <w:szCs w:val="20"/>
                <w:color w:val="auto"/>
              </w:rPr>
            </w:pPr>
            <w:r>
              <w:rPr>
                <w:rFonts w:ascii="Arial" w:cs="Arial" w:eastAsia="Arial" w:hAnsi="Arial"/>
                <w:sz w:val="14"/>
                <w:szCs w:val="14"/>
                <w:b w:val="1"/>
                <w:bCs w:val="1"/>
                <w:color w:val="004E7D"/>
              </w:rPr>
              <w:t>Unexercised</w:t>
            </w:r>
          </w:p>
        </w:tc>
        <w:tc>
          <w:tcPr>
            <w:tcW w:w="880" w:type="dxa"/>
            <w:vAlign w:val="bottom"/>
            <w:vMerge w:val="continue"/>
          </w:tcPr>
          <w:p>
            <w:pPr>
              <w:spacing w:after="0"/>
              <w:rPr>
                <w:sz w:val="11"/>
                <w:szCs w:val="11"/>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004E7D"/>
              </w:rPr>
              <w:t>Option/ SAR</w:t>
            </w:r>
          </w:p>
        </w:tc>
        <w:tc>
          <w:tcPr>
            <w:tcW w:w="108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004E7D"/>
                <w:w w:val="99"/>
              </w:rPr>
              <w:t>Stock</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Units of</w:t>
            </w:r>
          </w:p>
        </w:tc>
        <w:tc>
          <w:tcPr>
            <w:tcW w:w="1480" w:type="dxa"/>
            <w:vAlign w:val="bottom"/>
          </w:tcPr>
          <w:p>
            <w:pPr>
              <w:jc w:val="center"/>
              <w:ind w:left="41"/>
              <w:spacing w:after="0" w:line="135" w:lineRule="exact"/>
              <w:rPr>
                <w:sz w:val="20"/>
                <w:szCs w:val="20"/>
                <w:color w:val="auto"/>
              </w:rPr>
            </w:pPr>
            <w:r>
              <w:rPr>
                <w:rFonts w:ascii="Arial" w:cs="Arial" w:eastAsia="Arial" w:hAnsi="Arial"/>
                <w:sz w:val="14"/>
                <w:szCs w:val="14"/>
                <w:b w:val="1"/>
                <w:bCs w:val="1"/>
                <w:color w:val="004E7D"/>
              </w:rPr>
              <w:t>Shares, Units</w:t>
            </w:r>
          </w:p>
        </w:tc>
        <w:tc>
          <w:tcPr>
            <w:tcW w:w="1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Shares, Units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vMerge w:val="restart"/>
          </w:tcPr>
          <w:p>
            <w:pPr>
              <w:ind w:left="360"/>
              <w:spacing w:after="0"/>
              <w:rPr>
                <w:sz w:val="20"/>
                <w:szCs w:val="20"/>
                <w:color w:val="auto"/>
              </w:rPr>
            </w:pPr>
            <w:r>
              <w:rPr>
                <w:rFonts w:ascii="Arial" w:cs="Arial" w:eastAsia="Arial" w:hAnsi="Arial"/>
                <w:sz w:val="14"/>
                <w:szCs w:val="14"/>
                <w:b w:val="1"/>
                <w:bCs w:val="1"/>
                <w:color w:val="004E7D"/>
              </w:rPr>
              <w:t>Award</w:t>
            </w:r>
          </w:p>
        </w:tc>
        <w:tc>
          <w:tcPr>
            <w:tcW w:w="180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004E7D"/>
              </w:rPr>
              <w:t>Options/SARs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SAR</w:t>
            </w:r>
          </w:p>
        </w:tc>
        <w:tc>
          <w:tcPr>
            <w:tcW w:w="1100" w:type="dxa"/>
            <w:vAlign w:val="bottom"/>
            <w:gridSpan w:val="2"/>
            <w:vMerge w:val="continue"/>
          </w:tcPr>
          <w:p>
            <w:pPr>
              <w:spacing w:after="0"/>
              <w:rPr>
                <w:sz w:val="12"/>
                <w:szCs w:val="12"/>
                <w:color w:val="auto"/>
              </w:rPr>
            </w:pPr>
          </w:p>
        </w:tc>
        <w:tc>
          <w:tcPr>
            <w:tcW w:w="10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004E7D"/>
              </w:rPr>
              <w:t>That Have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Stock That</w:t>
            </w:r>
          </w:p>
        </w:tc>
        <w:tc>
          <w:tcPr>
            <w:tcW w:w="148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004E7D"/>
              </w:rPr>
              <w:t>or Other Rights</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or Other Rights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Grant Date</w:t>
            </w:r>
          </w:p>
        </w:tc>
        <w:tc>
          <w:tcPr>
            <w:tcW w:w="1260" w:type="dxa"/>
            <w:vAlign w:val="bottom"/>
            <w:vMerge w:val="continue"/>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Exercisable/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Exercise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004E7D"/>
              </w:rPr>
              <w:t>Expiration</w:t>
            </w:r>
          </w:p>
        </w:tc>
        <w:tc>
          <w:tcPr>
            <w:tcW w:w="10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004E7D"/>
              </w:rPr>
              <w:t>Not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Have Not</w:t>
            </w:r>
          </w:p>
        </w:tc>
        <w:tc>
          <w:tcPr>
            <w:tcW w:w="148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004E7D"/>
              </w:rPr>
              <w:t>That Have Not</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That Have Not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980" w:type="dxa"/>
            <w:vAlign w:val="bottom"/>
            <w:tcBorders>
              <w:bottom w:val="single" w:sz="8" w:color="004E7D"/>
            </w:tcBorders>
            <w:vMerge w:val="continue"/>
          </w:tcPr>
          <w:p>
            <w:pPr>
              <w:spacing w:after="0"/>
              <w:rPr>
                <w:sz w:val="16"/>
                <w:szCs w:val="16"/>
                <w:color w:val="auto"/>
              </w:rPr>
            </w:pPr>
          </w:p>
        </w:tc>
        <w:tc>
          <w:tcPr>
            <w:tcW w:w="1260" w:type="dxa"/>
            <w:vAlign w:val="bottom"/>
            <w:tcBorders>
              <w:bottom w:val="single" w:sz="8" w:color="004E7D"/>
            </w:tcBorders>
          </w:tcPr>
          <w:p>
            <w:pPr>
              <w:ind w:left="380"/>
              <w:spacing w:after="0"/>
              <w:rPr>
                <w:sz w:val="20"/>
                <w:szCs w:val="20"/>
                <w:color w:val="auto"/>
              </w:rPr>
            </w:pPr>
            <w:r>
              <w:rPr>
                <w:rFonts w:ascii="Arial" w:cs="Arial" w:eastAsia="Arial" w:hAnsi="Arial"/>
                <w:sz w:val="14"/>
                <w:szCs w:val="14"/>
                <w:b w:val="1"/>
                <w:bCs w:val="1"/>
                <w:color w:val="004E7D"/>
              </w:rPr>
              <w:t>Type</w:t>
            </w:r>
            <w:r>
              <w:rPr>
                <w:rFonts w:ascii="Arial" w:cs="Arial" w:eastAsia="Arial" w:hAnsi="Arial"/>
                <w:sz w:val="8"/>
                <w:szCs w:val="8"/>
                <w:b w:val="1"/>
                <w:bCs w:val="1"/>
                <w:color w:val="004E7D"/>
              </w:rPr>
              <w:t>1</w:t>
            </w:r>
          </w:p>
        </w:tc>
        <w:tc>
          <w:tcPr>
            <w:tcW w:w="1800" w:type="dxa"/>
            <w:vAlign w:val="bottom"/>
            <w:tcBorders>
              <w:bottom w:val="single" w:sz="8" w:color="004E7D"/>
            </w:tcBorders>
            <w:gridSpan w:val="2"/>
          </w:tcPr>
          <w:p>
            <w:pPr>
              <w:jc w:val="center"/>
              <w:ind w:right="19"/>
              <w:spacing w:after="0"/>
              <w:rPr>
                <w:sz w:val="20"/>
                <w:szCs w:val="20"/>
                <w:color w:val="auto"/>
              </w:rPr>
            </w:pPr>
            <w:r>
              <w:rPr>
                <w:rFonts w:ascii="Arial" w:cs="Arial" w:eastAsia="Arial" w:hAnsi="Arial"/>
                <w:sz w:val="14"/>
                <w:szCs w:val="14"/>
                <w:b w:val="1"/>
                <w:bCs w:val="1"/>
                <w:color w:val="004E7D"/>
              </w:rPr>
              <w:t>Unexercisable</w:t>
            </w:r>
            <w:r>
              <w:rPr>
                <w:rFonts w:ascii="Arial" w:cs="Arial" w:eastAsia="Arial" w:hAnsi="Arial"/>
                <w:sz w:val="16"/>
                <w:szCs w:val="16"/>
                <w:b w:val="1"/>
                <w:bCs w:val="1"/>
                <w:color w:val="004E7D"/>
                <w:vertAlign w:val="superscript"/>
              </w:rPr>
              <w:t>2</w:t>
            </w:r>
          </w:p>
        </w:tc>
        <w:tc>
          <w:tcPr>
            <w:tcW w:w="880" w:type="dxa"/>
            <w:vAlign w:val="bottom"/>
            <w:tcBorders>
              <w:bottom w:val="single" w:sz="8" w:color="004E7D"/>
            </w:tcBorders>
          </w:tcPr>
          <w:p>
            <w:pPr>
              <w:jc w:val="center"/>
              <w:spacing w:after="0"/>
              <w:rPr>
                <w:sz w:val="20"/>
                <w:szCs w:val="20"/>
                <w:color w:val="auto"/>
              </w:rPr>
            </w:pPr>
            <w:r>
              <w:rPr>
                <w:rFonts w:ascii="Arial" w:cs="Arial" w:eastAsia="Arial" w:hAnsi="Arial"/>
                <w:sz w:val="14"/>
                <w:szCs w:val="14"/>
                <w:b w:val="1"/>
                <w:bCs w:val="1"/>
                <w:color w:val="004E7D"/>
              </w:rPr>
              <w:t>Price</w:t>
            </w:r>
          </w:p>
        </w:tc>
        <w:tc>
          <w:tcPr>
            <w:tcW w:w="1100" w:type="dxa"/>
            <w:vAlign w:val="bottom"/>
            <w:tcBorders>
              <w:bottom w:val="single" w:sz="8" w:color="004E7D"/>
            </w:tcBorders>
            <w:gridSpan w:val="2"/>
          </w:tcPr>
          <w:p>
            <w:pPr>
              <w:jc w:val="center"/>
              <w:ind w:right="60"/>
              <w:spacing w:after="0"/>
              <w:rPr>
                <w:sz w:val="20"/>
                <w:szCs w:val="20"/>
                <w:color w:val="auto"/>
              </w:rPr>
            </w:pPr>
            <w:r>
              <w:rPr>
                <w:rFonts w:ascii="Arial" w:cs="Arial" w:eastAsia="Arial" w:hAnsi="Arial"/>
                <w:sz w:val="14"/>
                <w:szCs w:val="14"/>
                <w:b w:val="1"/>
                <w:bCs w:val="1"/>
                <w:color w:val="004E7D"/>
              </w:rPr>
              <w:t>Date</w:t>
            </w:r>
          </w:p>
        </w:tc>
        <w:tc>
          <w:tcPr>
            <w:tcW w:w="1080" w:type="dxa"/>
            <w:vAlign w:val="bottom"/>
            <w:tcBorders>
              <w:bottom w:val="single" w:sz="8" w:color="004E7D"/>
            </w:tcBorders>
          </w:tcPr>
          <w:p>
            <w:pPr>
              <w:jc w:val="center"/>
              <w:ind w:right="20"/>
              <w:spacing w:after="0"/>
              <w:rPr>
                <w:sz w:val="20"/>
                <w:szCs w:val="20"/>
                <w:color w:val="auto"/>
              </w:rPr>
            </w:pPr>
            <w:r>
              <w:rPr>
                <w:rFonts w:ascii="Arial" w:cs="Arial" w:eastAsia="Arial" w:hAnsi="Arial"/>
                <w:sz w:val="14"/>
                <w:szCs w:val="14"/>
                <w:b w:val="1"/>
                <w:bCs w:val="1"/>
                <w:color w:val="004E7D"/>
                <w:w w:val="96"/>
              </w:rPr>
              <w:t>Vested</w:t>
            </w:r>
            <w:r>
              <w:rPr>
                <w:rFonts w:ascii="Arial" w:cs="Arial" w:eastAsia="Arial" w:hAnsi="Arial"/>
                <w:sz w:val="16"/>
                <w:szCs w:val="16"/>
                <w:b w:val="1"/>
                <w:bCs w:val="1"/>
                <w:color w:val="004E7D"/>
                <w:w w:val="96"/>
                <w:vertAlign w:val="superscript"/>
              </w:rPr>
              <w:t>3</w:t>
            </w:r>
          </w:p>
        </w:tc>
        <w:tc>
          <w:tcPr>
            <w:tcW w:w="980" w:type="dxa"/>
            <w:vAlign w:val="bottom"/>
            <w:tcBorders>
              <w:bottom w:val="single" w:sz="8" w:color="004E7D"/>
            </w:tcBorders>
          </w:tcPr>
          <w:p>
            <w:pPr>
              <w:jc w:val="center"/>
              <w:spacing w:after="0"/>
              <w:rPr>
                <w:sz w:val="20"/>
                <w:szCs w:val="20"/>
                <w:color w:val="auto"/>
              </w:rPr>
            </w:pPr>
            <w:r>
              <w:rPr>
                <w:rFonts w:ascii="Arial" w:cs="Arial" w:eastAsia="Arial" w:hAnsi="Arial"/>
                <w:sz w:val="14"/>
                <w:szCs w:val="14"/>
                <w:b w:val="1"/>
                <w:bCs w:val="1"/>
                <w:color w:val="004E7D"/>
              </w:rPr>
              <w:t>Vested</w:t>
            </w:r>
          </w:p>
        </w:tc>
        <w:tc>
          <w:tcPr>
            <w:tcW w:w="1480" w:type="dxa"/>
            <w:vAlign w:val="bottom"/>
            <w:tcBorders>
              <w:bottom w:val="single" w:sz="8" w:color="004E7D"/>
            </w:tcBorders>
          </w:tcPr>
          <w:p>
            <w:pPr>
              <w:jc w:val="center"/>
              <w:ind w:left="41"/>
              <w:spacing w:after="0"/>
              <w:rPr>
                <w:sz w:val="20"/>
                <w:szCs w:val="20"/>
                <w:color w:val="auto"/>
              </w:rPr>
            </w:pPr>
            <w:r>
              <w:rPr>
                <w:rFonts w:ascii="Arial" w:cs="Arial" w:eastAsia="Arial" w:hAnsi="Arial"/>
                <w:sz w:val="14"/>
                <w:szCs w:val="14"/>
                <w:b w:val="1"/>
                <w:bCs w:val="1"/>
                <w:color w:val="004E7D"/>
              </w:rPr>
              <w:t>Vested (#)</w:t>
            </w:r>
          </w:p>
        </w:tc>
        <w:tc>
          <w:tcPr>
            <w:tcW w:w="180" w:type="dxa"/>
            <w:vAlign w:val="bottom"/>
            <w:tcBorders>
              <w:bottom w:val="single" w:sz="8" w:color="004E7D"/>
            </w:tcBorders>
          </w:tcPr>
          <w:p>
            <w:pPr>
              <w:spacing w:after="0"/>
              <w:rPr>
                <w:sz w:val="16"/>
                <w:szCs w:val="16"/>
                <w:color w:val="auto"/>
              </w:rPr>
            </w:pPr>
          </w:p>
        </w:tc>
        <w:tc>
          <w:tcPr>
            <w:tcW w:w="1360" w:type="dxa"/>
            <w:vAlign w:val="bottom"/>
            <w:tcBorders>
              <w:bottom w:val="single" w:sz="8" w:color="004E7D"/>
            </w:tcBorders>
          </w:tcPr>
          <w:p>
            <w:pPr>
              <w:jc w:val="center"/>
              <w:spacing w:after="0"/>
              <w:rPr>
                <w:sz w:val="20"/>
                <w:szCs w:val="20"/>
                <w:color w:val="auto"/>
              </w:rPr>
            </w:pPr>
            <w:r>
              <w:rPr>
                <w:rFonts w:ascii="Arial" w:cs="Arial" w:eastAsia="Arial" w:hAnsi="Arial"/>
                <w:sz w:val="14"/>
                <w:szCs w:val="14"/>
                <w:b w:val="1"/>
                <w:bCs w:val="1"/>
                <w:color w:val="004E7D"/>
              </w:rPr>
              <w:t>Vested ($)</w:t>
            </w:r>
          </w:p>
        </w:tc>
        <w:tc>
          <w:tcPr>
            <w:tcW w:w="140" w:type="dxa"/>
            <w:vAlign w:val="bottom"/>
            <w:tcBorders>
              <w:bottom w:val="single" w:sz="8" w:color="004E7D"/>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004E7D"/>
              </w:rPr>
              <w:t>J. Geller</w:t>
            </w:r>
          </w:p>
        </w:tc>
        <w:tc>
          <w:tcPr>
            <w:tcW w:w="1260" w:type="dxa"/>
            <w:vAlign w:val="bottom"/>
            <w:vMerge w:val="restart"/>
          </w:tcPr>
          <w:p>
            <w:pPr>
              <w:jc w:val="center"/>
              <w:ind w:left="19"/>
              <w:spacing w:after="0"/>
              <w:rPr>
                <w:sz w:val="20"/>
                <w:szCs w:val="20"/>
                <w:color w:val="auto"/>
              </w:rPr>
            </w:pPr>
            <w:r>
              <w:rPr>
                <w:rFonts w:ascii="Arial" w:cs="Arial" w:eastAsia="Arial" w:hAnsi="Arial"/>
                <w:sz w:val="16"/>
                <w:szCs w:val="16"/>
                <w:color w:val="auto"/>
                <w:w w:val="98"/>
              </w:rPr>
              <w:t xml:space="preserve">Performance </w:t>
            </w:r>
            <w:r>
              <w:rPr>
                <w:rFonts w:ascii="Arial" w:cs="Arial" w:eastAsia="Arial" w:hAnsi="Arial"/>
                <w:sz w:val="16"/>
                <w:szCs w:val="16"/>
                <w:color w:val="auto"/>
                <w:w w:val="98"/>
                <w:vertAlign w:val="superscript"/>
              </w:rPr>
              <w:t>4</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vMerge w:val="restart"/>
          </w:tcPr>
          <w:p>
            <w:pPr>
              <w:jc w:val="right"/>
              <w:ind w:right="56"/>
              <w:spacing w:after="0"/>
              <w:rPr>
                <w:sz w:val="20"/>
                <w:szCs w:val="20"/>
                <w:color w:val="auto"/>
              </w:rPr>
            </w:pPr>
            <w:r>
              <w:rPr>
                <w:rFonts w:ascii="Arial" w:cs="Arial" w:eastAsia="Arial" w:hAnsi="Arial"/>
                <w:sz w:val="9"/>
                <w:szCs w:val="9"/>
                <w:color w:val="auto"/>
              </w:rPr>
              <w:t>4</w:t>
            </w:r>
          </w:p>
        </w:tc>
        <w:tc>
          <w:tcPr>
            <w:tcW w:w="1360" w:type="dxa"/>
            <w:vAlign w:val="bottom"/>
          </w:tcPr>
          <w:p>
            <w:pPr>
              <w:spacing w:after="0"/>
              <w:rPr>
                <w:sz w:val="18"/>
                <w:szCs w:val="18"/>
                <w:color w:val="auto"/>
              </w:rPr>
            </w:pPr>
          </w:p>
        </w:tc>
        <w:tc>
          <w:tcPr>
            <w:tcW w:w="140" w:type="dxa"/>
            <w:vAlign w:val="bottom"/>
            <w:vMerge w:val="restart"/>
          </w:tcPr>
          <w:p>
            <w:pPr>
              <w:jc w:val="right"/>
              <w:ind w:right="36"/>
              <w:spacing w:after="0"/>
              <w:rPr>
                <w:sz w:val="20"/>
                <w:szCs w:val="20"/>
                <w:color w:val="auto"/>
              </w:rPr>
            </w:pPr>
            <w:r>
              <w:rPr>
                <w:rFonts w:ascii="Arial" w:cs="Arial" w:eastAsia="Arial" w:hAnsi="Arial"/>
                <w:sz w:val="9"/>
                <w:szCs w:val="9"/>
                <w:color w:val="auto"/>
                <w:w w:val="78"/>
              </w:rPr>
              <w:t>5</w:t>
            </w:r>
          </w:p>
        </w:tc>
        <w:tc>
          <w:tcPr>
            <w:tcW w:w="0" w:type="dxa"/>
            <w:vAlign w:val="bottom"/>
          </w:tcPr>
          <w:p>
            <w:pPr>
              <w:spacing w:after="0"/>
              <w:rPr>
                <w:sz w:val="1"/>
                <w:szCs w:val="1"/>
                <w:color w:val="auto"/>
              </w:rPr>
            </w:pPr>
          </w:p>
        </w:tc>
      </w:tr>
      <w:tr>
        <w:trPr>
          <w:trHeight w:val="215"/>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2/28/2022</w:t>
            </w:r>
          </w:p>
        </w:tc>
        <w:tc>
          <w:tcPr>
            <w:tcW w:w="1260" w:type="dxa"/>
            <w:vAlign w:val="bottom"/>
            <w:vMerge w:val="continue"/>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13,148</w:t>
            </w:r>
          </w:p>
        </w:tc>
        <w:tc>
          <w:tcPr>
            <w:tcW w:w="1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1,769,589</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3/2/2015</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9,076</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77.42</w:t>
            </w:r>
          </w:p>
        </w:tc>
        <w:tc>
          <w:tcPr>
            <w:tcW w:w="1000" w:type="dxa"/>
            <w:vAlign w:val="bottom"/>
          </w:tcPr>
          <w:p>
            <w:pPr>
              <w:jc w:val="right"/>
              <w:spacing w:after="0"/>
              <w:rPr>
                <w:sz w:val="20"/>
                <w:szCs w:val="20"/>
                <w:color w:val="auto"/>
              </w:rPr>
            </w:pPr>
            <w:r>
              <w:rPr>
                <w:rFonts w:ascii="Arial" w:cs="Arial" w:eastAsia="Arial" w:hAnsi="Arial"/>
                <w:sz w:val="16"/>
                <w:szCs w:val="16"/>
                <w:color w:val="auto"/>
              </w:rPr>
              <w:t>3/2/2025</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2/29/2016</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20,471</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61.71</w:t>
            </w:r>
          </w:p>
        </w:tc>
        <w:tc>
          <w:tcPr>
            <w:tcW w:w="1000" w:type="dxa"/>
            <w:vAlign w:val="bottom"/>
          </w:tcPr>
          <w:p>
            <w:pPr>
              <w:jc w:val="right"/>
              <w:spacing w:after="0"/>
              <w:rPr>
                <w:sz w:val="20"/>
                <w:szCs w:val="20"/>
                <w:color w:val="auto"/>
              </w:rPr>
            </w:pPr>
            <w:r>
              <w:rPr>
                <w:rFonts w:ascii="Arial" w:cs="Arial" w:eastAsia="Arial" w:hAnsi="Arial"/>
                <w:sz w:val="16"/>
                <w:szCs w:val="16"/>
                <w:color w:val="auto"/>
              </w:rPr>
              <w:t>2/28/2026</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2/27/2017</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11,944</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97.53</w:t>
            </w:r>
          </w:p>
        </w:tc>
        <w:tc>
          <w:tcPr>
            <w:tcW w:w="1000" w:type="dxa"/>
            <w:vAlign w:val="bottom"/>
          </w:tcPr>
          <w:p>
            <w:pPr>
              <w:jc w:val="right"/>
              <w:spacing w:after="0"/>
              <w:rPr>
                <w:sz w:val="20"/>
                <w:szCs w:val="20"/>
                <w:color w:val="auto"/>
              </w:rPr>
            </w:pPr>
            <w:r>
              <w:rPr>
                <w:rFonts w:ascii="Arial" w:cs="Arial" w:eastAsia="Arial" w:hAnsi="Arial"/>
                <w:sz w:val="16"/>
                <w:szCs w:val="16"/>
                <w:color w:val="auto"/>
              </w:rPr>
              <w:t>2/27/2027</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3/1/2018</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9,050</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143.38</w:t>
            </w:r>
          </w:p>
        </w:tc>
        <w:tc>
          <w:tcPr>
            <w:tcW w:w="1000" w:type="dxa"/>
            <w:vAlign w:val="bottom"/>
          </w:tcPr>
          <w:p>
            <w:pPr>
              <w:jc w:val="right"/>
              <w:spacing w:after="0"/>
              <w:rPr>
                <w:sz w:val="20"/>
                <w:szCs w:val="20"/>
                <w:color w:val="auto"/>
              </w:rPr>
            </w:pPr>
            <w:r>
              <w:rPr>
                <w:rFonts w:ascii="Arial" w:cs="Arial" w:eastAsia="Arial" w:hAnsi="Arial"/>
                <w:sz w:val="16"/>
                <w:szCs w:val="16"/>
                <w:color w:val="auto"/>
              </w:rPr>
              <w:t>3/1/2028</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3/4/2019</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11,682</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3,894</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100.52</w:t>
            </w:r>
          </w:p>
        </w:tc>
        <w:tc>
          <w:tcPr>
            <w:tcW w:w="1000" w:type="dxa"/>
            <w:vAlign w:val="bottom"/>
          </w:tcPr>
          <w:p>
            <w:pPr>
              <w:jc w:val="right"/>
              <w:spacing w:after="0"/>
              <w:rPr>
                <w:sz w:val="20"/>
                <w:szCs w:val="20"/>
                <w:color w:val="auto"/>
              </w:rPr>
            </w:pPr>
            <w:r>
              <w:rPr>
                <w:rFonts w:ascii="Arial" w:cs="Arial" w:eastAsia="Arial" w:hAnsi="Arial"/>
                <w:sz w:val="16"/>
                <w:szCs w:val="16"/>
                <w:color w:val="auto"/>
              </w:rPr>
              <w:t>3/4/2029</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3/2/2020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7,593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7,594</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96.82</w:t>
            </w:r>
          </w:p>
        </w:tc>
        <w:tc>
          <w:tcPr>
            <w:tcW w:w="1000" w:type="dxa"/>
            <w:vAlign w:val="bottom"/>
          </w:tcPr>
          <w:p>
            <w:pPr>
              <w:jc w:val="right"/>
              <w:spacing w:after="0"/>
              <w:rPr>
                <w:sz w:val="20"/>
                <w:szCs w:val="20"/>
                <w:color w:val="auto"/>
              </w:rPr>
            </w:pPr>
            <w:r>
              <w:rPr>
                <w:rFonts w:ascii="Arial" w:cs="Arial" w:eastAsia="Arial" w:hAnsi="Arial"/>
                <w:sz w:val="16"/>
                <w:szCs w:val="16"/>
                <w:color w:val="auto"/>
              </w:rPr>
              <w:t>3/2/2030</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3,538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10,614</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173.88</w:t>
            </w:r>
          </w:p>
        </w:tc>
        <w:tc>
          <w:tcPr>
            <w:tcW w:w="1000" w:type="dxa"/>
            <w:vAlign w:val="bottom"/>
          </w:tcPr>
          <w:p>
            <w:pPr>
              <w:jc w:val="right"/>
              <w:spacing w:after="0"/>
              <w:rPr>
                <w:sz w:val="20"/>
                <w:szCs w:val="20"/>
                <w:color w:val="auto"/>
              </w:rPr>
            </w:pPr>
            <w:r>
              <w:rPr>
                <w:rFonts w:ascii="Arial" w:cs="Arial" w:eastAsia="Arial" w:hAnsi="Arial"/>
                <w:sz w:val="16"/>
                <w:szCs w:val="16"/>
                <w:color w:val="auto"/>
              </w:rPr>
              <w:t>3/1/2031</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rPr>
              <w:t>2/28/2022</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10,054</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159.27</w:t>
            </w:r>
          </w:p>
        </w:tc>
        <w:tc>
          <w:tcPr>
            <w:tcW w:w="1000" w:type="dxa"/>
            <w:vAlign w:val="bottom"/>
          </w:tcPr>
          <w:p>
            <w:pPr>
              <w:jc w:val="right"/>
              <w:spacing w:after="0"/>
              <w:rPr>
                <w:sz w:val="20"/>
                <w:szCs w:val="20"/>
                <w:color w:val="auto"/>
              </w:rPr>
            </w:pPr>
            <w:r>
              <w:rPr>
                <w:rFonts w:ascii="Arial" w:cs="Arial" w:eastAsia="Arial" w:hAnsi="Arial"/>
                <w:sz w:val="16"/>
                <w:szCs w:val="16"/>
                <w:color w:val="auto"/>
              </w:rPr>
              <w:t>2/28/2032</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3/4/2019</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975</w:t>
            </w:r>
          </w:p>
        </w:tc>
        <w:tc>
          <w:tcPr>
            <w:tcW w:w="980" w:type="dxa"/>
            <w:vAlign w:val="bottom"/>
          </w:tcPr>
          <w:p>
            <w:pPr>
              <w:jc w:val="right"/>
              <w:spacing w:after="0"/>
              <w:rPr>
                <w:sz w:val="20"/>
                <w:szCs w:val="20"/>
                <w:color w:val="auto"/>
              </w:rPr>
            </w:pPr>
            <w:r>
              <w:rPr>
                <w:rFonts w:ascii="Arial" w:cs="Arial" w:eastAsia="Arial" w:hAnsi="Arial"/>
                <w:sz w:val="16"/>
                <w:szCs w:val="16"/>
                <w:color w:val="auto"/>
              </w:rPr>
              <w:t>131,225</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3/2/2020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1,634</w:t>
            </w:r>
          </w:p>
        </w:tc>
        <w:tc>
          <w:tcPr>
            <w:tcW w:w="980" w:type="dxa"/>
            <w:vAlign w:val="bottom"/>
          </w:tcPr>
          <w:p>
            <w:pPr>
              <w:jc w:val="right"/>
              <w:spacing w:after="0"/>
              <w:rPr>
                <w:sz w:val="20"/>
                <w:szCs w:val="20"/>
                <w:color w:val="auto"/>
              </w:rPr>
            </w:pPr>
            <w:r>
              <w:rPr>
                <w:rFonts w:ascii="Arial" w:cs="Arial" w:eastAsia="Arial" w:hAnsi="Arial"/>
                <w:sz w:val="16"/>
                <w:szCs w:val="16"/>
                <w:color w:val="auto"/>
              </w:rPr>
              <w:t>219,920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4,434</w:t>
            </w:r>
          </w:p>
        </w:tc>
        <w:tc>
          <w:tcPr>
            <w:tcW w:w="980" w:type="dxa"/>
            <w:vAlign w:val="bottom"/>
          </w:tcPr>
          <w:p>
            <w:pPr>
              <w:jc w:val="right"/>
              <w:spacing w:after="0"/>
              <w:rPr>
                <w:sz w:val="20"/>
                <w:szCs w:val="20"/>
                <w:color w:val="auto"/>
              </w:rPr>
            </w:pPr>
            <w:r>
              <w:rPr>
                <w:rFonts w:ascii="Arial" w:cs="Arial" w:eastAsia="Arial" w:hAnsi="Arial"/>
                <w:sz w:val="16"/>
                <w:szCs w:val="16"/>
                <w:color w:val="auto"/>
              </w:rPr>
              <w:t>596,772</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rPr>
              <w:t>12/15/2021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6,860</w:t>
            </w:r>
          </w:p>
        </w:tc>
        <w:tc>
          <w:tcPr>
            <w:tcW w:w="980" w:type="dxa"/>
            <w:vAlign w:val="bottom"/>
          </w:tcPr>
          <w:p>
            <w:pPr>
              <w:jc w:val="right"/>
              <w:spacing w:after="0"/>
              <w:rPr>
                <w:sz w:val="20"/>
                <w:szCs w:val="20"/>
                <w:color w:val="auto"/>
              </w:rPr>
            </w:pPr>
            <w:r>
              <w:rPr>
                <w:rFonts w:ascii="Arial" w:cs="Arial" w:eastAsia="Arial" w:hAnsi="Arial"/>
                <w:sz w:val="16"/>
                <w:szCs w:val="16"/>
                <w:color w:val="auto"/>
              </w:rPr>
              <w:t>923,287</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rPr>
              <w:t>2/28/2022</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2,609</w:t>
            </w:r>
          </w:p>
        </w:tc>
        <w:tc>
          <w:tcPr>
            <w:tcW w:w="980" w:type="dxa"/>
            <w:vAlign w:val="bottom"/>
          </w:tcPr>
          <w:p>
            <w:pPr>
              <w:jc w:val="right"/>
              <w:spacing w:after="0"/>
              <w:rPr>
                <w:sz w:val="20"/>
                <w:szCs w:val="20"/>
                <w:color w:val="auto"/>
              </w:rPr>
            </w:pPr>
            <w:r>
              <w:rPr>
                <w:rFonts w:ascii="Arial" w:cs="Arial" w:eastAsia="Arial" w:hAnsi="Arial"/>
                <w:sz w:val="16"/>
                <w:szCs w:val="16"/>
                <w:color w:val="auto"/>
              </w:rPr>
              <w:t>351,145</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E7D"/>
              </w:rPr>
              <w:t>A. Terry</w:t>
            </w:r>
          </w:p>
        </w:tc>
        <w:tc>
          <w:tcPr>
            <w:tcW w:w="1260" w:type="dxa"/>
            <w:vAlign w:val="bottom"/>
            <w:tcBorders>
              <w:top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8"/>
              </w:rPr>
              <w:t xml:space="preserve">Performance </w:t>
            </w:r>
            <w:r>
              <w:rPr>
                <w:rFonts w:ascii="Arial" w:cs="Arial" w:eastAsia="Arial" w:hAnsi="Arial"/>
                <w:sz w:val="16"/>
                <w:szCs w:val="16"/>
                <w:color w:val="auto"/>
                <w:w w:val="98"/>
                <w:vertAlign w:val="superscript"/>
              </w:rPr>
              <w:t>4</w:t>
            </w:r>
          </w:p>
        </w:tc>
        <w:tc>
          <w:tcPr>
            <w:tcW w:w="9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9"/>
                <w:szCs w:val="9"/>
                <w:color w:val="auto"/>
              </w:rPr>
              <w:t>4</w:t>
            </w:r>
          </w:p>
        </w:tc>
        <w:tc>
          <w:tcPr>
            <w:tcW w:w="1360" w:type="dxa"/>
            <w:vAlign w:val="bottom"/>
            <w:tcBorders>
              <w:top w:val="single" w:sz="8" w:color="auto"/>
            </w:tcBorders>
          </w:tcPr>
          <w:p>
            <w:pPr>
              <w:spacing w:after="0"/>
              <w:rPr>
                <w:sz w:val="18"/>
                <w:szCs w:val="18"/>
                <w:color w:val="auto"/>
              </w:rPr>
            </w:pPr>
          </w:p>
        </w:tc>
        <w:tc>
          <w:tcPr>
            <w:tcW w:w="140" w:type="dxa"/>
            <w:vAlign w:val="bottom"/>
            <w:vMerge w:val="restart"/>
          </w:tcPr>
          <w:p>
            <w:pPr>
              <w:jc w:val="right"/>
              <w:ind w:right="36"/>
              <w:spacing w:after="0"/>
              <w:rPr>
                <w:sz w:val="20"/>
                <w:szCs w:val="20"/>
                <w:color w:val="auto"/>
              </w:rPr>
            </w:pPr>
            <w:r>
              <w:rPr>
                <w:rFonts w:ascii="Arial" w:cs="Arial" w:eastAsia="Arial" w:hAnsi="Arial"/>
                <w:sz w:val="9"/>
                <w:szCs w:val="9"/>
                <w:color w:val="auto"/>
                <w:w w:val="78"/>
              </w:rPr>
              <w:t>5</w:t>
            </w:r>
          </w:p>
        </w:tc>
        <w:tc>
          <w:tcPr>
            <w:tcW w:w="0" w:type="dxa"/>
            <w:vAlign w:val="bottom"/>
          </w:tcPr>
          <w:p>
            <w:pPr>
              <w:spacing w:after="0"/>
              <w:rPr>
                <w:sz w:val="1"/>
                <w:szCs w:val="1"/>
                <w:color w:val="auto"/>
              </w:rPr>
            </w:pPr>
          </w:p>
        </w:tc>
      </w:tr>
      <w:tr>
        <w:trPr>
          <w:trHeight w:val="215"/>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2/28/2022</w:t>
            </w:r>
          </w:p>
        </w:tc>
        <w:tc>
          <w:tcPr>
            <w:tcW w:w="1260" w:type="dxa"/>
            <w:vAlign w:val="bottom"/>
            <w:vMerge w:val="continue"/>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6,574</w:t>
            </w:r>
          </w:p>
        </w:tc>
        <w:tc>
          <w:tcPr>
            <w:tcW w:w="1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884,795</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332</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998</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173.88</w:t>
            </w:r>
          </w:p>
        </w:tc>
        <w:tc>
          <w:tcPr>
            <w:tcW w:w="1000" w:type="dxa"/>
            <w:vAlign w:val="bottom"/>
          </w:tcPr>
          <w:p>
            <w:pPr>
              <w:jc w:val="right"/>
              <w:spacing w:after="0"/>
              <w:rPr>
                <w:sz w:val="20"/>
                <w:szCs w:val="20"/>
                <w:color w:val="auto"/>
              </w:rPr>
            </w:pPr>
            <w:r>
              <w:rPr>
                <w:rFonts w:ascii="Arial" w:cs="Arial" w:eastAsia="Arial" w:hAnsi="Arial"/>
                <w:sz w:val="16"/>
                <w:szCs w:val="16"/>
                <w:color w:val="auto"/>
              </w:rPr>
              <w:t>3/1/2031</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rPr>
              <w:t>2/28/2022</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5,027</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159.27</w:t>
            </w:r>
          </w:p>
        </w:tc>
        <w:tc>
          <w:tcPr>
            <w:tcW w:w="1000" w:type="dxa"/>
            <w:vAlign w:val="bottom"/>
          </w:tcPr>
          <w:p>
            <w:pPr>
              <w:jc w:val="right"/>
              <w:spacing w:after="0"/>
              <w:rPr>
                <w:sz w:val="20"/>
                <w:szCs w:val="20"/>
                <w:color w:val="auto"/>
              </w:rPr>
            </w:pPr>
            <w:r>
              <w:rPr>
                <w:rFonts w:ascii="Arial" w:cs="Arial" w:eastAsia="Arial" w:hAnsi="Arial"/>
                <w:sz w:val="16"/>
                <w:szCs w:val="16"/>
                <w:color w:val="auto"/>
              </w:rPr>
              <w:t>2/28/2032</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3/4/2019</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304</w:t>
            </w:r>
          </w:p>
        </w:tc>
        <w:tc>
          <w:tcPr>
            <w:tcW w:w="980" w:type="dxa"/>
            <w:vAlign w:val="bottom"/>
          </w:tcPr>
          <w:p>
            <w:pPr>
              <w:jc w:val="right"/>
              <w:spacing w:after="0"/>
              <w:rPr>
                <w:sz w:val="20"/>
                <w:szCs w:val="20"/>
                <w:color w:val="auto"/>
              </w:rPr>
            </w:pPr>
            <w:r>
              <w:rPr>
                <w:rFonts w:ascii="Arial" w:cs="Arial" w:eastAsia="Arial" w:hAnsi="Arial"/>
                <w:sz w:val="16"/>
                <w:szCs w:val="16"/>
                <w:color w:val="auto"/>
              </w:rPr>
              <w:t>40,915</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3/2/2020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735</w:t>
            </w:r>
          </w:p>
        </w:tc>
        <w:tc>
          <w:tcPr>
            <w:tcW w:w="980" w:type="dxa"/>
            <w:vAlign w:val="bottom"/>
          </w:tcPr>
          <w:p>
            <w:pPr>
              <w:jc w:val="right"/>
              <w:spacing w:after="0"/>
              <w:rPr>
                <w:sz w:val="20"/>
                <w:szCs w:val="20"/>
                <w:color w:val="auto"/>
              </w:rPr>
            </w:pPr>
            <w:r>
              <w:rPr>
                <w:rFonts w:ascii="Arial" w:cs="Arial" w:eastAsia="Arial" w:hAnsi="Arial"/>
                <w:sz w:val="16"/>
                <w:szCs w:val="16"/>
                <w:color w:val="auto"/>
              </w:rPr>
              <w:t>98,924</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rPr>
              <w:t>12/15/2020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692</w:t>
            </w:r>
          </w:p>
        </w:tc>
        <w:tc>
          <w:tcPr>
            <w:tcW w:w="980" w:type="dxa"/>
            <w:vAlign w:val="bottom"/>
          </w:tcPr>
          <w:p>
            <w:pPr>
              <w:jc w:val="right"/>
              <w:spacing w:after="0"/>
              <w:rPr>
                <w:sz w:val="20"/>
                <w:szCs w:val="20"/>
                <w:color w:val="auto"/>
              </w:rPr>
            </w:pPr>
            <w:r>
              <w:rPr>
                <w:rFonts w:ascii="Arial" w:cs="Arial" w:eastAsia="Arial" w:hAnsi="Arial"/>
                <w:sz w:val="16"/>
                <w:szCs w:val="16"/>
                <w:color w:val="auto"/>
              </w:rPr>
              <w:t>93,136</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625</w:t>
            </w:r>
          </w:p>
        </w:tc>
        <w:tc>
          <w:tcPr>
            <w:tcW w:w="980" w:type="dxa"/>
            <w:vAlign w:val="bottom"/>
          </w:tcPr>
          <w:p>
            <w:pPr>
              <w:jc w:val="right"/>
              <w:spacing w:after="0"/>
              <w:rPr>
                <w:sz w:val="20"/>
                <w:szCs w:val="20"/>
                <w:color w:val="auto"/>
              </w:rPr>
            </w:pPr>
            <w:r>
              <w:rPr>
                <w:rFonts w:ascii="Arial" w:cs="Arial" w:eastAsia="Arial" w:hAnsi="Arial"/>
                <w:sz w:val="16"/>
                <w:szCs w:val="16"/>
                <w:color w:val="auto"/>
              </w:rPr>
              <w:t>84,119</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w w:val="99"/>
              </w:rPr>
              <w:t>11/16/2021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1,145</w:t>
            </w:r>
          </w:p>
        </w:tc>
        <w:tc>
          <w:tcPr>
            <w:tcW w:w="980" w:type="dxa"/>
            <w:vAlign w:val="bottom"/>
          </w:tcPr>
          <w:p>
            <w:pPr>
              <w:jc w:val="right"/>
              <w:spacing w:after="0"/>
              <w:rPr>
                <w:sz w:val="20"/>
                <w:szCs w:val="20"/>
                <w:color w:val="auto"/>
              </w:rPr>
            </w:pPr>
            <w:r>
              <w:rPr>
                <w:rFonts w:ascii="Arial" w:cs="Arial" w:eastAsia="Arial" w:hAnsi="Arial"/>
                <w:sz w:val="16"/>
                <w:szCs w:val="16"/>
                <w:color w:val="auto"/>
              </w:rPr>
              <w:t>154,106</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rPr>
              <w:t>12/15/2021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1,715</w:t>
            </w:r>
          </w:p>
        </w:tc>
        <w:tc>
          <w:tcPr>
            <w:tcW w:w="980" w:type="dxa"/>
            <w:vAlign w:val="bottom"/>
          </w:tcPr>
          <w:p>
            <w:pPr>
              <w:jc w:val="right"/>
              <w:spacing w:after="0"/>
              <w:rPr>
                <w:sz w:val="20"/>
                <w:szCs w:val="20"/>
                <w:color w:val="auto"/>
              </w:rPr>
            </w:pPr>
            <w:r>
              <w:rPr>
                <w:rFonts w:ascii="Arial" w:cs="Arial" w:eastAsia="Arial" w:hAnsi="Arial"/>
                <w:sz w:val="16"/>
                <w:szCs w:val="16"/>
                <w:color w:val="auto"/>
              </w:rPr>
              <w:t>230,822</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rPr>
              <w:t>2/28/2022</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1,305</w:t>
            </w:r>
          </w:p>
        </w:tc>
        <w:tc>
          <w:tcPr>
            <w:tcW w:w="980" w:type="dxa"/>
            <w:vAlign w:val="bottom"/>
          </w:tcPr>
          <w:p>
            <w:pPr>
              <w:jc w:val="right"/>
              <w:spacing w:after="0"/>
              <w:rPr>
                <w:sz w:val="20"/>
                <w:szCs w:val="20"/>
                <w:color w:val="auto"/>
              </w:rPr>
            </w:pPr>
            <w:r>
              <w:rPr>
                <w:rFonts w:ascii="Arial" w:cs="Arial" w:eastAsia="Arial" w:hAnsi="Arial"/>
                <w:sz w:val="16"/>
                <w:szCs w:val="16"/>
                <w:color w:val="auto"/>
              </w:rPr>
              <w:t>175,640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E7D"/>
              </w:rPr>
              <w:t>B. Miller</w:t>
            </w:r>
          </w:p>
        </w:tc>
        <w:tc>
          <w:tcPr>
            <w:tcW w:w="1260" w:type="dxa"/>
            <w:vAlign w:val="bottom"/>
            <w:tcBorders>
              <w:top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8"/>
              </w:rPr>
              <w:t xml:space="preserve">Performance </w:t>
            </w:r>
            <w:r>
              <w:rPr>
                <w:rFonts w:ascii="Arial" w:cs="Arial" w:eastAsia="Arial" w:hAnsi="Arial"/>
                <w:sz w:val="16"/>
                <w:szCs w:val="16"/>
                <w:color w:val="auto"/>
                <w:w w:val="98"/>
                <w:vertAlign w:val="superscript"/>
              </w:rPr>
              <w:t>4</w:t>
            </w:r>
          </w:p>
        </w:tc>
        <w:tc>
          <w:tcPr>
            <w:tcW w:w="9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9"/>
                <w:szCs w:val="9"/>
                <w:color w:val="auto"/>
              </w:rPr>
              <w:t>4</w:t>
            </w: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9"/>
                <w:szCs w:val="9"/>
                <w:color w:val="auto"/>
                <w:w w:val="78"/>
              </w:rPr>
              <w:t>5</w:t>
            </w:r>
          </w:p>
        </w:tc>
        <w:tc>
          <w:tcPr>
            <w:tcW w:w="0" w:type="dxa"/>
            <w:vAlign w:val="bottom"/>
          </w:tcPr>
          <w:p>
            <w:pPr>
              <w:spacing w:after="0"/>
              <w:rPr>
                <w:sz w:val="1"/>
                <w:szCs w:val="1"/>
                <w:color w:val="auto"/>
              </w:rPr>
            </w:pPr>
          </w:p>
        </w:tc>
      </w:tr>
      <w:tr>
        <w:trPr>
          <w:trHeight w:val="215"/>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2/28/2022</w:t>
            </w:r>
          </w:p>
        </w:tc>
        <w:tc>
          <w:tcPr>
            <w:tcW w:w="1260" w:type="dxa"/>
            <w:vAlign w:val="bottom"/>
            <w:vMerge w:val="continue"/>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7,888</w:t>
            </w:r>
          </w:p>
        </w:tc>
        <w:tc>
          <w:tcPr>
            <w:tcW w:w="1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1,061,646</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3/1/2018</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4,358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143.38</w:t>
            </w:r>
          </w:p>
        </w:tc>
        <w:tc>
          <w:tcPr>
            <w:tcW w:w="1000" w:type="dxa"/>
            <w:vAlign w:val="bottom"/>
          </w:tcPr>
          <w:p>
            <w:pPr>
              <w:jc w:val="right"/>
              <w:spacing w:after="0"/>
              <w:rPr>
                <w:sz w:val="20"/>
                <w:szCs w:val="20"/>
                <w:color w:val="auto"/>
              </w:rPr>
            </w:pPr>
            <w:r>
              <w:rPr>
                <w:rFonts w:ascii="Arial" w:cs="Arial" w:eastAsia="Arial" w:hAnsi="Arial"/>
                <w:sz w:val="16"/>
                <w:szCs w:val="16"/>
                <w:color w:val="auto"/>
              </w:rPr>
              <w:t>3/1/2028</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3/4/2019</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1,817</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1,818</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100.52</w:t>
            </w:r>
          </w:p>
        </w:tc>
        <w:tc>
          <w:tcPr>
            <w:tcW w:w="1000" w:type="dxa"/>
            <w:vAlign w:val="bottom"/>
          </w:tcPr>
          <w:p>
            <w:pPr>
              <w:jc w:val="right"/>
              <w:spacing w:after="0"/>
              <w:rPr>
                <w:sz w:val="20"/>
                <w:szCs w:val="20"/>
                <w:color w:val="auto"/>
              </w:rPr>
            </w:pPr>
            <w:r>
              <w:rPr>
                <w:rFonts w:ascii="Arial" w:cs="Arial" w:eastAsia="Arial" w:hAnsi="Arial"/>
                <w:sz w:val="16"/>
                <w:szCs w:val="16"/>
                <w:color w:val="auto"/>
              </w:rPr>
              <w:t>3/4/2029</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3/2/2020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2,278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4,556</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96.82</w:t>
            </w:r>
          </w:p>
        </w:tc>
        <w:tc>
          <w:tcPr>
            <w:tcW w:w="1000" w:type="dxa"/>
            <w:vAlign w:val="bottom"/>
          </w:tcPr>
          <w:p>
            <w:pPr>
              <w:jc w:val="right"/>
              <w:spacing w:after="0"/>
              <w:rPr>
                <w:sz w:val="20"/>
                <w:szCs w:val="20"/>
                <w:color w:val="auto"/>
              </w:rPr>
            </w:pPr>
            <w:r>
              <w:rPr>
                <w:rFonts w:ascii="Arial" w:cs="Arial" w:eastAsia="Arial" w:hAnsi="Arial"/>
                <w:sz w:val="16"/>
                <w:szCs w:val="16"/>
                <w:color w:val="auto"/>
              </w:rPr>
              <w:t>3/2/2030</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1,946</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5,838</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173.88</w:t>
            </w:r>
          </w:p>
        </w:tc>
        <w:tc>
          <w:tcPr>
            <w:tcW w:w="1000" w:type="dxa"/>
            <w:vAlign w:val="bottom"/>
          </w:tcPr>
          <w:p>
            <w:pPr>
              <w:jc w:val="right"/>
              <w:spacing w:after="0"/>
              <w:rPr>
                <w:sz w:val="20"/>
                <w:szCs w:val="20"/>
                <w:color w:val="auto"/>
              </w:rPr>
            </w:pPr>
            <w:r>
              <w:rPr>
                <w:rFonts w:ascii="Arial" w:cs="Arial" w:eastAsia="Arial" w:hAnsi="Arial"/>
                <w:sz w:val="16"/>
                <w:szCs w:val="16"/>
                <w:color w:val="auto"/>
              </w:rPr>
              <w:t>3/1/2031</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rPr>
              <w:t>2/28/2022</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9"/>
              </w:rPr>
              <w:t>VAC SARs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6,032</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159.27</w:t>
            </w:r>
          </w:p>
        </w:tc>
        <w:tc>
          <w:tcPr>
            <w:tcW w:w="1000" w:type="dxa"/>
            <w:vAlign w:val="bottom"/>
          </w:tcPr>
          <w:p>
            <w:pPr>
              <w:jc w:val="right"/>
              <w:spacing w:after="0"/>
              <w:rPr>
                <w:sz w:val="20"/>
                <w:szCs w:val="20"/>
                <w:color w:val="auto"/>
              </w:rPr>
            </w:pPr>
            <w:r>
              <w:rPr>
                <w:rFonts w:ascii="Arial" w:cs="Arial" w:eastAsia="Arial" w:hAnsi="Arial"/>
                <w:sz w:val="16"/>
                <w:szCs w:val="16"/>
                <w:color w:val="auto"/>
              </w:rPr>
              <w:t>2/28/2032</w:t>
            </w:r>
          </w:p>
        </w:tc>
        <w:tc>
          <w:tcPr>
            <w:tcW w:w="1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3/4/2019</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455</w:t>
            </w:r>
          </w:p>
        </w:tc>
        <w:tc>
          <w:tcPr>
            <w:tcW w:w="980" w:type="dxa"/>
            <w:vAlign w:val="bottom"/>
          </w:tcPr>
          <w:p>
            <w:pPr>
              <w:jc w:val="right"/>
              <w:spacing w:after="0"/>
              <w:rPr>
                <w:sz w:val="20"/>
                <w:szCs w:val="20"/>
                <w:color w:val="auto"/>
              </w:rPr>
            </w:pPr>
            <w:r>
              <w:rPr>
                <w:rFonts w:ascii="Arial" w:cs="Arial" w:eastAsia="Arial" w:hAnsi="Arial"/>
                <w:sz w:val="16"/>
                <w:szCs w:val="16"/>
                <w:color w:val="auto"/>
              </w:rPr>
              <w:t>61,238</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spacing w:after="0"/>
              <w:rPr>
                <w:sz w:val="20"/>
                <w:szCs w:val="20"/>
                <w:color w:val="auto"/>
              </w:rPr>
            </w:pPr>
            <w:r>
              <w:rPr>
                <w:rFonts w:ascii="Arial" w:cs="Arial" w:eastAsia="Arial" w:hAnsi="Arial"/>
                <w:sz w:val="16"/>
                <w:szCs w:val="16"/>
                <w:color w:val="auto"/>
              </w:rPr>
              <w:t>3/2/2020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980</w:t>
            </w:r>
          </w:p>
        </w:tc>
        <w:tc>
          <w:tcPr>
            <w:tcW w:w="980" w:type="dxa"/>
            <w:vAlign w:val="bottom"/>
          </w:tcPr>
          <w:p>
            <w:pPr>
              <w:jc w:val="right"/>
              <w:spacing w:after="0"/>
              <w:rPr>
                <w:sz w:val="20"/>
                <w:szCs w:val="20"/>
                <w:color w:val="auto"/>
              </w:rPr>
            </w:pPr>
            <w:r>
              <w:rPr>
                <w:rFonts w:ascii="Arial" w:cs="Arial" w:eastAsia="Arial" w:hAnsi="Arial"/>
                <w:sz w:val="16"/>
                <w:szCs w:val="16"/>
                <w:color w:val="auto"/>
              </w:rPr>
              <w:t>131,898</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8"/>
              </w:rPr>
              <w:t>11/9/2020</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1,117</w:t>
            </w:r>
          </w:p>
        </w:tc>
        <w:tc>
          <w:tcPr>
            <w:tcW w:w="980" w:type="dxa"/>
            <w:vAlign w:val="bottom"/>
          </w:tcPr>
          <w:p>
            <w:pPr>
              <w:jc w:val="right"/>
              <w:spacing w:after="0"/>
              <w:rPr>
                <w:sz w:val="20"/>
                <w:szCs w:val="20"/>
                <w:color w:val="auto"/>
              </w:rPr>
            </w:pPr>
            <w:r>
              <w:rPr>
                <w:rFonts w:ascii="Arial" w:cs="Arial" w:eastAsia="Arial" w:hAnsi="Arial"/>
                <w:sz w:val="16"/>
                <w:szCs w:val="16"/>
                <w:color w:val="auto"/>
              </w:rPr>
              <w:t>150,337</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w w:val="99"/>
              </w:rPr>
              <w:t>3/1/2021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2,439</w:t>
            </w:r>
          </w:p>
        </w:tc>
        <w:tc>
          <w:tcPr>
            <w:tcW w:w="980" w:type="dxa"/>
            <w:vAlign w:val="bottom"/>
          </w:tcPr>
          <w:p>
            <w:pPr>
              <w:jc w:val="right"/>
              <w:spacing w:after="0"/>
              <w:rPr>
                <w:sz w:val="20"/>
                <w:szCs w:val="20"/>
                <w:color w:val="auto"/>
              </w:rPr>
            </w:pPr>
            <w:r>
              <w:rPr>
                <w:rFonts w:ascii="Arial" w:cs="Arial" w:eastAsia="Arial" w:hAnsi="Arial"/>
                <w:sz w:val="16"/>
                <w:szCs w:val="16"/>
                <w:color w:val="auto"/>
              </w:rPr>
              <w:t>328,265</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1"/>
              <w:spacing w:after="0"/>
              <w:rPr>
                <w:sz w:val="20"/>
                <w:szCs w:val="20"/>
                <w:color w:val="auto"/>
              </w:rPr>
            </w:pPr>
            <w:r>
              <w:rPr>
                <w:rFonts w:ascii="Arial" w:cs="Arial" w:eastAsia="Arial" w:hAnsi="Arial"/>
                <w:sz w:val="16"/>
                <w:szCs w:val="16"/>
                <w:color w:val="auto"/>
              </w:rPr>
              <w:t>12/15/2021</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3,773</w:t>
            </w:r>
          </w:p>
        </w:tc>
        <w:tc>
          <w:tcPr>
            <w:tcW w:w="980" w:type="dxa"/>
            <w:vAlign w:val="bottom"/>
          </w:tcPr>
          <w:p>
            <w:pPr>
              <w:jc w:val="right"/>
              <w:spacing w:after="0"/>
              <w:rPr>
                <w:sz w:val="20"/>
                <w:szCs w:val="20"/>
                <w:color w:val="auto"/>
              </w:rPr>
            </w:pPr>
            <w:r>
              <w:rPr>
                <w:rFonts w:ascii="Arial" w:cs="Arial" w:eastAsia="Arial" w:hAnsi="Arial"/>
                <w:sz w:val="16"/>
                <w:szCs w:val="16"/>
                <w:color w:val="auto"/>
              </w:rPr>
              <w:t>507,808</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gridSpan w:val="2"/>
          </w:tcPr>
          <w:p>
            <w:pPr>
              <w:jc w:val="center"/>
              <w:ind w:right="141"/>
              <w:spacing w:after="0"/>
              <w:rPr>
                <w:sz w:val="20"/>
                <w:szCs w:val="20"/>
                <w:color w:val="auto"/>
              </w:rPr>
            </w:pPr>
            <w:r>
              <w:rPr>
                <w:rFonts w:ascii="Arial" w:cs="Arial" w:eastAsia="Arial" w:hAnsi="Arial"/>
                <w:sz w:val="16"/>
                <w:szCs w:val="16"/>
                <w:color w:val="auto"/>
              </w:rPr>
              <w:t>2/28/2022</w:t>
            </w: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8"/>
              </w:rPr>
              <w:t>VAC RSUs</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1,565</w:t>
            </w:r>
          </w:p>
        </w:tc>
        <w:tc>
          <w:tcPr>
            <w:tcW w:w="980" w:type="dxa"/>
            <w:vAlign w:val="bottom"/>
          </w:tcPr>
          <w:p>
            <w:pPr>
              <w:jc w:val="right"/>
              <w:spacing w:after="0"/>
              <w:rPr>
                <w:sz w:val="20"/>
                <w:szCs w:val="20"/>
                <w:color w:val="auto"/>
              </w:rPr>
            </w:pPr>
            <w:r>
              <w:rPr>
                <w:rFonts w:ascii="Arial" w:cs="Arial" w:eastAsia="Arial" w:hAnsi="Arial"/>
                <w:sz w:val="16"/>
                <w:szCs w:val="16"/>
                <w:color w:val="auto"/>
              </w:rPr>
              <w:t>210,633</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45</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240" w:top="131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7"/>
        </w:trPr>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Borders>
              <w:bottom w:val="single" w:sz="8" w:color="004987"/>
            </w:tcBorders>
          </w:tcPr>
          <w:p>
            <w:pPr>
              <w:spacing w:after="0"/>
              <w:rPr>
                <w:sz w:val="17"/>
                <w:szCs w:val="17"/>
                <w:color w:val="auto"/>
              </w:rPr>
            </w:pPr>
          </w:p>
        </w:tc>
        <w:tc>
          <w:tcPr>
            <w:tcW w:w="1440" w:type="dxa"/>
            <w:vAlign w:val="bottom"/>
            <w:tcBorders>
              <w:bottom w:val="single" w:sz="8" w:color="004987"/>
            </w:tcBorders>
            <w:gridSpan w:val="2"/>
          </w:tcPr>
          <w:p>
            <w:pPr>
              <w:jc w:val="right"/>
              <w:ind w:right="222"/>
              <w:spacing w:after="0"/>
              <w:rPr>
                <w:sz w:val="20"/>
                <w:szCs w:val="20"/>
                <w:color w:val="auto"/>
              </w:rPr>
            </w:pPr>
            <w:r>
              <w:rPr>
                <w:rFonts w:ascii="Arial" w:cs="Arial" w:eastAsia="Arial" w:hAnsi="Arial"/>
                <w:sz w:val="14"/>
                <w:szCs w:val="14"/>
                <w:b w:val="1"/>
                <w:bCs w:val="1"/>
                <w:color w:val="004E7D"/>
              </w:rPr>
              <w:t>Option Awards</w:t>
            </w:r>
          </w:p>
        </w:tc>
        <w:tc>
          <w:tcPr>
            <w:tcW w:w="1000" w:type="dxa"/>
            <w:vAlign w:val="bottom"/>
            <w:tcBorders>
              <w:bottom w:val="single" w:sz="8" w:color="004987"/>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004987"/>
            </w:tcBorders>
          </w:tcPr>
          <w:p>
            <w:pPr>
              <w:spacing w:after="0"/>
              <w:rPr>
                <w:sz w:val="17"/>
                <w:szCs w:val="17"/>
                <w:color w:val="auto"/>
              </w:rPr>
            </w:pPr>
          </w:p>
        </w:tc>
        <w:tc>
          <w:tcPr>
            <w:tcW w:w="1000" w:type="dxa"/>
            <w:vAlign w:val="bottom"/>
            <w:tcBorders>
              <w:bottom w:val="single" w:sz="8" w:color="004987"/>
            </w:tcBorders>
          </w:tcPr>
          <w:p>
            <w:pPr>
              <w:spacing w:after="0"/>
              <w:rPr>
                <w:sz w:val="17"/>
                <w:szCs w:val="17"/>
                <w:color w:val="auto"/>
              </w:rPr>
            </w:pPr>
          </w:p>
        </w:tc>
        <w:tc>
          <w:tcPr>
            <w:tcW w:w="1480" w:type="dxa"/>
            <w:vAlign w:val="bottom"/>
            <w:tcBorders>
              <w:bottom w:val="single" w:sz="8" w:color="004987"/>
            </w:tcBorders>
          </w:tcPr>
          <w:p>
            <w:pPr>
              <w:jc w:val="right"/>
              <w:ind w:right="463"/>
              <w:spacing w:after="0"/>
              <w:rPr>
                <w:sz w:val="20"/>
                <w:szCs w:val="20"/>
                <w:color w:val="auto"/>
              </w:rPr>
            </w:pPr>
            <w:r>
              <w:rPr>
                <w:rFonts w:ascii="Arial" w:cs="Arial" w:eastAsia="Arial" w:hAnsi="Arial"/>
                <w:sz w:val="14"/>
                <w:szCs w:val="14"/>
                <w:b w:val="1"/>
                <w:bCs w:val="1"/>
                <w:color w:val="004E7D"/>
                <w:w w:val="99"/>
              </w:rPr>
              <w:t>Stock Awards</w:t>
            </w:r>
          </w:p>
        </w:tc>
        <w:tc>
          <w:tcPr>
            <w:tcW w:w="180" w:type="dxa"/>
            <w:vAlign w:val="bottom"/>
            <w:tcBorders>
              <w:bottom w:val="single" w:sz="8" w:color="004987"/>
            </w:tcBorders>
          </w:tcPr>
          <w:p>
            <w:pPr>
              <w:spacing w:after="0"/>
              <w:rPr>
                <w:sz w:val="17"/>
                <w:szCs w:val="17"/>
                <w:color w:val="auto"/>
              </w:rPr>
            </w:pPr>
          </w:p>
        </w:tc>
        <w:tc>
          <w:tcPr>
            <w:tcW w:w="1360" w:type="dxa"/>
            <w:vAlign w:val="bottom"/>
            <w:tcBorders>
              <w:bottom w:val="single" w:sz="8" w:color="004987"/>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004E7D"/>
              </w:rPr>
              <w:t>Equity Incentive</w:t>
            </w:r>
          </w:p>
        </w:tc>
        <w:tc>
          <w:tcPr>
            <w:tcW w:w="180" w:type="dxa"/>
            <w:vAlign w:val="bottom"/>
          </w:tcPr>
          <w:p>
            <w:pPr>
              <w:spacing w:after="0"/>
              <w:rPr>
                <w:sz w:val="12"/>
                <w:szCs w:val="12"/>
                <w:color w:val="auto"/>
              </w:rPr>
            </w:pPr>
          </w:p>
        </w:tc>
        <w:tc>
          <w:tcPr>
            <w:tcW w:w="1360" w:type="dxa"/>
            <w:vAlign w:val="bottom"/>
          </w:tcPr>
          <w:p>
            <w:pPr>
              <w:jc w:val="center"/>
              <w:spacing w:after="0" w:line="143" w:lineRule="exact"/>
              <w:rPr>
                <w:sz w:val="20"/>
                <w:szCs w:val="20"/>
                <w:color w:val="auto"/>
              </w:rPr>
            </w:pPr>
            <w:r>
              <w:rPr>
                <w:rFonts w:ascii="Arial" w:cs="Arial" w:eastAsia="Arial" w:hAnsi="Arial"/>
                <w:sz w:val="14"/>
                <w:szCs w:val="14"/>
                <w:b w:val="1"/>
                <w:bCs w:val="1"/>
                <w:color w:val="004E7D"/>
              </w:rPr>
              <w:t>Equity Incentive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vMerge w:val="restart"/>
          </w:tcPr>
          <w:p>
            <w:pPr>
              <w:jc w:val="center"/>
              <w:ind w:left="343"/>
              <w:spacing w:after="0"/>
              <w:rPr>
                <w:sz w:val="20"/>
                <w:szCs w:val="20"/>
                <w:color w:val="auto"/>
              </w:rPr>
            </w:pPr>
            <w:r>
              <w:rPr>
                <w:rFonts w:ascii="Arial" w:cs="Arial" w:eastAsia="Arial" w:hAnsi="Arial"/>
                <w:sz w:val="14"/>
                <w:szCs w:val="14"/>
                <w:b w:val="1"/>
                <w:bCs w:val="1"/>
                <w:color w:val="004E7D"/>
              </w:rPr>
              <w:t>Number of</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004E7D"/>
              </w:rPr>
              <w:t>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Market</w:t>
            </w:r>
          </w:p>
        </w:tc>
        <w:tc>
          <w:tcPr>
            <w:tcW w:w="1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Plan 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480" w:type="dxa"/>
            <w:vAlign w:val="bottom"/>
          </w:tcPr>
          <w:p>
            <w:pPr>
              <w:jc w:val="center"/>
              <w:ind w:left="43"/>
              <w:spacing w:after="0" w:line="135" w:lineRule="exact"/>
              <w:rPr>
                <w:sz w:val="20"/>
                <w:szCs w:val="20"/>
                <w:color w:val="auto"/>
              </w:rPr>
            </w:pPr>
            <w:r>
              <w:rPr>
                <w:rFonts w:ascii="Arial" w:cs="Arial" w:eastAsia="Arial" w:hAnsi="Arial"/>
                <w:sz w:val="14"/>
                <w:szCs w:val="14"/>
                <w:b w:val="1"/>
                <w:bCs w:val="1"/>
                <w:color w:val="004E7D"/>
              </w:rPr>
              <w:t>Plan Awards:</w:t>
            </w:r>
          </w:p>
        </w:tc>
        <w:tc>
          <w:tcPr>
            <w:tcW w:w="1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Market or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jc w:val="center"/>
              <w:ind w:left="343"/>
              <w:spacing w:after="0" w:line="149" w:lineRule="exact"/>
              <w:rPr>
                <w:sz w:val="20"/>
                <w:szCs w:val="20"/>
                <w:color w:val="auto"/>
              </w:rPr>
            </w:pPr>
            <w:r>
              <w:rPr>
                <w:rFonts w:ascii="Arial" w:cs="Arial" w:eastAsia="Arial" w:hAnsi="Arial"/>
                <w:sz w:val="14"/>
                <w:szCs w:val="14"/>
                <w:b w:val="1"/>
                <w:bCs w:val="1"/>
                <w:color w:val="004E7D"/>
              </w:rPr>
              <w:t>Securities</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004E7D"/>
              </w:rPr>
              <w:t>Shares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Value of</w:t>
            </w:r>
          </w:p>
        </w:tc>
        <w:tc>
          <w:tcPr>
            <w:tcW w:w="14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004E7D"/>
              </w:rPr>
              <w:t>Number of</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Payout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jc w:val="center"/>
              <w:ind w:left="363"/>
              <w:spacing w:after="0" w:line="149" w:lineRule="exact"/>
              <w:rPr>
                <w:sz w:val="20"/>
                <w:szCs w:val="20"/>
                <w:color w:val="auto"/>
              </w:rPr>
            </w:pPr>
            <w:r>
              <w:rPr>
                <w:rFonts w:ascii="Arial" w:cs="Arial" w:eastAsia="Arial" w:hAnsi="Arial"/>
                <w:sz w:val="14"/>
                <w:szCs w:val="14"/>
                <w:b w:val="1"/>
                <w:bCs w:val="1"/>
                <w:color w:val="004E7D"/>
              </w:rPr>
              <w:t>Underlying</w:t>
            </w:r>
          </w:p>
        </w:tc>
        <w:tc>
          <w:tcPr>
            <w:tcW w:w="540" w:type="dxa"/>
            <w:vAlign w:val="bottom"/>
          </w:tcPr>
          <w:p>
            <w:pPr>
              <w:spacing w:after="0"/>
              <w:rPr>
                <w:sz w:val="12"/>
                <w:szCs w:val="12"/>
                <w:color w:val="auto"/>
              </w:rPr>
            </w:pPr>
          </w:p>
        </w:tc>
        <w:tc>
          <w:tcPr>
            <w:tcW w:w="9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004E7D"/>
              </w:rPr>
              <w:t>Option/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004E7D"/>
              </w:rPr>
              <w:t>Units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Shares or</w:t>
            </w:r>
          </w:p>
        </w:tc>
        <w:tc>
          <w:tcPr>
            <w:tcW w:w="148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004E7D"/>
              </w:rPr>
              <w:t>Unearned</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of Unearned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004E7D"/>
              </w:rPr>
              <w:t>Unexercised</w:t>
            </w:r>
          </w:p>
        </w:tc>
        <w:tc>
          <w:tcPr>
            <w:tcW w:w="900" w:type="dxa"/>
            <w:vAlign w:val="bottom"/>
            <w:vMerge w:val="continue"/>
          </w:tcPr>
          <w:p>
            <w:pPr>
              <w:spacing w:after="0"/>
              <w:rPr>
                <w:sz w:val="11"/>
                <w:szCs w:val="11"/>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04E7D"/>
              </w:rPr>
              <w:t>Option/ SAR</w:t>
            </w:r>
          </w:p>
        </w:tc>
        <w:tc>
          <w:tcPr>
            <w:tcW w:w="1060" w:type="dxa"/>
            <w:vAlign w:val="bottom"/>
          </w:tcPr>
          <w:p>
            <w:pPr>
              <w:jc w:val="center"/>
              <w:ind w:right="23"/>
              <w:spacing w:after="0" w:line="135" w:lineRule="exact"/>
              <w:rPr>
                <w:sz w:val="20"/>
                <w:szCs w:val="20"/>
                <w:color w:val="auto"/>
              </w:rPr>
            </w:pPr>
            <w:r>
              <w:rPr>
                <w:rFonts w:ascii="Arial" w:cs="Arial" w:eastAsia="Arial" w:hAnsi="Arial"/>
                <w:sz w:val="14"/>
                <w:szCs w:val="14"/>
                <w:b w:val="1"/>
                <w:bCs w:val="1"/>
                <w:color w:val="004E7D"/>
              </w:rPr>
              <w:t>Stock</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w w:val="99"/>
              </w:rPr>
              <w:t>Units of</w:t>
            </w:r>
          </w:p>
        </w:tc>
        <w:tc>
          <w:tcPr>
            <w:tcW w:w="1480" w:type="dxa"/>
            <w:vAlign w:val="bottom"/>
          </w:tcPr>
          <w:p>
            <w:pPr>
              <w:jc w:val="center"/>
              <w:ind w:left="43"/>
              <w:spacing w:after="0" w:line="135" w:lineRule="exact"/>
              <w:rPr>
                <w:sz w:val="20"/>
                <w:szCs w:val="20"/>
                <w:color w:val="auto"/>
              </w:rPr>
            </w:pPr>
            <w:r>
              <w:rPr>
                <w:rFonts w:ascii="Arial" w:cs="Arial" w:eastAsia="Arial" w:hAnsi="Arial"/>
                <w:sz w:val="14"/>
                <w:szCs w:val="14"/>
                <w:b w:val="1"/>
                <w:bCs w:val="1"/>
                <w:color w:val="004E7D"/>
              </w:rPr>
              <w:t>Shares, Units</w:t>
            </w:r>
          </w:p>
        </w:tc>
        <w:tc>
          <w:tcPr>
            <w:tcW w:w="1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Shares, Units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004E7D"/>
              </w:rPr>
              <w:t>Options/SARs</w:t>
            </w:r>
          </w:p>
        </w:tc>
        <w:tc>
          <w:tcPr>
            <w:tcW w:w="9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004E7D"/>
              </w:rPr>
              <w:t>SAR</w:t>
            </w:r>
          </w:p>
        </w:tc>
        <w:tc>
          <w:tcPr>
            <w:tcW w:w="1120" w:type="dxa"/>
            <w:vAlign w:val="bottom"/>
            <w:gridSpan w:val="2"/>
            <w:vMerge w:val="continue"/>
          </w:tcPr>
          <w:p>
            <w:pPr>
              <w:spacing w:after="0"/>
              <w:rPr>
                <w:sz w:val="12"/>
                <w:szCs w:val="12"/>
                <w:color w:val="auto"/>
              </w:rPr>
            </w:pPr>
          </w:p>
        </w:tc>
        <w:tc>
          <w:tcPr>
            <w:tcW w:w="10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004E7D"/>
              </w:rPr>
              <w:t>That Have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Stock That</w:t>
            </w:r>
          </w:p>
        </w:tc>
        <w:tc>
          <w:tcPr>
            <w:tcW w:w="14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004E7D"/>
              </w:rPr>
              <w:t>or Other Rights</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or Other Rights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Grant Date</w:t>
            </w:r>
          </w:p>
        </w:tc>
        <w:tc>
          <w:tcPr>
            <w:tcW w:w="1280" w:type="dxa"/>
            <w:vAlign w:val="bottom"/>
          </w:tcPr>
          <w:p>
            <w:pPr>
              <w:spacing w:after="0"/>
              <w:rPr>
                <w:sz w:val="12"/>
                <w:szCs w:val="12"/>
                <w:color w:val="auto"/>
              </w:rPr>
            </w:pPr>
          </w:p>
        </w:tc>
        <w:tc>
          <w:tcPr>
            <w:tcW w:w="1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004E7D"/>
              </w:rPr>
              <w:t>Exercisable/</w:t>
            </w:r>
          </w:p>
        </w:tc>
        <w:tc>
          <w:tcPr>
            <w:tcW w:w="9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004E7D"/>
              </w:rPr>
              <w:t>Exercise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4E7D"/>
              </w:rPr>
              <w:t>Expiration</w:t>
            </w:r>
          </w:p>
        </w:tc>
        <w:tc>
          <w:tcPr>
            <w:tcW w:w="10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004E7D"/>
              </w:rPr>
              <w:t>Not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Have Not</w:t>
            </w:r>
          </w:p>
        </w:tc>
        <w:tc>
          <w:tcPr>
            <w:tcW w:w="14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004E7D"/>
              </w:rPr>
              <w:t>That Have Not</w:t>
            </w: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That Have Not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0" w:type="dxa"/>
            <w:vAlign w:val="bottom"/>
            <w:tcBorders>
              <w:bottom w:val="single" w:sz="8" w:color="004987"/>
            </w:tcBorders>
            <w:vMerge w:val="continue"/>
          </w:tcPr>
          <w:p>
            <w:pPr>
              <w:spacing w:after="0"/>
              <w:rPr>
                <w:sz w:val="17"/>
                <w:szCs w:val="17"/>
                <w:color w:val="auto"/>
              </w:rPr>
            </w:pPr>
          </w:p>
        </w:tc>
        <w:tc>
          <w:tcPr>
            <w:tcW w:w="1280" w:type="dxa"/>
            <w:vAlign w:val="bottom"/>
            <w:tcBorders>
              <w:bottom w:val="single" w:sz="8" w:color="004987"/>
            </w:tcBorders>
          </w:tcPr>
          <w:p>
            <w:pPr>
              <w:spacing w:after="0"/>
              <w:rPr>
                <w:sz w:val="17"/>
                <w:szCs w:val="17"/>
                <w:color w:val="auto"/>
              </w:rPr>
            </w:pPr>
          </w:p>
        </w:tc>
        <w:tc>
          <w:tcPr>
            <w:tcW w:w="1720" w:type="dxa"/>
            <w:vAlign w:val="bottom"/>
            <w:tcBorders>
              <w:bottom w:val="single" w:sz="8" w:color="004987"/>
            </w:tcBorders>
            <w:gridSpan w:val="2"/>
          </w:tcPr>
          <w:p>
            <w:pPr>
              <w:jc w:val="center"/>
              <w:ind w:right="20"/>
              <w:spacing w:after="0"/>
              <w:rPr>
                <w:sz w:val="20"/>
                <w:szCs w:val="20"/>
                <w:color w:val="auto"/>
              </w:rPr>
            </w:pPr>
            <w:r>
              <w:rPr>
                <w:rFonts w:ascii="Arial" w:cs="Arial" w:eastAsia="Arial" w:hAnsi="Arial"/>
                <w:sz w:val="14"/>
                <w:szCs w:val="14"/>
                <w:b w:val="1"/>
                <w:bCs w:val="1"/>
                <w:color w:val="004E7D"/>
              </w:rPr>
              <w:t>Unexercisable</w:t>
            </w:r>
            <w:r>
              <w:rPr>
                <w:rFonts w:ascii="Arial" w:cs="Arial" w:eastAsia="Arial" w:hAnsi="Arial"/>
                <w:sz w:val="16"/>
                <w:szCs w:val="16"/>
                <w:b w:val="1"/>
                <w:bCs w:val="1"/>
                <w:color w:val="004E7D"/>
                <w:vertAlign w:val="superscript"/>
              </w:rPr>
              <w:t>2</w:t>
            </w:r>
          </w:p>
        </w:tc>
        <w:tc>
          <w:tcPr>
            <w:tcW w:w="900" w:type="dxa"/>
            <w:vAlign w:val="bottom"/>
            <w:tcBorders>
              <w:bottom w:val="single" w:sz="8" w:color="004987"/>
            </w:tcBorders>
          </w:tcPr>
          <w:p>
            <w:pPr>
              <w:jc w:val="center"/>
              <w:ind w:right="2"/>
              <w:spacing w:after="0"/>
              <w:rPr>
                <w:sz w:val="20"/>
                <w:szCs w:val="20"/>
                <w:color w:val="auto"/>
              </w:rPr>
            </w:pPr>
            <w:r>
              <w:rPr>
                <w:rFonts w:ascii="Arial" w:cs="Arial" w:eastAsia="Arial" w:hAnsi="Arial"/>
                <w:sz w:val="14"/>
                <w:szCs w:val="14"/>
                <w:b w:val="1"/>
                <w:bCs w:val="1"/>
                <w:color w:val="004E7D"/>
                <w:w w:val="99"/>
              </w:rPr>
              <w:t>Price</w:t>
            </w:r>
          </w:p>
        </w:tc>
        <w:tc>
          <w:tcPr>
            <w:tcW w:w="1120" w:type="dxa"/>
            <w:vAlign w:val="bottom"/>
            <w:tcBorders>
              <w:bottom w:val="single" w:sz="8" w:color="004987"/>
            </w:tcBorders>
            <w:gridSpan w:val="2"/>
          </w:tcPr>
          <w:p>
            <w:pPr>
              <w:jc w:val="center"/>
              <w:ind w:right="80"/>
              <w:spacing w:after="0"/>
              <w:rPr>
                <w:sz w:val="20"/>
                <w:szCs w:val="20"/>
                <w:color w:val="auto"/>
              </w:rPr>
            </w:pPr>
            <w:r>
              <w:rPr>
                <w:rFonts w:ascii="Arial" w:cs="Arial" w:eastAsia="Arial" w:hAnsi="Arial"/>
                <w:sz w:val="14"/>
                <w:szCs w:val="14"/>
                <w:b w:val="1"/>
                <w:bCs w:val="1"/>
                <w:color w:val="004E7D"/>
              </w:rPr>
              <w:t>Date</w:t>
            </w:r>
          </w:p>
        </w:tc>
        <w:tc>
          <w:tcPr>
            <w:tcW w:w="1060" w:type="dxa"/>
            <w:vAlign w:val="bottom"/>
            <w:tcBorders>
              <w:bottom w:val="single" w:sz="8" w:color="004987"/>
            </w:tcBorders>
          </w:tcPr>
          <w:p>
            <w:pPr>
              <w:jc w:val="center"/>
              <w:ind w:right="43"/>
              <w:spacing w:after="0"/>
              <w:rPr>
                <w:sz w:val="20"/>
                <w:szCs w:val="20"/>
                <w:color w:val="auto"/>
              </w:rPr>
            </w:pPr>
            <w:r>
              <w:rPr>
                <w:rFonts w:ascii="Arial" w:cs="Arial" w:eastAsia="Arial" w:hAnsi="Arial"/>
                <w:sz w:val="14"/>
                <w:szCs w:val="14"/>
                <w:b w:val="1"/>
                <w:bCs w:val="1"/>
                <w:color w:val="004E7D"/>
                <w:w w:val="96"/>
              </w:rPr>
              <w:t>Vested</w:t>
            </w:r>
            <w:r>
              <w:rPr>
                <w:rFonts w:ascii="Arial" w:cs="Arial" w:eastAsia="Arial" w:hAnsi="Arial"/>
                <w:sz w:val="16"/>
                <w:szCs w:val="16"/>
                <w:b w:val="1"/>
                <w:bCs w:val="1"/>
                <w:color w:val="004E7D"/>
                <w:w w:val="96"/>
                <w:vertAlign w:val="superscript"/>
              </w:rPr>
              <w:t>3</w:t>
            </w:r>
          </w:p>
        </w:tc>
        <w:tc>
          <w:tcPr>
            <w:tcW w:w="100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Vested</w:t>
            </w:r>
          </w:p>
        </w:tc>
        <w:tc>
          <w:tcPr>
            <w:tcW w:w="1480" w:type="dxa"/>
            <w:vAlign w:val="bottom"/>
            <w:tcBorders>
              <w:bottom w:val="single" w:sz="8" w:color="004987"/>
            </w:tcBorders>
          </w:tcPr>
          <w:p>
            <w:pPr>
              <w:jc w:val="center"/>
              <w:ind w:left="43"/>
              <w:spacing w:after="0"/>
              <w:rPr>
                <w:sz w:val="20"/>
                <w:szCs w:val="20"/>
                <w:color w:val="auto"/>
              </w:rPr>
            </w:pPr>
            <w:r>
              <w:rPr>
                <w:rFonts w:ascii="Arial" w:cs="Arial" w:eastAsia="Arial" w:hAnsi="Arial"/>
                <w:sz w:val="14"/>
                <w:szCs w:val="14"/>
                <w:b w:val="1"/>
                <w:bCs w:val="1"/>
                <w:color w:val="004E7D"/>
              </w:rPr>
              <w:t>Vested (#)</w:t>
            </w:r>
          </w:p>
        </w:tc>
        <w:tc>
          <w:tcPr>
            <w:tcW w:w="180" w:type="dxa"/>
            <w:vAlign w:val="bottom"/>
            <w:tcBorders>
              <w:bottom w:val="single" w:sz="8" w:color="004987"/>
            </w:tcBorders>
          </w:tcPr>
          <w:p>
            <w:pPr>
              <w:spacing w:after="0"/>
              <w:rPr>
                <w:sz w:val="17"/>
                <w:szCs w:val="17"/>
                <w:color w:val="auto"/>
              </w:rPr>
            </w:pPr>
          </w:p>
        </w:tc>
        <w:tc>
          <w:tcPr>
            <w:tcW w:w="136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Vested ($)</w:t>
            </w:r>
          </w:p>
        </w:tc>
        <w:tc>
          <w:tcPr>
            <w:tcW w:w="140" w:type="dxa"/>
            <w:vAlign w:val="bottom"/>
            <w:tcBorders>
              <w:bottom w:val="single" w:sz="8" w:color="004987"/>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6"/>
                <w:szCs w:val="16"/>
                <w:b w:val="1"/>
                <w:bCs w:val="1"/>
                <w:color w:val="004E7D"/>
              </w:rPr>
              <w:t>J. Marbert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 xml:space="preserve">Performance </w:t>
            </w:r>
            <w:r>
              <w:rPr>
                <w:rFonts w:ascii="Arial" w:cs="Arial" w:eastAsia="Arial" w:hAnsi="Arial"/>
                <w:sz w:val="16"/>
                <w:szCs w:val="16"/>
                <w:color w:val="auto"/>
                <w:vertAlign w:val="superscript"/>
              </w:rPr>
              <w:t>4</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vMerge w:val="restart"/>
          </w:tcPr>
          <w:p>
            <w:pPr>
              <w:jc w:val="right"/>
              <w:ind w:right="56"/>
              <w:spacing w:after="0"/>
              <w:rPr>
                <w:sz w:val="20"/>
                <w:szCs w:val="20"/>
                <w:color w:val="auto"/>
              </w:rPr>
            </w:pPr>
            <w:r>
              <w:rPr>
                <w:rFonts w:ascii="Arial" w:cs="Arial" w:eastAsia="Arial" w:hAnsi="Arial"/>
                <w:sz w:val="9"/>
                <w:szCs w:val="9"/>
                <w:color w:val="auto"/>
              </w:rPr>
              <w:t>4</w:t>
            </w:r>
          </w:p>
        </w:tc>
        <w:tc>
          <w:tcPr>
            <w:tcW w:w="1360" w:type="dxa"/>
            <w:vAlign w:val="bottom"/>
          </w:tcPr>
          <w:p>
            <w:pPr>
              <w:spacing w:after="0"/>
              <w:rPr>
                <w:sz w:val="18"/>
                <w:szCs w:val="18"/>
                <w:color w:val="auto"/>
              </w:rPr>
            </w:pPr>
          </w:p>
        </w:tc>
        <w:tc>
          <w:tcPr>
            <w:tcW w:w="140" w:type="dxa"/>
            <w:vAlign w:val="bottom"/>
            <w:vMerge w:val="restart"/>
          </w:tcPr>
          <w:p>
            <w:pPr>
              <w:jc w:val="right"/>
              <w:ind w:right="36"/>
              <w:spacing w:after="0"/>
              <w:rPr>
                <w:sz w:val="20"/>
                <w:szCs w:val="20"/>
                <w:color w:val="auto"/>
              </w:rPr>
            </w:pPr>
            <w:r>
              <w:rPr>
                <w:rFonts w:ascii="Arial" w:cs="Arial" w:eastAsia="Arial" w:hAnsi="Arial"/>
                <w:sz w:val="9"/>
                <w:szCs w:val="9"/>
                <w:color w:val="auto"/>
                <w:w w:val="78"/>
              </w:rPr>
              <w:t>5</w:t>
            </w:r>
          </w:p>
        </w:tc>
        <w:tc>
          <w:tcPr>
            <w:tcW w:w="0" w:type="dxa"/>
            <w:vAlign w:val="bottom"/>
          </w:tcPr>
          <w:p>
            <w:pPr>
              <w:spacing w:after="0"/>
              <w:rPr>
                <w:sz w:val="1"/>
                <w:szCs w:val="1"/>
                <w:color w:val="auto"/>
              </w:rPr>
            </w:pPr>
          </w:p>
        </w:tc>
      </w:tr>
      <w:tr>
        <w:trPr>
          <w:trHeight w:val="215"/>
        </w:trPr>
        <w:tc>
          <w:tcPr>
            <w:tcW w:w="1060" w:type="dxa"/>
            <w:vAlign w:val="bottom"/>
            <w:gridSpan w:val="2"/>
          </w:tcPr>
          <w:p>
            <w:pPr>
              <w:jc w:val="right"/>
              <w:ind w:right="104"/>
              <w:spacing w:after="0"/>
              <w:rPr>
                <w:sz w:val="20"/>
                <w:szCs w:val="20"/>
                <w:color w:val="auto"/>
              </w:rPr>
            </w:pPr>
            <w:r>
              <w:rPr>
                <w:rFonts w:ascii="Arial" w:cs="Arial" w:eastAsia="Arial" w:hAnsi="Arial"/>
                <w:sz w:val="16"/>
                <w:szCs w:val="16"/>
                <w:color w:val="auto"/>
              </w:rPr>
              <w:t>2/28/2022</w:t>
            </w:r>
          </w:p>
        </w:tc>
        <w:tc>
          <w:tcPr>
            <w:tcW w:w="1280" w:type="dxa"/>
            <w:vAlign w:val="bottom"/>
            <w:vMerge w:val="continue"/>
          </w:tcPr>
          <w:p>
            <w:pPr>
              <w:spacing w:after="0"/>
              <w:rPr>
                <w:sz w:val="18"/>
                <w:szCs w:val="18"/>
                <w:color w:val="auto"/>
              </w:rPr>
            </w:pP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6,574</w:t>
            </w:r>
          </w:p>
        </w:tc>
        <w:tc>
          <w:tcPr>
            <w:tcW w:w="1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884,795</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w w:val="99"/>
              </w:rPr>
              <w:t>3/4/2019</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SARs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6,620</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2,207</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100.52</w:t>
            </w:r>
          </w:p>
        </w:tc>
        <w:tc>
          <w:tcPr>
            <w:tcW w:w="1000" w:type="dxa"/>
            <w:vAlign w:val="bottom"/>
          </w:tcPr>
          <w:p>
            <w:pPr>
              <w:jc w:val="right"/>
              <w:spacing w:after="0"/>
              <w:rPr>
                <w:sz w:val="20"/>
                <w:szCs w:val="20"/>
                <w:color w:val="auto"/>
              </w:rPr>
            </w:pPr>
            <w:r>
              <w:rPr>
                <w:rFonts w:ascii="Arial" w:cs="Arial" w:eastAsia="Arial" w:hAnsi="Arial"/>
                <w:sz w:val="16"/>
                <w:szCs w:val="16"/>
                <w:color w:val="auto"/>
              </w:rPr>
              <w:t>3/4/2029</w:t>
            </w:r>
          </w:p>
        </w:tc>
        <w:tc>
          <w:tcPr>
            <w:tcW w:w="12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w w:val="99"/>
              </w:rPr>
              <w:t>3/2/2020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SARs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4,556</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4,556</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96.82</w:t>
            </w:r>
          </w:p>
        </w:tc>
        <w:tc>
          <w:tcPr>
            <w:tcW w:w="1000" w:type="dxa"/>
            <w:vAlign w:val="bottom"/>
          </w:tcPr>
          <w:p>
            <w:pPr>
              <w:jc w:val="right"/>
              <w:spacing w:after="0"/>
              <w:rPr>
                <w:sz w:val="20"/>
                <w:szCs w:val="20"/>
                <w:color w:val="auto"/>
              </w:rPr>
            </w:pPr>
            <w:r>
              <w:rPr>
                <w:rFonts w:ascii="Arial" w:cs="Arial" w:eastAsia="Arial" w:hAnsi="Arial"/>
                <w:sz w:val="16"/>
                <w:szCs w:val="16"/>
                <w:color w:val="auto"/>
              </w:rPr>
              <w:t>3/2/2030</w:t>
            </w:r>
          </w:p>
        </w:tc>
        <w:tc>
          <w:tcPr>
            <w:tcW w:w="12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w w:val="99"/>
              </w:rPr>
              <w:t>3/1/2021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SARs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1,769</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5,307</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173.88</w:t>
            </w:r>
          </w:p>
        </w:tc>
        <w:tc>
          <w:tcPr>
            <w:tcW w:w="1000" w:type="dxa"/>
            <w:vAlign w:val="bottom"/>
          </w:tcPr>
          <w:p>
            <w:pPr>
              <w:jc w:val="right"/>
              <w:spacing w:after="0"/>
              <w:rPr>
                <w:sz w:val="20"/>
                <w:szCs w:val="20"/>
                <w:color w:val="auto"/>
              </w:rPr>
            </w:pPr>
            <w:r>
              <w:rPr>
                <w:rFonts w:ascii="Arial" w:cs="Arial" w:eastAsia="Arial" w:hAnsi="Arial"/>
                <w:sz w:val="16"/>
                <w:szCs w:val="16"/>
                <w:color w:val="auto"/>
              </w:rPr>
              <w:t>3/1/2031</w:t>
            </w:r>
          </w:p>
        </w:tc>
        <w:tc>
          <w:tcPr>
            <w:tcW w:w="12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84"/>
              <w:spacing w:after="0"/>
              <w:rPr>
                <w:sz w:val="20"/>
                <w:szCs w:val="20"/>
                <w:color w:val="auto"/>
              </w:rPr>
            </w:pPr>
            <w:r>
              <w:rPr>
                <w:rFonts w:ascii="Arial" w:cs="Arial" w:eastAsia="Arial" w:hAnsi="Arial"/>
                <w:sz w:val="16"/>
                <w:szCs w:val="16"/>
                <w:color w:val="auto"/>
              </w:rPr>
              <w:t>2/28/2022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SARs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5,027</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159.27</w:t>
            </w:r>
          </w:p>
        </w:tc>
        <w:tc>
          <w:tcPr>
            <w:tcW w:w="1000" w:type="dxa"/>
            <w:vAlign w:val="bottom"/>
          </w:tcPr>
          <w:p>
            <w:pPr>
              <w:jc w:val="right"/>
              <w:spacing w:after="0"/>
              <w:rPr>
                <w:sz w:val="20"/>
                <w:szCs w:val="20"/>
                <w:color w:val="auto"/>
              </w:rPr>
            </w:pPr>
            <w:r>
              <w:rPr>
                <w:rFonts w:ascii="Arial" w:cs="Arial" w:eastAsia="Arial" w:hAnsi="Arial"/>
                <w:sz w:val="16"/>
                <w:szCs w:val="16"/>
                <w:color w:val="auto"/>
              </w:rPr>
              <w:t>2/28/2032</w:t>
            </w:r>
          </w:p>
        </w:tc>
        <w:tc>
          <w:tcPr>
            <w:tcW w:w="12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w w:val="99"/>
              </w:rPr>
              <w:t>3/4/2019</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RSUs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549</w:t>
            </w:r>
          </w:p>
        </w:tc>
        <w:tc>
          <w:tcPr>
            <w:tcW w:w="1000" w:type="dxa"/>
            <w:vAlign w:val="bottom"/>
          </w:tcPr>
          <w:p>
            <w:pPr>
              <w:jc w:val="right"/>
              <w:spacing w:after="0"/>
              <w:rPr>
                <w:sz w:val="20"/>
                <w:szCs w:val="20"/>
                <w:color w:val="auto"/>
              </w:rPr>
            </w:pPr>
            <w:r>
              <w:rPr>
                <w:rFonts w:ascii="Arial" w:cs="Arial" w:eastAsia="Arial" w:hAnsi="Arial"/>
                <w:sz w:val="16"/>
                <w:szCs w:val="16"/>
                <w:color w:val="auto"/>
              </w:rPr>
              <w:t>73,890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w w:val="99"/>
              </w:rPr>
              <w:t>3/2/2020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RSUs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980</w:t>
            </w:r>
          </w:p>
        </w:tc>
        <w:tc>
          <w:tcPr>
            <w:tcW w:w="1000" w:type="dxa"/>
            <w:vAlign w:val="bottom"/>
          </w:tcPr>
          <w:p>
            <w:pPr>
              <w:jc w:val="right"/>
              <w:spacing w:after="0"/>
              <w:rPr>
                <w:sz w:val="20"/>
                <w:szCs w:val="20"/>
                <w:color w:val="auto"/>
              </w:rPr>
            </w:pPr>
            <w:r>
              <w:rPr>
                <w:rFonts w:ascii="Arial" w:cs="Arial" w:eastAsia="Arial" w:hAnsi="Arial"/>
                <w:sz w:val="16"/>
                <w:szCs w:val="16"/>
                <w:color w:val="auto"/>
              </w:rPr>
              <w:t>131,898</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w w:val="99"/>
              </w:rPr>
              <w:t>3/1/2021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RSUs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2,217</w:t>
            </w:r>
          </w:p>
        </w:tc>
        <w:tc>
          <w:tcPr>
            <w:tcW w:w="1000" w:type="dxa"/>
            <w:vAlign w:val="bottom"/>
          </w:tcPr>
          <w:p>
            <w:pPr>
              <w:jc w:val="right"/>
              <w:spacing w:after="0"/>
              <w:rPr>
                <w:sz w:val="20"/>
                <w:szCs w:val="20"/>
                <w:color w:val="auto"/>
              </w:rPr>
            </w:pPr>
            <w:r>
              <w:rPr>
                <w:rFonts w:ascii="Arial" w:cs="Arial" w:eastAsia="Arial" w:hAnsi="Arial"/>
                <w:sz w:val="16"/>
                <w:szCs w:val="16"/>
                <w:color w:val="auto"/>
              </w:rPr>
              <w:t>298,386</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64"/>
              <w:spacing w:after="0"/>
              <w:rPr>
                <w:sz w:val="20"/>
                <w:szCs w:val="20"/>
                <w:color w:val="auto"/>
              </w:rPr>
            </w:pPr>
            <w:r>
              <w:rPr>
                <w:rFonts w:ascii="Arial" w:cs="Arial" w:eastAsia="Arial" w:hAnsi="Arial"/>
                <w:sz w:val="16"/>
                <w:szCs w:val="16"/>
                <w:color w:val="auto"/>
              </w:rPr>
              <w:t>12/15/2021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RSUs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3,430</w:t>
            </w:r>
          </w:p>
        </w:tc>
        <w:tc>
          <w:tcPr>
            <w:tcW w:w="1000" w:type="dxa"/>
            <w:vAlign w:val="bottom"/>
          </w:tcPr>
          <w:p>
            <w:pPr>
              <w:jc w:val="right"/>
              <w:spacing w:after="0"/>
              <w:rPr>
                <w:sz w:val="20"/>
                <w:szCs w:val="20"/>
                <w:color w:val="auto"/>
              </w:rPr>
            </w:pPr>
            <w:r>
              <w:rPr>
                <w:rFonts w:ascii="Arial" w:cs="Arial" w:eastAsia="Arial" w:hAnsi="Arial"/>
                <w:sz w:val="16"/>
                <w:szCs w:val="16"/>
                <w:color w:val="auto"/>
              </w:rPr>
              <w:t>461,644</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gridSpan w:val="2"/>
          </w:tcPr>
          <w:p>
            <w:pPr>
              <w:jc w:val="center"/>
              <w:ind w:right="184"/>
              <w:spacing w:after="0"/>
              <w:rPr>
                <w:sz w:val="20"/>
                <w:szCs w:val="20"/>
                <w:color w:val="auto"/>
              </w:rPr>
            </w:pPr>
            <w:r>
              <w:rPr>
                <w:rFonts w:ascii="Arial" w:cs="Arial" w:eastAsia="Arial" w:hAnsi="Arial"/>
                <w:sz w:val="16"/>
                <w:szCs w:val="16"/>
                <w:color w:val="auto"/>
              </w:rPr>
              <w:t>2/28/2022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VAC RSUs</w:t>
            </w: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1,305</w:t>
            </w:r>
          </w:p>
        </w:tc>
        <w:tc>
          <w:tcPr>
            <w:tcW w:w="1000" w:type="dxa"/>
            <w:vAlign w:val="bottom"/>
          </w:tcPr>
          <w:p>
            <w:pPr>
              <w:jc w:val="right"/>
              <w:spacing w:after="0"/>
              <w:rPr>
                <w:sz w:val="20"/>
                <w:szCs w:val="20"/>
                <w:color w:val="auto"/>
              </w:rPr>
            </w:pPr>
            <w:r>
              <w:rPr>
                <w:rFonts w:ascii="Arial" w:cs="Arial" w:eastAsia="Arial" w:hAnsi="Arial"/>
                <w:sz w:val="16"/>
                <w:szCs w:val="16"/>
                <w:color w:val="auto"/>
              </w:rPr>
              <w:t>175,640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4987"/>
          </w:tcPr>
          <w:p>
            <w:pPr>
              <w:spacing w:after="0" w:line="20" w:lineRule="exact"/>
              <w:rPr>
                <w:sz w:val="1"/>
                <w:szCs w:val="1"/>
                <w:color w:val="auto"/>
              </w:rPr>
            </w:pPr>
          </w:p>
        </w:tc>
        <w:tc>
          <w:tcPr>
            <w:tcW w:w="1280" w:type="dxa"/>
            <w:vAlign w:val="bottom"/>
            <w:shd w:val="clear" w:color="auto" w:fill="004987"/>
          </w:tcPr>
          <w:p>
            <w:pPr>
              <w:spacing w:after="0" w:line="20" w:lineRule="exact"/>
              <w:rPr>
                <w:sz w:val="1"/>
                <w:szCs w:val="1"/>
                <w:color w:val="auto"/>
              </w:rPr>
            </w:pPr>
          </w:p>
        </w:tc>
        <w:tc>
          <w:tcPr>
            <w:tcW w:w="1180" w:type="dxa"/>
            <w:vAlign w:val="bottom"/>
            <w:shd w:val="clear" w:color="auto" w:fill="004987"/>
          </w:tcPr>
          <w:p>
            <w:pPr>
              <w:spacing w:after="0" w:line="20" w:lineRule="exact"/>
              <w:rPr>
                <w:sz w:val="1"/>
                <w:szCs w:val="1"/>
                <w:color w:val="auto"/>
              </w:rPr>
            </w:pPr>
          </w:p>
        </w:tc>
        <w:tc>
          <w:tcPr>
            <w:tcW w:w="540" w:type="dxa"/>
            <w:vAlign w:val="bottom"/>
            <w:shd w:val="clear" w:color="auto" w:fill="004987"/>
          </w:tcPr>
          <w:p>
            <w:pPr>
              <w:spacing w:after="0" w:line="20" w:lineRule="exact"/>
              <w:rPr>
                <w:sz w:val="1"/>
                <w:szCs w:val="1"/>
                <w:color w:val="auto"/>
              </w:rPr>
            </w:pPr>
          </w:p>
        </w:tc>
        <w:tc>
          <w:tcPr>
            <w:tcW w:w="900" w:type="dxa"/>
            <w:vAlign w:val="bottom"/>
            <w:shd w:val="clear" w:color="auto" w:fill="004987"/>
          </w:tcPr>
          <w:p>
            <w:pPr>
              <w:spacing w:after="0" w:line="20" w:lineRule="exact"/>
              <w:rPr>
                <w:sz w:val="1"/>
                <w:szCs w:val="1"/>
                <w:color w:val="auto"/>
              </w:rPr>
            </w:pPr>
          </w:p>
        </w:tc>
        <w:tc>
          <w:tcPr>
            <w:tcW w:w="1000" w:type="dxa"/>
            <w:vAlign w:val="bottom"/>
            <w:shd w:val="clear" w:color="auto" w:fill="004987"/>
          </w:tcPr>
          <w:p>
            <w:pPr>
              <w:spacing w:after="0" w:line="20" w:lineRule="exact"/>
              <w:rPr>
                <w:sz w:val="1"/>
                <w:szCs w:val="1"/>
                <w:color w:val="auto"/>
              </w:rPr>
            </w:pPr>
          </w:p>
        </w:tc>
        <w:tc>
          <w:tcPr>
            <w:tcW w:w="120" w:type="dxa"/>
            <w:vAlign w:val="bottom"/>
            <w:shd w:val="clear" w:color="auto" w:fill="004987"/>
          </w:tcPr>
          <w:p>
            <w:pPr>
              <w:spacing w:after="0" w:line="20" w:lineRule="exact"/>
              <w:rPr>
                <w:sz w:val="1"/>
                <w:szCs w:val="1"/>
                <w:color w:val="auto"/>
              </w:rPr>
            </w:pPr>
          </w:p>
        </w:tc>
        <w:tc>
          <w:tcPr>
            <w:tcW w:w="1060" w:type="dxa"/>
            <w:vAlign w:val="bottom"/>
            <w:shd w:val="clear" w:color="auto" w:fill="004987"/>
          </w:tcPr>
          <w:p>
            <w:pPr>
              <w:spacing w:after="0" w:line="20" w:lineRule="exact"/>
              <w:rPr>
                <w:sz w:val="1"/>
                <w:szCs w:val="1"/>
                <w:color w:val="auto"/>
              </w:rPr>
            </w:pPr>
          </w:p>
        </w:tc>
        <w:tc>
          <w:tcPr>
            <w:tcW w:w="1000" w:type="dxa"/>
            <w:vAlign w:val="bottom"/>
            <w:shd w:val="clear" w:color="auto" w:fill="004987"/>
          </w:tcPr>
          <w:p>
            <w:pPr>
              <w:spacing w:after="0" w:line="20" w:lineRule="exact"/>
              <w:rPr>
                <w:sz w:val="1"/>
                <w:szCs w:val="1"/>
                <w:color w:val="auto"/>
              </w:rPr>
            </w:pPr>
          </w:p>
        </w:tc>
        <w:tc>
          <w:tcPr>
            <w:tcW w:w="1480" w:type="dxa"/>
            <w:vAlign w:val="bottom"/>
            <w:shd w:val="clear" w:color="auto" w:fill="004987"/>
          </w:tcPr>
          <w:p>
            <w:pPr>
              <w:spacing w:after="0" w:line="20" w:lineRule="exact"/>
              <w:rPr>
                <w:sz w:val="1"/>
                <w:szCs w:val="1"/>
                <w:color w:val="auto"/>
              </w:rPr>
            </w:pPr>
          </w:p>
        </w:tc>
        <w:tc>
          <w:tcPr>
            <w:tcW w:w="180" w:type="dxa"/>
            <w:vAlign w:val="bottom"/>
            <w:shd w:val="clear" w:color="auto" w:fill="004987"/>
          </w:tcPr>
          <w:p>
            <w:pPr>
              <w:spacing w:after="0" w:line="20" w:lineRule="exact"/>
              <w:rPr>
                <w:sz w:val="1"/>
                <w:szCs w:val="1"/>
                <w:color w:val="auto"/>
              </w:rPr>
            </w:pPr>
          </w:p>
        </w:tc>
        <w:tc>
          <w:tcPr>
            <w:tcW w:w="1360" w:type="dxa"/>
            <w:vAlign w:val="bottom"/>
            <w:shd w:val="clear" w:color="auto" w:fill="004987"/>
          </w:tcPr>
          <w:p>
            <w:pPr>
              <w:spacing w:after="0" w:line="20" w:lineRule="exact"/>
              <w:rPr>
                <w:sz w:val="1"/>
                <w:szCs w:val="1"/>
                <w:color w:val="auto"/>
              </w:rPr>
            </w:pPr>
          </w:p>
        </w:tc>
        <w:tc>
          <w:tcPr>
            <w:tcW w:w="140" w:type="dxa"/>
            <w:vAlign w:val="bottom"/>
            <w:shd w:val="clear" w:color="auto" w:fill="00498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right="40" w:hanging="212"/>
        <w:spacing w:after="0"/>
        <w:tabs>
          <w:tab w:leader="none" w:pos="343"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“Performance,” “SARs” and “RSUs” refer to Performance Units, SARs and RSUs, respectively, granted under the 2020 Equity Plan with respect to equity awards granted after March 2020. Prior grants were awarded under the Marriott Vacations Worldwide Corporation Amended and Restated Stock and Cash Incentive Plan, and in the case of Ms. Marbert, grants awarded in 2019 and prior were under the Interval Leisure Group, Inc. 2013 Stock and Incentive Compensation Plan.</w:t>
      </w:r>
    </w:p>
    <w:p>
      <w:pPr>
        <w:spacing w:after="0" w:line="57" w:lineRule="exact"/>
        <w:rPr>
          <w:sz w:val="20"/>
          <w:szCs w:val="20"/>
          <w:color w:val="auto"/>
        </w:rPr>
      </w:pPr>
    </w:p>
    <w:p>
      <w:pPr>
        <w:ind w:left="360" w:hanging="292"/>
        <w:spacing w:after="0"/>
        <w:tabs>
          <w:tab w:leader="none" w:pos="360" w:val="left"/>
        </w:tabs>
        <w:numPr>
          <w:ilvl w:val="0"/>
          <w:numId w:val="66"/>
        </w:numPr>
        <w:rPr>
          <w:rFonts w:ascii="Arial" w:cs="Arial" w:eastAsia="Arial" w:hAnsi="Arial"/>
          <w:sz w:val="21"/>
          <w:szCs w:val="21"/>
          <w:color w:val="auto"/>
          <w:vertAlign w:val="superscript"/>
        </w:rPr>
      </w:pPr>
      <w:r>
        <w:rPr>
          <w:rFonts w:ascii="Arial" w:cs="Arial" w:eastAsia="Arial" w:hAnsi="Arial"/>
          <w:sz w:val="16"/>
          <w:szCs w:val="16"/>
          <w:color w:val="auto"/>
        </w:rPr>
        <w:t>SARs vest and become exercisable in four equal annual increments beginning on the February 15th following the grant date.</w:t>
      </w:r>
    </w:p>
    <w:p>
      <w:pPr>
        <w:spacing w:after="0" w:line="96" w:lineRule="exact"/>
        <w:rPr>
          <w:sz w:val="20"/>
          <w:szCs w:val="20"/>
          <w:color w:val="auto"/>
        </w:rPr>
      </w:pPr>
    </w:p>
    <w:p>
      <w:pPr>
        <w:ind w:left="280" w:right="140" w:hanging="212"/>
        <w:spacing w:after="0" w:line="233" w:lineRule="auto"/>
        <w:tabs>
          <w:tab w:leader="none" w:pos="343"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RSUs vest in four equal annual increments beginning on the February 15th following the grant date, however, RSUs granted on November 9, 2020 and December 15, 2021 are subject to a three-year cliff vesting, and the RSUs granted to Mr. Terry on November 16, 2021 vest over four years in equal annual increments beginning on the November 15th following the grant date.</w:t>
      </w:r>
    </w:p>
    <w:p>
      <w:pPr>
        <w:spacing w:after="0" w:line="97" w:lineRule="exact"/>
        <w:rPr>
          <w:sz w:val="20"/>
          <w:szCs w:val="20"/>
          <w:color w:val="auto"/>
        </w:rPr>
      </w:pPr>
    </w:p>
    <w:p>
      <w:pPr>
        <w:ind w:left="280" w:right="20" w:hanging="212"/>
        <w:spacing w:after="0" w:line="244" w:lineRule="auto"/>
        <w:tabs>
          <w:tab w:leader="none" w:pos="343"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With respect to Performance Units granted on February 28, 2022, the number of shares that the named executive officer will receive will be determined after the end of the performance period on December 31, 2024 and will be based upon the achievement of specified levels of performance during that performance period, as modified. Number of shares shown represents the number of shares of our common stock that can be issued after the end of the performance period on December 31, 2024, based on maximum level of achievement with respect to certain performance targets discussed above. The number of shares of our common stock that can be issued ranges from 0 shares to 41,416 shares for Mr. Weisz (20,708 shares for performance at target level), 13,148 shares for Mr. Geller (6,574 shares for performance at target level), 6,574 shares for Mr. Terry (3,287 shares for performance at target level), 7,888 shares for Mr. Miller (3,944 shares for performance at target level), and 6,574 shares for Ms. Marbert (3,287 shares for performance at target level).</w:t>
      </w:r>
    </w:p>
    <w:p>
      <w:pPr>
        <w:spacing w:after="0" w:line="293" w:lineRule="exact"/>
        <w:rPr>
          <w:sz w:val="20"/>
          <w:szCs w:val="20"/>
          <w:color w:val="auto"/>
        </w:rPr>
      </w:pPr>
    </w:p>
    <w:p>
      <w:pPr>
        <w:ind w:left="280" w:hanging="212"/>
        <w:spacing w:after="0" w:line="246" w:lineRule="auto"/>
        <w:tabs>
          <w:tab w:leader="none" w:pos="343"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Calculated by multiplying $134.59, the closing market price of our common stock on December 31, 2022, by the number of Performance Units granted, assuming achievement at the maximum level of performance. The market value of the shares of our common stock that can be issued on the vesting date, based on the Company’s achievement of certain performance targets discussed above, ranges from $0 (if the minimum number of shares, 0 shares, were to be received) to $5,574,179 for Mr. Weisz ($2,787,090 for performance at target level), $1,769,589 for Mr. Geller ($884,795 for performance at target level), $884,795 for Mr. Terry ($442,397 for performance at target level), $1,061,646 for Mr. Miller ($530,823 for performance at target level), and $884,795 for Ms. Marbert ($442,397 for performance at target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46</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260" w:top="1075"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Option Exercises and Stock Vested During Fiscal Year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about option and SAR exercises and vesting of Performance Units and RSUs during fiscal year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3560" w:type="dxa"/>
            <w:vAlign w:val="bottom"/>
            <w:tcBorders>
              <w:bottom w:val="single" w:sz="8" w:color="004987"/>
            </w:tcBorders>
            <w:gridSpan w:val="3"/>
          </w:tcPr>
          <w:p>
            <w:pPr>
              <w:ind w:left="1140"/>
              <w:spacing w:after="0"/>
              <w:rPr>
                <w:sz w:val="20"/>
                <w:szCs w:val="20"/>
                <w:color w:val="auto"/>
              </w:rPr>
            </w:pPr>
            <w:r>
              <w:rPr>
                <w:rFonts w:ascii="Arial" w:cs="Arial" w:eastAsia="Arial" w:hAnsi="Arial"/>
                <w:sz w:val="14"/>
                <w:szCs w:val="14"/>
                <w:color w:val="004E7D"/>
              </w:rPr>
              <w:t>Option/SAR Awards</w:t>
            </w:r>
          </w:p>
        </w:tc>
        <w:tc>
          <w:tcPr>
            <w:tcW w:w="320" w:type="dxa"/>
            <w:vAlign w:val="bottom"/>
          </w:tcPr>
          <w:p>
            <w:pPr>
              <w:spacing w:after="0"/>
              <w:rPr>
                <w:sz w:val="16"/>
                <w:szCs w:val="16"/>
                <w:color w:val="auto"/>
              </w:rPr>
            </w:pPr>
          </w:p>
        </w:tc>
        <w:tc>
          <w:tcPr>
            <w:tcW w:w="2260" w:type="dxa"/>
            <w:vAlign w:val="bottom"/>
            <w:tcBorders>
              <w:bottom w:val="single" w:sz="8" w:color="004987"/>
            </w:tcBorders>
            <w:gridSpan w:val="2"/>
          </w:tcPr>
          <w:p>
            <w:pPr>
              <w:jc w:val="right"/>
              <w:spacing w:after="0"/>
              <w:rPr>
                <w:sz w:val="20"/>
                <w:szCs w:val="20"/>
                <w:color w:val="auto"/>
              </w:rPr>
            </w:pPr>
            <w:r>
              <w:rPr>
                <w:rFonts w:ascii="Arial" w:cs="Arial" w:eastAsia="Arial" w:hAnsi="Arial"/>
                <w:sz w:val="14"/>
                <w:szCs w:val="14"/>
                <w:color w:val="004E7D"/>
              </w:rPr>
              <w:t>Stock Awards</w:t>
            </w:r>
          </w:p>
        </w:tc>
        <w:tc>
          <w:tcPr>
            <w:tcW w:w="1220" w:type="dxa"/>
            <w:vAlign w:val="bottom"/>
            <w:tcBorders>
              <w:bottom w:val="single" w:sz="8" w:color="004987"/>
            </w:tcBorders>
          </w:tcPr>
          <w:p>
            <w:pPr>
              <w:spacing w:after="0"/>
              <w:rPr>
                <w:sz w:val="16"/>
                <w:szCs w:val="16"/>
                <w:color w:val="auto"/>
              </w:rPr>
            </w:pPr>
          </w:p>
        </w:tc>
      </w:tr>
      <w:tr>
        <w:trPr>
          <w:trHeight w:val="173"/>
        </w:trPr>
        <w:tc>
          <w:tcPr>
            <w:tcW w:w="3880" w:type="dxa"/>
            <w:vAlign w:val="bottom"/>
          </w:tcPr>
          <w:p>
            <w:pPr>
              <w:spacing w:after="0"/>
              <w:rPr>
                <w:sz w:val="15"/>
                <w:szCs w:val="15"/>
                <w:color w:val="auto"/>
              </w:rPr>
            </w:pPr>
          </w:p>
        </w:tc>
        <w:tc>
          <w:tcPr>
            <w:tcW w:w="1900" w:type="dxa"/>
            <w:vAlign w:val="bottom"/>
          </w:tcPr>
          <w:p>
            <w:pPr>
              <w:ind w:left="280"/>
              <w:spacing w:after="0"/>
              <w:rPr>
                <w:sz w:val="20"/>
                <w:szCs w:val="20"/>
                <w:color w:val="auto"/>
              </w:rPr>
            </w:pPr>
            <w:r>
              <w:rPr>
                <w:rFonts w:ascii="Arial" w:cs="Arial" w:eastAsia="Arial" w:hAnsi="Arial"/>
                <w:sz w:val="14"/>
                <w:szCs w:val="14"/>
                <w:color w:val="004E7D"/>
              </w:rPr>
              <w:t>Number of Shares</w:t>
            </w:r>
          </w:p>
        </w:tc>
        <w:tc>
          <w:tcPr>
            <w:tcW w:w="44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004E7D"/>
              </w:rPr>
              <w:t>Value Realized</w:t>
            </w:r>
          </w:p>
        </w:tc>
        <w:tc>
          <w:tcPr>
            <w:tcW w:w="1820" w:type="dxa"/>
            <w:vAlign w:val="bottom"/>
          </w:tcPr>
          <w:p>
            <w:pPr>
              <w:jc w:val="right"/>
              <w:ind w:right="322"/>
              <w:spacing w:after="0"/>
              <w:rPr>
                <w:sz w:val="20"/>
                <w:szCs w:val="20"/>
                <w:color w:val="auto"/>
              </w:rPr>
            </w:pPr>
            <w:r>
              <w:rPr>
                <w:rFonts w:ascii="Arial" w:cs="Arial" w:eastAsia="Arial" w:hAnsi="Arial"/>
                <w:sz w:val="14"/>
                <w:szCs w:val="14"/>
                <w:color w:val="004E7D"/>
              </w:rPr>
              <w:t>Number of Shares</w:t>
            </w:r>
          </w:p>
        </w:tc>
        <w:tc>
          <w:tcPr>
            <w:tcW w:w="440" w:type="dxa"/>
            <w:vAlign w:val="bottom"/>
          </w:tcPr>
          <w:p>
            <w:pPr>
              <w:spacing w:after="0"/>
              <w:rPr>
                <w:sz w:val="15"/>
                <w:szCs w:val="15"/>
                <w:color w:val="auto"/>
              </w:rPr>
            </w:pPr>
          </w:p>
        </w:tc>
        <w:tc>
          <w:tcPr>
            <w:tcW w:w="1220" w:type="dxa"/>
            <w:vAlign w:val="bottom"/>
          </w:tcPr>
          <w:p>
            <w:pPr>
              <w:jc w:val="right"/>
              <w:ind w:right="182"/>
              <w:spacing w:after="0"/>
              <w:rPr>
                <w:sz w:val="20"/>
                <w:szCs w:val="20"/>
                <w:color w:val="auto"/>
              </w:rPr>
            </w:pPr>
            <w:r>
              <w:rPr>
                <w:rFonts w:ascii="Arial" w:cs="Arial" w:eastAsia="Arial" w:hAnsi="Arial"/>
                <w:sz w:val="14"/>
                <w:szCs w:val="14"/>
                <w:color w:val="004E7D"/>
                <w:w w:val="99"/>
              </w:rPr>
              <w:t>Value Realized</w:t>
            </w:r>
          </w:p>
        </w:tc>
      </w:tr>
      <w:tr>
        <w:trPr>
          <w:trHeight w:val="196"/>
        </w:trPr>
        <w:tc>
          <w:tcPr>
            <w:tcW w:w="3880" w:type="dxa"/>
            <w:vAlign w:val="bottom"/>
            <w:tcBorders>
              <w:bottom w:val="single" w:sz="8" w:color="004987"/>
            </w:tcBorders>
          </w:tcPr>
          <w:p>
            <w:pPr>
              <w:spacing w:after="0"/>
              <w:rPr>
                <w:sz w:val="17"/>
                <w:szCs w:val="17"/>
                <w:color w:val="auto"/>
              </w:rPr>
            </w:pPr>
          </w:p>
        </w:tc>
        <w:tc>
          <w:tcPr>
            <w:tcW w:w="1900" w:type="dxa"/>
            <w:vAlign w:val="bottom"/>
            <w:tcBorders>
              <w:bottom w:val="single" w:sz="8" w:color="004987"/>
            </w:tcBorders>
          </w:tcPr>
          <w:p>
            <w:pPr>
              <w:ind w:left="200"/>
              <w:spacing w:after="0"/>
              <w:rPr>
                <w:sz w:val="20"/>
                <w:szCs w:val="20"/>
                <w:color w:val="auto"/>
              </w:rPr>
            </w:pPr>
            <w:r>
              <w:rPr>
                <w:rFonts w:ascii="Arial" w:cs="Arial" w:eastAsia="Arial" w:hAnsi="Arial"/>
                <w:sz w:val="14"/>
                <w:szCs w:val="14"/>
                <w:color w:val="004E7D"/>
              </w:rPr>
              <w:t>Acquired on Exercise</w:t>
            </w:r>
          </w:p>
        </w:tc>
        <w:tc>
          <w:tcPr>
            <w:tcW w:w="440" w:type="dxa"/>
            <w:vAlign w:val="bottom"/>
            <w:tcBorders>
              <w:bottom w:val="single" w:sz="8" w:color="004987"/>
            </w:tcBorders>
          </w:tcPr>
          <w:p>
            <w:pPr>
              <w:spacing w:after="0"/>
              <w:rPr>
                <w:sz w:val="17"/>
                <w:szCs w:val="17"/>
                <w:color w:val="auto"/>
              </w:rPr>
            </w:pPr>
          </w:p>
        </w:tc>
        <w:tc>
          <w:tcPr>
            <w:tcW w:w="1540" w:type="dxa"/>
            <w:vAlign w:val="bottom"/>
            <w:tcBorders>
              <w:bottom w:val="single" w:sz="8" w:color="004987"/>
            </w:tcBorders>
            <w:gridSpan w:val="2"/>
          </w:tcPr>
          <w:p>
            <w:pPr>
              <w:ind w:left="80"/>
              <w:spacing w:after="0"/>
              <w:rPr>
                <w:sz w:val="20"/>
                <w:szCs w:val="20"/>
                <w:color w:val="auto"/>
              </w:rPr>
            </w:pPr>
            <w:r>
              <w:rPr>
                <w:rFonts w:ascii="Arial" w:cs="Arial" w:eastAsia="Arial" w:hAnsi="Arial"/>
                <w:sz w:val="14"/>
                <w:szCs w:val="14"/>
                <w:color w:val="004E7D"/>
              </w:rPr>
              <w:t>on Exercise</w:t>
            </w:r>
            <w:r>
              <w:rPr>
                <w:rFonts w:ascii="Arial" w:cs="Arial" w:eastAsia="Arial" w:hAnsi="Arial"/>
                <w:sz w:val="8"/>
                <w:szCs w:val="8"/>
                <w:color w:val="004E7D"/>
              </w:rPr>
              <w:t>1</w:t>
            </w:r>
          </w:p>
        </w:tc>
        <w:tc>
          <w:tcPr>
            <w:tcW w:w="1820" w:type="dxa"/>
            <w:vAlign w:val="bottom"/>
            <w:tcBorders>
              <w:bottom w:val="single" w:sz="8" w:color="004987"/>
            </w:tcBorders>
          </w:tcPr>
          <w:p>
            <w:pPr>
              <w:jc w:val="right"/>
              <w:ind w:right="282"/>
              <w:spacing w:after="0"/>
              <w:rPr>
                <w:sz w:val="20"/>
                <w:szCs w:val="20"/>
                <w:color w:val="auto"/>
              </w:rPr>
            </w:pPr>
            <w:r>
              <w:rPr>
                <w:rFonts w:ascii="Arial" w:cs="Arial" w:eastAsia="Arial" w:hAnsi="Arial"/>
                <w:sz w:val="14"/>
                <w:szCs w:val="14"/>
                <w:color w:val="004E7D"/>
              </w:rPr>
              <w:t>Acquired on Vesting</w:t>
            </w:r>
          </w:p>
        </w:tc>
        <w:tc>
          <w:tcPr>
            <w:tcW w:w="440" w:type="dxa"/>
            <w:vAlign w:val="bottom"/>
            <w:tcBorders>
              <w:bottom w:val="single" w:sz="8" w:color="004987"/>
            </w:tcBorders>
          </w:tcPr>
          <w:p>
            <w:pPr>
              <w:spacing w:after="0"/>
              <w:rPr>
                <w:sz w:val="17"/>
                <w:szCs w:val="17"/>
                <w:color w:val="auto"/>
              </w:rPr>
            </w:pPr>
          </w:p>
        </w:tc>
        <w:tc>
          <w:tcPr>
            <w:tcW w:w="1220" w:type="dxa"/>
            <w:vAlign w:val="bottom"/>
            <w:tcBorders>
              <w:bottom w:val="single" w:sz="8" w:color="004987"/>
            </w:tcBorders>
          </w:tcPr>
          <w:p>
            <w:pPr>
              <w:jc w:val="right"/>
              <w:ind w:right="302"/>
              <w:spacing w:after="0"/>
              <w:rPr>
                <w:sz w:val="20"/>
                <w:szCs w:val="20"/>
                <w:color w:val="auto"/>
              </w:rPr>
            </w:pPr>
            <w:r>
              <w:rPr>
                <w:rFonts w:ascii="Arial" w:cs="Arial" w:eastAsia="Arial" w:hAnsi="Arial"/>
                <w:sz w:val="14"/>
                <w:szCs w:val="14"/>
                <w:color w:val="004E7D"/>
              </w:rPr>
              <w:t>on Vesting</w:t>
            </w:r>
            <w:r>
              <w:rPr>
                <w:rFonts w:ascii="Arial" w:cs="Arial" w:eastAsia="Arial" w:hAnsi="Arial"/>
                <w:sz w:val="8"/>
                <w:szCs w:val="8"/>
                <w:color w:val="004E7D"/>
              </w:rPr>
              <w:t>2</w:t>
            </w:r>
          </w:p>
        </w:tc>
      </w:tr>
      <w:tr>
        <w:trPr>
          <w:trHeight w:val="216"/>
        </w:trPr>
        <w:tc>
          <w:tcPr>
            <w:tcW w:w="38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S. Weisz</w:t>
            </w:r>
            <w:r>
              <w:rPr>
                <w:rFonts w:ascii="Arial" w:cs="Arial" w:eastAsia="Arial" w:hAnsi="Arial"/>
                <w:sz w:val="21"/>
                <w:szCs w:val="21"/>
                <w:color w:val="auto"/>
                <w:vertAlign w:val="superscript"/>
              </w:rPr>
              <w:t>3</w:t>
            </w:r>
          </w:p>
        </w:tc>
        <w:tc>
          <w:tcPr>
            <w:tcW w:w="190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10,912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1,853,949</w:t>
            </w:r>
          </w:p>
        </w:tc>
      </w:tr>
      <w:tr>
        <w:trPr>
          <w:trHeight w:val="209"/>
        </w:trPr>
        <w:tc>
          <w:tcPr>
            <w:tcW w:w="388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J. Geller</w:t>
            </w:r>
            <w:r>
              <w:rPr>
                <w:rFonts w:ascii="Arial" w:cs="Arial" w:eastAsia="Arial" w:hAnsi="Arial"/>
                <w:sz w:val="21"/>
                <w:szCs w:val="21"/>
                <w:color w:val="auto"/>
                <w:vertAlign w:val="superscript"/>
              </w:rPr>
              <w:t>4</w:t>
            </w:r>
          </w:p>
        </w:tc>
        <w:tc>
          <w:tcPr>
            <w:tcW w:w="190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3,873</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658,023</w:t>
            </w:r>
          </w:p>
        </w:tc>
      </w:tr>
      <w:tr>
        <w:trPr>
          <w:trHeight w:val="210"/>
        </w:trPr>
        <w:tc>
          <w:tcPr>
            <w:tcW w:w="388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A. Terry</w:t>
            </w:r>
            <w:r>
              <w:rPr>
                <w:rFonts w:ascii="Arial" w:cs="Arial" w:eastAsia="Arial" w:hAnsi="Arial"/>
                <w:sz w:val="21"/>
                <w:szCs w:val="21"/>
                <w:color w:val="auto"/>
                <w:vertAlign w:val="superscript"/>
              </w:rPr>
              <w:t>5</w:t>
            </w:r>
          </w:p>
        </w:tc>
        <w:tc>
          <w:tcPr>
            <w:tcW w:w="190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1,455</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237,840</w:t>
            </w:r>
          </w:p>
        </w:tc>
      </w:tr>
      <w:tr>
        <w:trPr>
          <w:trHeight w:val="209"/>
        </w:trPr>
        <w:tc>
          <w:tcPr>
            <w:tcW w:w="388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B. Miller</w:t>
            </w:r>
            <w:r>
              <w:rPr>
                <w:rFonts w:ascii="Arial" w:cs="Arial" w:eastAsia="Arial" w:hAnsi="Arial"/>
                <w:sz w:val="21"/>
                <w:szCs w:val="21"/>
                <w:color w:val="auto"/>
                <w:vertAlign w:val="superscript"/>
              </w:rPr>
              <w:t>6</w:t>
            </w:r>
          </w:p>
        </w:tc>
        <w:tc>
          <w:tcPr>
            <w:tcW w:w="190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2,049</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348,125</w:t>
            </w:r>
          </w:p>
        </w:tc>
      </w:tr>
      <w:tr>
        <w:trPr>
          <w:trHeight w:val="210"/>
        </w:trPr>
        <w:tc>
          <w:tcPr>
            <w:tcW w:w="3880" w:type="dxa"/>
            <w:vAlign w:val="bottom"/>
            <w:tcBorders>
              <w:bottom w:val="single" w:sz="8" w:color="00497F"/>
            </w:tcBorders>
          </w:tcPr>
          <w:p>
            <w:pPr>
              <w:ind w:left="20"/>
              <w:spacing w:after="0" w:line="210" w:lineRule="exact"/>
              <w:rPr>
                <w:sz w:val="20"/>
                <w:szCs w:val="20"/>
                <w:color w:val="auto"/>
              </w:rPr>
            </w:pPr>
            <w:r>
              <w:rPr>
                <w:rFonts w:ascii="Arial" w:cs="Arial" w:eastAsia="Arial" w:hAnsi="Arial"/>
                <w:sz w:val="16"/>
                <w:szCs w:val="16"/>
                <w:color w:val="auto"/>
              </w:rPr>
              <w:t>J. Marbert</w:t>
            </w:r>
            <w:r>
              <w:rPr>
                <w:rFonts w:ascii="Arial" w:cs="Arial" w:eastAsia="Arial" w:hAnsi="Arial"/>
                <w:sz w:val="21"/>
                <w:szCs w:val="21"/>
                <w:color w:val="auto"/>
                <w:vertAlign w:val="superscript"/>
              </w:rPr>
              <w:t>7</w:t>
            </w:r>
          </w:p>
        </w:tc>
        <w:tc>
          <w:tcPr>
            <w:tcW w:w="1900" w:type="dxa"/>
            <w:vAlign w:val="bottom"/>
            <w:tcBorders>
              <w:bottom w:val="single" w:sz="8" w:color="00497F"/>
            </w:tcBorders>
          </w:tcPr>
          <w:p>
            <w:pPr>
              <w:ind w:left="1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00497F"/>
            </w:tcBorders>
          </w:tcPr>
          <w:p>
            <w:pPr>
              <w:spacing w:after="0"/>
              <w:rPr>
                <w:sz w:val="18"/>
                <w:szCs w:val="18"/>
                <w:color w:val="auto"/>
              </w:rPr>
            </w:pPr>
          </w:p>
        </w:tc>
        <w:tc>
          <w:tcPr>
            <w:tcW w:w="1540" w:type="dxa"/>
            <w:vAlign w:val="bottom"/>
            <w:tcBorders>
              <w:bottom w:val="single" w:sz="8" w:color="00497F"/>
            </w:tcBorders>
            <w:gridSpan w:val="2"/>
          </w:tcPr>
          <w:p>
            <w:pPr>
              <w:ind w:left="8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00497F"/>
            </w:tcBorders>
          </w:tcPr>
          <w:p>
            <w:pPr>
              <w:jc w:val="right"/>
              <w:ind w:right="482"/>
              <w:spacing w:after="0"/>
              <w:rPr>
                <w:sz w:val="20"/>
                <w:szCs w:val="20"/>
                <w:color w:val="auto"/>
              </w:rPr>
            </w:pPr>
            <w:r>
              <w:rPr>
                <w:rFonts w:ascii="Arial" w:cs="Arial" w:eastAsia="Arial" w:hAnsi="Arial"/>
                <w:sz w:val="16"/>
                <w:szCs w:val="16"/>
                <w:color w:val="auto"/>
              </w:rPr>
              <w:t>1,777</w:t>
            </w:r>
          </w:p>
        </w:tc>
        <w:tc>
          <w:tcPr>
            <w:tcW w:w="440" w:type="dxa"/>
            <w:vAlign w:val="bottom"/>
            <w:tcBorders>
              <w:bottom w:val="single" w:sz="8" w:color="00497F"/>
            </w:tcBorders>
          </w:tcPr>
          <w:p>
            <w:pPr>
              <w:spacing w:after="0"/>
              <w:rPr>
                <w:sz w:val="18"/>
                <w:szCs w:val="18"/>
                <w:color w:val="auto"/>
              </w:rPr>
            </w:pPr>
          </w:p>
        </w:tc>
        <w:tc>
          <w:tcPr>
            <w:tcW w:w="1220" w:type="dxa"/>
            <w:vAlign w:val="bottom"/>
            <w:tcBorders>
              <w:bottom w:val="single" w:sz="8" w:color="00497F"/>
            </w:tcBorders>
          </w:tcPr>
          <w:p>
            <w:pPr>
              <w:jc w:val="right"/>
              <w:ind w:right="82"/>
              <w:spacing w:after="0"/>
              <w:rPr>
                <w:sz w:val="20"/>
                <w:szCs w:val="20"/>
                <w:color w:val="auto"/>
              </w:rPr>
            </w:pPr>
            <w:r>
              <w:rPr>
                <w:rFonts w:ascii="Arial" w:cs="Arial" w:eastAsia="Arial" w:hAnsi="Arial"/>
                <w:sz w:val="16"/>
                <w:szCs w:val="16"/>
                <w:color w:val="auto"/>
              </w:rPr>
              <w:t>301,912</w:t>
            </w:r>
          </w:p>
        </w:tc>
      </w:tr>
    </w:tbl>
    <w:p>
      <w:pPr>
        <w:spacing w:after="0" w:line="94"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The value realized upon exercise is based on the current trading price at the time of exercise.</w:t>
      </w:r>
    </w:p>
    <w:p>
      <w:pPr>
        <w:spacing w:after="0" w:line="42" w:lineRule="exact"/>
        <w:rPr>
          <w:sz w:val="20"/>
          <w:szCs w:val="20"/>
          <w:color w:val="auto"/>
        </w:rPr>
      </w:pPr>
    </w:p>
    <w:p>
      <w:pPr>
        <w:ind w:left="220" w:right="240" w:hanging="212"/>
        <w:spacing w:after="0" w:line="227" w:lineRule="auto"/>
        <w:tabs>
          <w:tab w:leader="none" w:pos="175"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For the Performance Units, the value realized upon vesting is based on the closing price of our common stock on the vesting date. For RSUs, the value realized upon vesting is based on the average of the high and low stock price on the vesting date.</w:t>
      </w:r>
    </w:p>
    <w:p>
      <w:pPr>
        <w:spacing w:after="0" w:line="3"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21"/>
          <w:szCs w:val="21"/>
          <w:color w:val="auto"/>
          <w:vertAlign w:val="superscript"/>
        </w:rPr>
      </w:pPr>
      <w:r>
        <w:rPr>
          <w:rFonts w:ascii="Arial" w:cs="Arial" w:eastAsia="Arial" w:hAnsi="Arial"/>
          <w:sz w:val="16"/>
          <w:szCs w:val="16"/>
          <w:color w:val="auto"/>
        </w:rPr>
        <w:t>Mr. Weisz acquired 10,912 shares of the Company’s common stock upon vesting of RSUs.</w:t>
      </w:r>
    </w:p>
    <w:p>
      <w:pPr>
        <w:spacing w:after="0" w:line="1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21"/>
          <w:szCs w:val="21"/>
          <w:color w:val="auto"/>
          <w:vertAlign w:val="superscript"/>
        </w:rPr>
      </w:pPr>
      <w:r>
        <w:rPr>
          <w:rFonts w:ascii="Arial" w:cs="Arial" w:eastAsia="Arial" w:hAnsi="Arial"/>
          <w:sz w:val="16"/>
          <w:szCs w:val="16"/>
          <w:color w:val="auto"/>
        </w:rPr>
        <w:t>Mr. Geller acquired 3,873 shares of the Company's common stock upon the vesting of RSUs.</w:t>
      </w:r>
    </w:p>
    <w:p>
      <w:pPr>
        <w:spacing w:after="0" w:line="44"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Mr. Terry acquired 1,455 shares of the Company’s common stock upon vesting of RSUs.</w:t>
      </w:r>
    </w:p>
    <w:p>
      <w:pPr>
        <w:spacing w:after="0" w:line="15" w:lineRule="exact"/>
        <w:rPr>
          <w:rFonts w:ascii="Arial" w:cs="Arial" w:eastAsia="Arial" w:hAnsi="Arial"/>
          <w:sz w:val="21"/>
          <w:szCs w:val="21"/>
          <w:color w:val="auto"/>
          <w:vertAlign w:val="superscript"/>
        </w:rPr>
      </w:pPr>
    </w:p>
    <w:p>
      <w:pPr>
        <w:ind w:right="4260"/>
        <w:spacing w:after="0" w:line="353"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Mr. Miller acquired 2,049 of shares of the Company’s common stock upon the vesting of RSUs. </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Ms. Marbert acquired 1,777 shares of the Company’s common stock upon vesting of RSUs.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 for Fiscal Year 2022</w:t>
      </w:r>
    </w:p>
    <w:p>
      <w:pPr>
        <w:spacing w:after="0" w:line="131"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following table discloses contributions, earnings, distributions and balances under the MVW Deferred Compensation Plan and the Marriott Deferred Compensation Plan for the 2022 fiscal year. Our executives ceased to be eligible to make further contributions under the Marriott Deferred Compensation Plan as of the Spin-Off. We have agreed to reimburse Marriott International for any payments made to our employees under the Marriott Deferred Compensation Plan. Unless otherwise indicated, amounts relate to contributions, earnings, distributions and balances under the MVW Deferred Compensation Plan.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4E7D"/>
              </w:rPr>
              <w:t>Executive</w:t>
            </w:r>
          </w:p>
        </w:tc>
        <w:tc>
          <w:tcPr>
            <w:tcW w:w="380" w:type="dxa"/>
            <w:vAlign w:val="bottom"/>
          </w:tcPr>
          <w:p>
            <w:pPr>
              <w:spacing w:after="0"/>
              <w:rPr>
                <w:sz w:val="14"/>
                <w:szCs w:val="14"/>
                <w:color w:val="auto"/>
              </w:rPr>
            </w:pPr>
          </w:p>
        </w:tc>
        <w:tc>
          <w:tcPr>
            <w:tcW w:w="1120" w:type="dxa"/>
            <w:vAlign w:val="bottom"/>
          </w:tcPr>
          <w:p>
            <w:pPr>
              <w:jc w:val="center"/>
              <w:ind w:right="301"/>
              <w:spacing w:after="0"/>
              <w:rPr>
                <w:sz w:val="20"/>
                <w:szCs w:val="20"/>
                <w:color w:val="auto"/>
              </w:rPr>
            </w:pPr>
            <w:r>
              <w:rPr>
                <w:rFonts w:ascii="Arial" w:cs="Arial" w:eastAsia="Arial" w:hAnsi="Arial"/>
                <w:sz w:val="14"/>
                <w:szCs w:val="14"/>
                <w:b w:val="1"/>
                <w:bCs w:val="1"/>
                <w:color w:val="004E7D"/>
              </w:rPr>
              <w:t>Company</w:t>
            </w:r>
          </w:p>
        </w:tc>
        <w:tc>
          <w:tcPr>
            <w:tcW w:w="1260" w:type="dxa"/>
            <w:vAlign w:val="bottom"/>
          </w:tcPr>
          <w:p>
            <w:pPr>
              <w:jc w:val="center"/>
              <w:ind w:left="281"/>
              <w:spacing w:after="0"/>
              <w:rPr>
                <w:sz w:val="20"/>
                <w:szCs w:val="20"/>
                <w:color w:val="auto"/>
              </w:rPr>
            </w:pPr>
            <w:r>
              <w:rPr>
                <w:rFonts w:ascii="Arial" w:cs="Arial" w:eastAsia="Arial" w:hAnsi="Arial"/>
                <w:sz w:val="14"/>
                <w:szCs w:val="14"/>
                <w:b w:val="1"/>
                <w:bCs w:val="1"/>
                <w:color w:val="004E7D"/>
              </w:rPr>
              <w:t>Aggregate</w:t>
            </w:r>
          </w:p>
        </w:tc>
        <w:tc>
          <w:tcPr>
            <w:tcW w:w="34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004E7D"/>
              </w:rPr>
              <w:t>Aggregate</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004E7D"/>
              </w:rPr>
              <w:t>Aggregate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Name</w:t>
            </w:r>
          </w:p>
        </w:tc>
        <w:tc>
          <w:tcPr>
            <w:tcW w:w="1840" w:type="dxa"/>
            <w:vAlign w:val="bottom"/>
            <w:vMerge w:val="restart"/>
          </w:tcPr>
          <w:p>
            <w:pPr>
              <w:ind w:left="1080"/>
              <w:spacing w:after="0"/>
              <w:rPr>
                <w:sz w:val="20"/>
                <w:szCs w:val="20"/>
                <w:color w:val="auto"/>
              </w:rPr>
            </w:pPr>
            <w:r>
              <w:rPr>
                <w:rFonts w:ascii="Arial" w:cs="Arial" w:eastAsia="Arial" w:hAnsi="Arial"/>
                <w:sz w:val="14"/>
                <w:szCs w:val="14"/>
                <w:b w:val="1"/>
                <w:bCs w:val="1"/>
                <w:color w:val="004E7D"/>
              </w:rPr>
              <w:t>Plan</w:t>
            </w:r>
            <w:r>
              <w:rPr>
                <w:rFonts w:ascii="Arial" w:cs="Arial" w:eastAsia="Arial" w:hAnsi="Arial"/>
                <w:sz w:val="8"/>
                <w:szCs w:val="8"/>
                <w:b w:val="1"/>
                <w:bCs w:val="1"/>
                <w:color w:val="004E7D"/>
              </w:rPr>
              <w:t>1</w:t>
            </w:r>
          </w:p>
        </w:tc>
        <w:tc>
          <w:tcPr>
            <w:tcW w:w="1500" w:type="dxa"/>
            <w:vAlign w:val="bottom"/>
          </w:tcPr>
          <w:p>
            <w:pPr>
              <w:jc w:val="center"/>
              <w:ind w:right="7"/>
              <w:spacing w:after="0" w:line="145" w:lineRule="exact"/>
              <w:rPr>
                <w:sz w:val="20"/>
                <w:szCs w:val="20"/>
                <w:color w:val="auto"/>
              </w:rPr>
            </w:pPr>
            <w:r>
              <w:rPr>
                <w:rFonts w:ascii="Arial" w:cs="Arial" w:eastAsia="Arial" w:hAnsi="Arial"/>
                <w:sz w:val="14"/>
                <w:szCs w:val="14"/>
                <w:b w:val="1"/>
                <w:bCs w:val="1"/>
                <w:color w:val="004E7D"/>
              </w:rPr>
              <w:t>Contributions</w:t>
            </w:r>
          </w:p>
        </w:tc>
        <w:tc>
          <w:tcPr>
            <w:tcW w:w="15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Contributions</w:t>
            </w:r>
          </w:p>
        </w:tc>
        <w:tc>
          <w:tcPr>
            <w:tcW w:w="1260" w:type="dxa"/>
            <w:vAlign w:val="bottom"/>
          </w:tcPr>
          <w:p>
            <w:pPr>
              <w:jc w:val="center"/>
              <w:ind w:left="281"/>
              <w:spacing w:after="0" w:line="145" w:lineRule="exact"/>
              <w:rPr>
                <w:sz w:val="20"/>
                <w:szCs w:val="20"/>
                <w:color w:val="auto"/>
              </w:rPr>
            </w:pPr>
            <w:r>
              <w:rPr>
                <w:rFonts w:ascii="Arial" w:cs="Arial" w:eastAsia="Arial" w:hAnsi="Arial"/>
                <w:sz w:val="14"/>
                <w:szCs w:val="14"/>
                <w:b w:val="1"/>
                <w:bCs w:val="1"/>
                <w:color w:val="004E7D"/>
              </w:rPr>
              <w:t>Earnings</w:t>
            </w:r>
          </w:p>
        </w:tc>
        <w:tc>
          <w:tcPr>
            <w:tcW w:w="340" w:type="dxa"/>
            <w:vAlign w:val="bottom"/>
          </w:tcPr>
          <w:p>
            <w:pPr>
              <w:spacing w:after="0"/>
              <w:rPr>
                <w:sz w:val="12"/>
                <w:szCs w:val="12"/>
                <w:color w:val="auto"/>
              </w:rPr>
            </w:pPr>
          </w:p>
        </w:tc>
        <w:tc>
          <w:tcPr>
            <w:tcW w:w="1380" w:type="dxa"/>
            <w:vAlign w:val="bottom"/>
            <w:gridSpan w:val="2"/>
          </w:tcPr>
          <w:p>
            <w:pPr>
              <w:jc w:val="right"/>
              <w:ind w:right="159"/>
              <w:spacing w:after="0" w:line="145" w:lineRule="exact"/>
              <w:rPr>
                <w:sz w:val="20"/>
                <w:szCs w:val="20"/>
                <w:color w:val="auto"/>
              </w:rPr>
            </w:pPr>
            <w:r>
              <w:rPr>
                <w:rFonts w:ascii="Arial" w:cs="Arial" w:eastAsia="Arial" w:hAnsi="Arial"/>
                <w:sz w:val="14"/>
                <w:szCs w:val="14"/>
                <w:b w:val="1"/>
                <w:bCs w:val="1"/>
                <w:color w:val="004E7D"/>
              </w:rPr>
              <w:t>Withdrawals/</w:t>
            </w:r>
          </w:p>
        </w:tc>
        <w:tc>
          <w:tcPr>
            <w:tcW w:w="1340" w:type="dxa"/>
            <w:vAlign w:val="bottom"/>
          </w:tcPr>
          <w:p>
            <w:pPr>
              <w:ind w:left="500"/>
              <w:spacing w:after="0" w:line="145" w:lineRule="exact"/>
              <w:rPr>
                <w:sz w:val="20"/>
                <w:szCs w:val="20"/>
                <w:color w:val="auto"/>
              </w:rPr>
            </w:pPr>
            <w:r>
              <w:rPr>
                <w:rFonts w:ascii="Arial" w:cs="Arial" w:eastAsia="Arial" w:hAnsi="Arial"/>
                <w:sz w:val="14"/>
                <w:szCs w:val="14"/>
                <w:b w:val="1"/>
                <w:bCs w:val="1"/>
                <w:color w:val="004E7D"/>
              </w:rPr>
              <w:t>Balance at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4987"/>
            </w:tcBorders>
            <w:vMerge w:val="continue"/>
          </w:tcPr>
          <w:p>
            <w:pPr>
              <w:spacing w:after="0"/>
              <w:rPr>
                <w:sz w:val="17"/>
                <w:szCs w:val="17"/>
                <w:color w:val="auto"/>
              </w:rPr>
            </w:pPr>
          </w:p>
        </w:tc>
        <w:tc>
          <w:tcPr>
            <w:tcW w:w="1840" w:type="dxa"/>
            <w:vAlign w:val="bottom"/>
            <w:tcBorders>
              <w:bottom w:val="single" w:sz="8" w:color="004987"/>
            </w:tcBorders>
            <w:vMerge w:val="continue"/>
          </w:tcPr>
          <w:p>
            <w:pPr>
              <w:spacing w:after="0"/>
              <w:rPr>
                <w:sz w:val="17"/>
                <w:szCs w:val="17"/>
                <w:color w:val="auto"/>
              </w:rPr>
            </w:pPr>
          </w:p>
        </w:tc>
        <w:tc>
          <w:tcPr>
            <w:tcW w:w="1500" w:type="dxa"/>
            <w:vAlign w:val="bottom"/>
            <w:tcBorders>
              <w:bottom w:val="single" w:sz="8" w:color="004987"/>
            </w:tcBorders>
          </w:tcPr>
          <w:p>
            <w:pPr>
              <w:jc w:val="center"/>
              <w:ind w:right="7"/>
              <w:spacing w:after="0"/>
              <w:rPr>
                <w:sz w:val="20"/>
                <w:szCs w:val="20"/>
                <w:color w:val="auto"/>
              </w:rPr>
            </w:pPr>
            <w:r>
              <w:rPr>
                <w:rFonts w:ascii="Arial" w:cs="Arial" w:eastAsia="Arial" w:hAnsi="Arial"/>
                <w:sz w:val="14"/>
                <w:szCs w:val="14"/>
                <w:b w:val="1"/>
                <w:bCs w:val="1"/>
                <w:color w:val="004E7D"/>
              </w:rPr>
              <w:t>in Last FY</w:t>
            </w:r>
            <w:r>
              <w:rPr>
                <w:rFonts w:ascii="Arial" w:cs="Arial" w:eastAsia="Arial" w:hAnsi="Arial"/>
                <w:sz w:val="8"/>
                <w:szCs w:val="8"/>
                <w:b w:val="1"/>
                <w:bCs w:val="1"/>
                <w:color w:val="004E7D"/>
              </w:rPr>
              <w:t>2</w:t>
            </w:r>
          </w:p>
        </w:tc>
        <w:tc>
          <w:tcPr>
            <w:tcW w:w="380" w:type="dxa"/>
            <w:vAlign w:val="bottom"/>
            <w:tcBorders>
              <w:bottom w:val="single" w:sz="8" w:color="004987"/>
            </w:tcBorders>
          </w:tcPr>
          <w:p>
            <w:pPr>
              <w:spacing w:after="0"/>
              <w:rPr>
                <w:sz w:val="17"/>
                <w:szCs w:val="17"/>
                <w:color w:val="auto"/>
              </w:rPr>
            </w:pPr>
          </w:p>
        </w:tc>
        <w:tc>
          <w:tcPr>
            <w:tcW w:w="1120" w:type="dxa"/>
            <w:vAlign w:val="bottom"/>
            <w:tcBorders>
              <w:bottom w:val="single" w:sz="8" w:color="004987"/>
            </w:tcBorders>
          </w:tcPr>
          <w:p>
            <w:pPr>
              <w:jc w:val="center"/>
              <w:ind w:right="301"/>
              <w:spacing w:after="0"/>
              <w:rPr>
                <w:sz w:val="20"/>
                <w:szCs w:val="20"/>
                <w:color w:val="auto"/>
              </w:rPr>
            </w:pPr>
            <w:r>
              <w:rPr>
                <w:rFonts w:ascii="Arial" w:cs="Arial" w:eastAsia="Arial" w:hAnsi="Arial"/>
                <w:sz w:val="14"/>
                <w:szCs w:val="14"/>
                <w:b w:val="1"/>
                <w:bCs w:val="1"/>
                <w:color w:val="004E7D"/>
              </w:rPr>
              <w:t>in Last FY</w:t>
            </w:r>
            <w:r>
              <w:rPr>
                <w:rFonts w:ascii="Arial" w:cs="Arial" w:eastAsia="Arial" w:hAnsi="Arial"/>
                <w:sz w:val="8"/>
                <w:szCs w:val="8"/>
                <w:b w:val="1"/>
                <w:bCs w:val="1"/>
                <w:color w:val="004E7D"/>
              </w:rPr>
              <w:t>3</w:t>
            </w:r>
          </w:p>
        </w:tc>
        <w:tc>
          <w:tcPr>
            <w:tcW w:w="1260" w:type="dxa"/>
            <w:vAlign w:val="bottom"/>
            <w:tcBorders>
              <w:bottom w:val="single" w:sz="8" w:color="004987"/>
            </w:tcBorders>
          </w:tcPr>
          <w:p>
            <w:pPr>
              <w:jc w:val="center"/>
              <w:ind w:left="301"/>
              <w:spacing w:after="0"/>
              <w:rPr>
                <w:sz w:val="20"/>
                <w:szCs w:val="20"/>
                <w:color w:val="auto"/>
              </w:rPr>
            </w:pPr>
            <w:r>
              <w:rPr>
                <w:rFonts w:ascii="Arial" w:cs="Arial" w:eastAsia="Arial" w:hAnsi="Arial"/>
                <w:sz w:val="14"/>
                <w:szCs w:val="14"/>
                <w:b w:val="1"/>
                <w:bCs w:val="1"/>
                <w:color w:val="004E7D"/>
              </w:rPr>
              <w:t>in Last FY</w:t>
            </w:r>
          </w:p>
        </w:tc>
        <w:tc>
          <w:tcPr>
            <w:tcW w:w="340" w:type="dxa"/>
            <w:vAlign w:val="bottom"/>
            <w:tcBorders>
              <w:bottom w:val="single" w:sz="8" w:color="004987"/>
            </w:tcBorders>
          </w:tcPr>
          <w:p>
            <w:pPr>
              <w:spacing w:after="0"/>
              <w:rPr>
                <w:sz w:val="17"/>
                <w:szCs w:val="17"/>
                <w:color w:val="auto"/>
              </w:rPr>
            </w:pPr>
          </w:p>
        </w:tc>
        <w:tc>
          <w:tcPr>
            <w:tcW w:w="1380" w:type="dxa"/>
            <w:vAlign w:val="bottom"/>
            <w:tcBorders>
              <w:bottom w:val="single" w:sz="8" w:color="004987"/>
            </w:tcBorders>
            <w:gridSpan w:val="2"/>
          </w:tcPr>
          <w:p>
            <w:pPr>
              <w:jc w:val="right"/>
              <w:ind w:right="159"/>
              <w:spacing w:after="0"/>
              <w:rPr>
                <w:sz w:val="20"/>
                <w:szCs w:val="20"/>
                <w:color w:val="auto"/>
              </w:rPr>
            </w:pPr>
            <w:r>
              <w:rPr>
                <w:rFonts w:ascii="Arial" w:cs="Arial" w:eastAsia="Arial" w:hAnsi="Arial"/>
                <w:sz w:val="14"/>
                <w:szCs w:val="14"/>
                <w:b w:val="1"/>
                <w:bCs w:val="1"/>
                <w:color w:val="004E7D"/>
              </w:rPr>
              <w:t>Distributions</w:t>
            </w:r>
          </w:p>
        </w:tc>
        <w:tc>
          <w:tcPr>
            <w:tcW w:w="1340" w:type="dxa"/>
            <w:vAlign w:val="bottom"/>
            <w:tcBorders>
              <w:bottom w:val="single" w:sz="8" w:color="004987"/>
            </w:tcBorders>
          </w:tcPr>
          <w:p>
            <w:pPr>
              <w:ind w:left="520"/>
              <w:spacing w:after="0"/>
              <w:rPr>
                <w:sz w:val="20"/>
                <w:szCs w:val="20"/>
                <w:color w:val="auto"/>
              </w:rPr>
            </w:pPr>
            <w:r>
              <w:rPr>
                <w:rFonts w:ascii="Arial" w:cs="Arial" w:eastAsia="Arial" w:hAnsi="Arial"/>
                <w:sz w:val="14"/>
                <w:szCs w:val="14"/>
                <w:b w:val="1"/>
                <w:bCs w:val="1"/>
                <w:color w:val="004E7D"/>
              </w:rPr>
              <w:t>Last FYE</w:t>
            </w:r>
            <w:r>
              <w:rPr>
                <w:rFonts w:ascii="Arial" w:cs="Arial" w:eastAsia="Arial" w:hAnsi="Arial"/>
                <w:sz w:val="8"/>
                <w:szCs w:val="8"/>
                <w:b w:val="1"/>
                <w:bCs w:val="1"/>
                <w:color w:val="004E7D"/>
              </w:rPr>
              <w:t>4</w:t>
            </w:r>
          </w:p>
        </w:tc>
        <w:tc>
          <w:tcPr>
            <w:tcW w:w="240" w:type="dxa"/>
            <w:vAlign w:val="bottom"/>
            <w:tcBorders>
              <w:bottom w:val="single" w:sz="8" w:color="00498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40" w:type="dxa"/>
            <w:vAlign w:val="bottom"/>
          </w:tcPr>
          <w:p>
            <w:pPr>
              <w:ind w:left="20"/>
              <w:spacing w:after="0"/>
              <w:rPr>
                <w:sz w:val="20"/>
                <w:szCs w:val="20"/>
                <w:color w:val="auto"/>
              </w:rPr>
            </w:pPr>
            <w:r>
              <w:rPr>
                <w:rFonts w:ascii="Arial" w:cs="Arial" w:eastAsia="Arial" w:hAnsi="Arial"/>
                <w:sz w:val="16"/>
                <w:szCs w:val="16"/>
                <w:color w:val="auto"/>
              </w:rPr>
              <w:t>S. Weisz</w:t>
            </w:r>
          </w:p>
        </w:tc>
        <w:tc>
          <w:tcPr>
            <w:tcW w:w="1840" w:type="dxa"/>
            <w:vAlign w:val="bottom"/>
          </w:tcPr>
          <w:p>
            <w:pPr>
              <w:jc w:val="center"/>
              <w:ind w:left="860"/>
              <w:spacing w:after="0"/>
              <w:rPr>
                <w:sz w:val="20"/>
                <w:szCs w:val="20"/>
                <w:color w:val="auto"/>
              </w:rPr>
            </w:pPr>
            <w:r>
              <w:rPr>
                <w:rFonts w:ascii="Arial" w:cs="Arial" w:eastAsia="Arial" w:hAnsi="Arial"/>
                <w:sz w:val="16"/>
                <w:szCs w:val="16"/>
                <w:color w:val="auto"/>
              </w:rPr>
              <w:t>DCP</w:t>
            </w:r>
          </w:p>
        </w:tc>
        <w:tc>
          <w:tcPr>
            <w:tcW w:w="1500" w:type="dxa"/>
            <w:vAlign w:val="bottom"/>
          </w:tcPr>
          <w:p>
            <w:pPr>
              <w:jc w:val="right"/>
              <w:ind w:right="207"/>
              <w:spacing w:after="0"/>
              <w:rPr>
                <w:sz w:val="20"/>
                <w:szCs w:val="20"/>
                <w:color w:val="auto"/>
              </w:rPr>
            </w:pPr>
            <w:r>
              <w:rPr>
                <w:rFonts w:ascii="Arial" w:cs="Arial" w:eastAsia="Arial" w:hAnsi="Arial"/>
                <w:sz w:val="16"/>
                <w:szCs w:val="16"/>
                <w:color w:val="auto"/>
              </w:rPr>
              <w:t>$109,722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26,738</w:t>
            </w:r>
          </w:p>
        </w:tc>
        <w:tc>
          <w:tcPr>
            <w:tcW w:w="1600" w:type="dxa"/>
            <w:vAlign w:val="bottom"/>
            <w:gridSpan w:val="2"/>
          </w:tcPr>
          <w:p>
            <w:pPr>
              <w:jc w:val="right"/>
              <w:ind w:right="187"/>
              <w:spacing w:after="0" w:line="192" w:lineRule="exact"/>
              <w:rPr>
                <w:sz w:val="20"/>
                <w:szCs w:val="20"/>
                <w:color w:val="auto"/>
              </w:rPr>
            </w:pPr>
            <w:r>
              <w:rPr>
                <w:rFonts w:ascii="Arial" w:cs="Arial" w:eastAsia="Arial" w:hAnsi="Arial"/>
                <w:sz w:val="16"/>
                <w:szCs w:val="16"/>
                <w:color w:val="auto"/>
              </w:rPr>
              <w:t xml:space="preserve">$   (158,524) </w:t>
            </w:r>
            <w:r>
              <w:rPr>
                <w:rFonts w:ascii="Arial" w:cs="Arial" w:eastAsia="Arial" w:hAnsi="Arial"/>
                <w:sz w:val="21"/>
                <w:szCs w:val="21"/>
                <w:color w:val="auto"/>
                <w:vertAlign w:val="superscript"/>
              </w:rPr>
              <w:t>5</w:t>
            </w:r>
          </w:p>
        </w:tc>
        <w:tc>
          <w:tcPr>
            <w:tcW w:w="500" w:type="dxa"/>
            <w:vAlign w:val="bottom"/>
          </w:tcPr>
          <w:p>
            <w:pPr>
              <w:ind w:left="3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87"/>
              <w:spacing w:after="0" w:line="192" w:lineRule="exact"/>
              <w:rPr>
                <w:sz w:val="20"/>
                <w:szCs w:val="20"/>
                <w:color w:val="auto"/>
              </w:rPr>
            </w:pPr>
            <w:r>
              <w:rPr>
                <w:rFonts w:ascii="Arial" w:cs="Arial" w:eastAsia="Arial" w:hAnsi="Arial"/>
                <w:sz w:val="16"/>
                <w:szCs w:val="16"/>
                <w:color w:val="auto"/>
              </w:rPr>
              <w:t xml:space="preserve">$   1,069,376 </w:t>
            </w:r>
            <w:r>
              <w:rPr>
                <w:rFonts w:ascii="Arial" w:cs="Arial" w:eastAsia="Arial" w:hAnsi="Arial"/>
                <w:sz w:val="21"/>
                <w:szCs w:val="21"/>
                <w:color w:val="auto"/>
                <w:vertAlign w:val="superscript"/>
              </w:rPr>
              <w:t>6</w:t>
            </w:r>
          </w:p>
        </w:tc>
        <w:tc>
          <w:tcPr>
            <w:tcW w:w="0" w:type="dxa"/>
            <w:vAlign w:val="bottom"/>
          </w:tcPr>
          <w:p>
            <w:pPr>
              <w:spacing w:after="0"/>
              <w:rPr>
                <w:sz w:val="1"/>
                <w:szCs w:val="1"/>
                <w:color w:val="auto"/>
              </w:rPr>
            </w:pPr>
          </w:p>
        </w:tc>
      </w:tr>
      <w:tr>
        <w:trPr>
          <w:trHeight w:val="239"/>
        </w:trPr>
        <w:tc>
          <w:tcPr>
            <w:tcW w:w="1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880"/>
              <w:spacing w:after="0"/>
              <w:rPr>
                <w:sz w:val="20"/>
                <w:szCs w:val="20"/>
                <w:color w:val="auto"/>
              </w:rPr>
            </w:pPr>
            <w:r>
              <w:rPr>
                <w:rFonts w:ascii="Arial" w:cs="Arial" w:eastAsia="Arial" w:hAnsi="Arial"/>
                <w:sz w:val="16"/>
                <w:szCs w:val="16"/>
                <w:color w:val="auto"/>
              </w:rPr>
              <w:t>MDCP</w:t>
            </w:r>
          </w:p>
        </w:tc>
        <w:tc>
          <w:tcPr>
            <w:tcW w:w="150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81,054</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color w:val="auto"/>
              </w:rPr>
              <w:t>5</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2,464,905</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6"/>
        </w:trPr>
        <w:tc>
          <w:tcPr>
            <w:tcW w:w="1840" w:type="dxa"/>
            <w:vAlign w:val="bottom"/>
          </w:tcPr>
          <w:p>
            <w:pPr>
              <w:ind w:left="20"/>
              <w:spacing w:after="0"/>
              <w:rPr>
                <w:sz w:val="20"/>
                <w:szCs w:val="20"/>
                <w:color w:val="auto"/>
              </w:rPr>
            </w:pPr>
            <w:r>
              <w:rPr>
                <w:rFonts w:ascii="Arial" w:cs="Arial" w:eastAsia="Arial" w:hAnsi="Arial"/>
                <w:sz w:val="16"/>
                <w:szCs w:val="16"/>
                <w:color w:val="auto"/>
              </w:rPr>
              <w:t>J. Geller</w:t>
            </w:r>
          </w:p>
        </w:tc>
        <w:tc>
          <w:tcPr>
            <w:tcW w:w="1840" w:type="dxa"/>
            <w:vAlign w:val="bottom"/>
          </w:tcPr>
          <w:p>
            <w:pPr>
              <w:jc w:val="center"/>
              <w:ind w:left="860"/>
              <w:spacing w:after="0"/>
              <w:rPr>
                <w:sz w:val="20"/>
                <w:szCs w:val="20"/>
                <w:color w:val="auto"/>
              </w:rPr>
            </w:pPr>
            <w:r>
              <w:rPr>
                <w:rFonts w:ascii="Arial" w:cs="Arial" w:eastAsia="Arial" w:hAnsi="Arial"/>
                <w:sz w:val="16"/>
                <w:szCs w:val="16"/>
                <w:color w:val="auto"/>
              </w:rPr>
              <w:t>DCP</w:t>
            </w:r>
          </w:p>
        </w:tc>
        <w:tc>
          <w:tcPr>
            <w:tcW w:w="1500" w:type="dxa"/>
            <w:vAlign w:val="bottom"/>
          </w:tcPr>
          <w:p>
            <w:pPr>
              <w:jc w:val="right"/>
              <w:ind w:right="207"/>
              <w:spacing w:after="0"/>
              <w:rPr>
                <w:sz w:val="20"/>
                <w:szCs w:val="20"/>
                <w:color w:val="auto"/>
              </w:rPr>
            </w:pPr>
            <w:r>
              <w:rPr>
                <w:rFonts w:ascii="Arial" w:cs="Arial" w:eastAsia="Arial" w:hAnsi="Arial"/>
                <w:sz w:val="16"/>
                <w:szCs w:val="16"/>
                <w:color w:val="auto"/>
              </w:rPr>
              <w:t>142,274</w:t>
            </w:r>
          </w:p>
        </w:tc>
        <w:tc>
          <w:tcPr>
            <w:tcW w:w="380" w:type="dxa"/>
            <w:vAlign w:val="bottom"/>
          </w:tcPr>
          <w:p>
            <w:pPr>
              <w:spacing w:after="0"/>
              <w:rPr>
                <w:sz w:val="16"/>
                <w:szCs w:val="16"/>
                <w:color w:val="auto"/>
              </w:rPr>
            </w:pP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14,642</w:t>
            </w:r>
          </w:p>
        </w:tc>
        <w:tc>
          <w:tcPr>
            <w:tcW w:w="1600" w:type="dxa"/>
            <w:vAlign w:val="bottom"/>
            <w:gridSpan w:val="2"/>
          </w:tcPr>
          <w:p>
            <w:pPr>
              <w:jc w:val="right"/>
              <w:ind w:right="187"/>
              <w:spacing w:after="0" w:line="187" w:lineRule="exact"/>
              <w:rPr>
                <w:sz w:val="20"/>
                <w:szCs w:val="20"/>
                <w:color w:val="auto"/>
              </w:rPr>
            </w:pPr>
            <w:r>
              <w:rPr>
                <w:rFonts w:ascii="Arial" w:cs="Arial" w:eastAsia="Arial" w:hAnsi="Arial"/>
                <w:sz w:val="16"/>
                <w:szCs w:val="16"/>
                <w:color w:val="auto"/>
              </w:rPr>
              <w:t xml:space="preserve">(32,673) </w:t>
            </w:r>
            <w:r>
              <w:rPr>
                <w:rFonts w:ascii="Arial" w:cs="Arial" w:eastAsia="Arial" w:hAnsi="Arial"/>
                <w:sz w:val="21"/>
                <w:szCs w:val="21"/>
                <w:color w:val="auto"/>
                <w:vertAlign w:val="superscript"/>
              </w:rPr>
              <w:t>5</w:t>
            </w:r>
          </w:p>
        </w:tc>
        <w:tc>
          <w:tcPr>
            <w:tcW w:w="50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179,594</w:t>
            </w:r>
          </w:p>
        </w:tc>
        <w:tc>
          <w:tcPr>
            <w:tcW w:w="1340" w:type="dxa"/>
            <w:vAlign w:val="bottom"/>
          </w:tcPr>
          <w:p>
            <w:pPr>
              <w:jc w:val="right"/>
              <w:spacing w:after="0"/>
              <w:rPr>
                <w:sz w:val="20"/>
                <w:szCs w:val="20"/>
                <w:color w:val="auto"/>
              </w:rPr>
            </w:pPr>
            <w:r>
              <w:rPr>
                <w:rFonts w:ascii="Arial" w:cs="Arial" w:eastAsia="Arial" w:hAnsi="Arial"/>
                <w:sz w:val="16"/>
                <w:szCs w:val="16"/>
                <w:color w:val="auto"/>
              </w:rPr>
              <w:t>535,011</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39"/>
        </w:trPr>
        <w:tc>
          <w:tcPr>
            <w:tcW w:w="1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880"/>
              <w:spacing w:after="0"/>
              <w:rPr>
                <w:sz w:val="20"/>
                <w:szCs w:val="20"/>
                <w:color w:val="auto"/>
              </w:rPr>
            </w:pPr>
            <w:r>
              <w:rPr>
                <w:rFonts w:ascii="Arial" w:cs="Arial" w:eastAsia="Arial" w:hAnsi="Arial"/>
                <w:sz w:val="16"/>
                <w:szCs w:val="16"/>
                <w:color w:val="auto"/>
              </w:rPr>
              <w:t>MDCP</w:t>
            </w:r>
          </w:p>
        </w:tc>
        <w:tc>
          <w:tcPr>
            <w:tcW w:w="150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color w:val="auto"/>
              </w:rPr>
              <w:t>5</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292,846</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6"/>
        </w:trPr>
        <w:tc>
          <w:tcPr>
            <w:tcW w:w="1840" w:type="dxa"/>
            <w:vAlign w:val="bottom"/>
          </w:tcPr>
          <w:p>
            <w:pPr>
              <w:ind w:left="20"/>
              <w:spacing w:after="0"/>
              <w:rPr>
                <w:sz w:val="20"/>
                <w:szCs w:val="20"/>
                <w:color w:val="auto"/>
              </w:rPr>
            </w:pPr>
            <w:r>
              <w:rPr>
                <w:rFonts w:ascii="Arial" w:cs="Arial" w:eastAsia="Arial" w:hAnsi="Arial"/>
                <w:sz w:val="16"/>
                <w:szCs w:val="16"/>
                <w:color w:val="auto"/>
              </w:rPr>
              <w:t>A. Terry</w:t>
            </w:r>
          </w:p>
        </w:tc>
        <w:tc>
          <w:tcPr>
            <w:tcW w:w="1840" w:type="dxa"/>
            <w:vAlign w:val="bottom"/>
          </w:tcPr>
          <w:p>
            <w:pPr>
              <w:jc w:val="center"/>
              <w:ind w:left="860"/>
              <w:spacing w:after="0"/>
              <w:rPr>
                <w:sz w:val="20"/>
                <w:szCs w:val="20"/>
                <w:color w:val="auto"/>
              </w:rPr>
            </w:pPr>
            <w:r>
              <w:rPr>
                <w:rFonts w:ascii="Arial" w:cs="Arial" w:eastAsia="Arial" w:hAnsi="Arial"/>
                <w:sz w:val="16"/>
                <w:szCs w:val="16"/>
                <w:color w:val="auto"/>
              </w:rPr>
              <w:t>DCP</w:t>
            </w:r>
          </w:p>
        </w:tc>
        <w:tc>
          <w:tcPr>
            <w:tcW w:w="1500" w:type="dxa"/>
            <w:vAlign w:val="bottom"/>
          </w:tcPr>
          <w:p>
            <w:pPr>
              <w:jc w:val="right"/>
              <w:ind w:right="207"/>
              <w:spacing w:after="0"/>
              <w:rPr>
                <w:sz w:val="20"/>
                <w:szCs w:val="20"/>
                <w:color w:val="auto"/>
              </w:rPr>
            </w:pPr>
            <w:r>
              <w:rPr>
                <w:rFonts w:ascii="Arial" w:cs="Arial" w:eastAsia="Arial" w:hAnsi="Arial"/>
                <w:sz w:val="16"/>
                <w:szCs w:val="16"/>
                <w:color w:val="auto"/>
              </w:rPr>
              <w:t>97,351</w:t>
            </w:r>
          </w:p>
        </w:tc>
        <w:tc>
          <w:tcPr>
            <w:tcW w:w="380" w:type="dxa"/>
            <w:vAlign w:val="bottom"/>
          </w:tcPr>
          <w:p>
            <w:pPr>
              <w:spacing w:after="0"/>
              <w:rPr>
                <w:sz w:val="16"/>
                <w:szCs w:val="16"/>
                <w:color w:val="auto"/>
              </w:rPr>
            </w:pP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8,148</w:t>
            </w:r>
          </w:p>
        </w:tc>
        <w:tc>
          <w:tcPr>
            <w:tcW w:w="1600" w:type="dxa"/>
            <w:vAlign w:val="bottom"/>
            <w:gridSpan w:val="2"/>
          </w:tcPr>
          <w:p>
            <w:pPr>
              <w:jc w:val="right"/>
              <w:ind w:right="187"/>
              <w:spacing w:after="0" w:line="187" w:lineRule="exact"/>
              <w:rPr>
                <w:sz w:val="20"/>
                <w:szCs w:val="20"/>
                <w:color w:val="auto"/>
              </w:rPr>
            </w:pPr>
            <w:r>
              <w:rPr>
                <w:rFonts w:ascii="Arial" w:cs="Arial" w:eastAsia="Arial" w:hAnsi="Arial"/>
                <w:sz w:val="16"/>
                <w:szCs w:val="16"/>
                <w:color w:val="auto"/>
              </w:rPr>
              <w:t xml:space="preserve">(101,626) </w:t>
            </w:r>
            <w:r>
              <w:rPr>
                <w:rFonts w:ascii="Arial" w:cs="Arial" w:eastAsia="Arial" w:hAnsi="Arial"/>
                <w:sz w:val="21"/>
                <w:szCs w:val="21"/>
                <w:color w:val="auto"/>
                <w:vertAlign w:val="superscript"/>
              </w:rPr>
              <w:t>5</w:t>
            </w:r>
          </w:p>
        </w:tc>
        <w:tc>
          <w:tcPr>
            <w:tcW w:w="50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1,034,245</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39"/>
        </w:trPr>
        <w:tc>
          <w:tcPr>
            <w:tcW w:w="1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880"/>
              <w:spacing w:after="0"/>
              <w:rPr>
                <w:sz w:val="20"/>
                <w:szCs w:val="20"/>
                <w:color w:val="auto"/>
              </w:rPr>
            </w:pPr>
            <w:r>
              <w:rPr>
                <w:rFonts w:ascii="Arial" w:cs="Arial" w:eastAsia="Arial" w:hAnsi="Arial"/>
                <w:sz w:val="16"/>
                <w:szCs w:val="16"/>
                <w:color w:val="auto"/>
              </w:rPr>
              <w:t>MDCP</w:t>
            </w:r>
          </w:p>
        </w:tc>
        <w:tc>
          <w:tcPr>
            <w:tcW w:w="150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color w:val="auto"/>
              </w:rPr>
              <w:t>5</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274,347</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6"/>
        </w:trPr>
        <w:tc>
          <w:tcPr>
            <w:tcW w:w="1840" w:type="dxa"/>
            <w:vAlign w:val="bottom"/>
          </w:tcPr>
          <w:p>
            <w:pPr>
              <w:ind w:left="20"/>
              <w:spacing w:after="0"/>
              <w:rPr>
                <w:sz w:val="20"/>
                <w:szCs w:val="20"/>
                <w:color w:val="auto"/>
              </w:rPr>
            </w:pPr>
            <w:r>
              <w:rPr>
                <w:rFonts w:ascii="Arial" w:cs="Arial" w:eastAsia="Arial" w:hAnsi="Arial"/>
                <w:sz w:val="16"/>
                <w:szCs w:val="16"/>
                <w:color w:val="auto"/>
              </w:rPr>
              <w:t>B. Miller</w:t>
            </w:r>
          </w:p>
        </w:tc>
        <w:tc>
          <w:tcPr>
            <w:tcW w:w="1840" w:type="dxa"/>
            <w:vAlign w:val="bottom"/>
          </w:tcPr>
          <w:p>
            <w:pPr>
              <w:jc w:val="center"/>
              <w:ind w:left="860"/>
              <w:spacing w:after="0"/>
              <w:rPr>
                <w:sz w:val="20"/>
                <w:szCs w:val="20"/>
                <w:color w:val="auto"/>
              </w:rPr>
            </w:pPr>
            <w:r>
              <w:rPr>
                <w:rFonts w:ascii="Arial" w:cs="Arial" w:eastAsia="Arial" w:hAnsi="Arial"/>
                <w:sz w:val="16"/>
                <w:szCs w:val="16"/>
                <w:color w:val="auto"/>
              </w:rPr>
              <w:t>DCP</w:t>
            </w:r>
          </w:p>
        </w:tc>
        <w:tc>
          <w:tcPr>
            <w:tcW w:w="1500" w:type="dxa"/>
            <w:vAlign w:val="bottom"/>
          </w:tcPr>
          <w:p>
            <w:pPr>
              <w:jc w:val="right"/>
              <w:ind w:right="207"/>
              <w:spacing w:after="0"/>
              <w:rPr>
                <w:sz w:val="20"/>
                <w:szCs w:val="20"/>
                <w:color w:val="auto"/>
              </w:rPr>
            </w:pPr>
            <w:r>
              <w:rPr>
                <w:rFonts w:ascii="Arial" w:cs="Arial" w:eastAsia="Arial" w:hAnsi="Arial"/>
                <w:sz w:val="16"/>
                <w:szCs w:val="16"/>
                <w:color w:val="auto"/>
              </w:rPr>
              <w:t>101,870</w:t>
            </w:r>
          </w:p>
        </w:tc>
        <w:tc>
          <w:tcPr>
            <w:tcW w:w="380" w:type="dxa"/>
            <w:vAlign w:val="bottom"/>
          </w:tcPr>
          <w:p>
            <w:pPr>
              <w:spacing w:after="0"/>
              <w:rPr>
                <w:sz w:val="16"/>
                <w:szCs w:val="16"/>
                <w:color w:val="auto"/>
              </w:rPr>
            </w:pP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15,921</w:t>
            </w:r>
          </w:p>
        </w:tc>
        <w:tc>
          <w:tcPr>
            <w:tcW w:w="1260" w:type="dxa"/>
            <w:vAlign w:val="bottom"/>
          </w:tcPr>
          <w:p>
            <w:pPr>
              <w:jc w:val="right"/>
              <w:spacing w:after="0"/>
              <w:rPr>
                <w:sz w:val="20"/>
                <w:szCs w:val="20"/>
                <w:color w:val="auto"/>
              </w:rPr>
            </w:pPr>
            <w:r>
              <w:rPr>
                <w:rFonts w:ascii="Arial" w:cs="Arial" w:eastAsia="Arial" w:hAnsi="Arial"/>
                <w:sz w:val="16"/>
                <w:szCs w:val="16"/>
                <w:color w:val="auto"/>
              </w:rPr>
              <w:t>35,309</w:t>
            </w:r>
          </w:p>
        </w:tc>
        <w:tc>
          <w:tcPr>
            <w:tcW w:w="340" w:type="dxa"/>
            <w:vAlign w:val="bottom"/>
          </w:tcPr>
          <w:p>
            <w:pPr>
              <w:jc w:val="right"/>
              <w:ind w:right="187"/>
              <w:spacing w:after="0"/>
              <w:rPr>
                <w:sz w:val="20"/>
                <w:szCs w:val="20"/>
                <w:color w:val="auto"/>
              </w:rPr>
            </w:pPr>
            <w:r>
              <w:rPr>
                <w:rFonts w:ascii="Arial" w:cs="Arial" w:eastAsia="Arial" w:hAnsi="Arial"/>
                <w:sz w:val="11"/>
                <w:szCs w:val="11"/>
                <w:color w:val="auto"/>
              </w:rPr>
              <w:t>5</w:t>
            </w:r>
          </w:p>
        </w:tc>
        <w:tc>
          <w:tcPr>
            <w:tcW w:w="50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1,082,610</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39"/>
        </w:trPr>
        <w:tc>
          <w:tcPr>
            <w:tcW w:w="1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880"/>
              <w:spacing w:after="0"/>
              <w:rPr>
                <w:sz w:val="20"/>
                <w:szCs w:val="20"/>
                <w:color w:val="auto"/>
              </w:rPr>
            </w:pPr>
            <w:r>
              <w:rPr>
                <w:rFonts w:ascii="Arial" w:cs="Arial" w:eastAsia="Arial" w:hAnsi="Arial"/>
                <w:sz w:val="16"/>
                <w:szCs w:val="16"/>
                <w:color w:val="auto"/>
              </w:rPr>
              <w:t>MDCP</w:t>
            </w:r>
          </w:p>
        </w:tc>
        <w:tc>
          <w:tcPr>
            <w:tcW w:w="150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30,778</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color w:val="auto"/>
              </w:rPr>
              <w:t>5</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935,902</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1"/>
        </w:trPr>
        <w:tc>
          <w:tcPr>
            <w:tcW w:w="184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J. Marbert</w:t>
            </w:r>
          </w:p>
        </w:tc>
        <w:tc>
          <w:tcPr>
            <w:tcW w:w="1840" w:type="dxa"/>
            <w:vAlign w:val="bottom"/>
            <w:tcBorders>
              <w:bottom w:val="single" w:sz="8" w:color="00497F"/>
            </w:tcBorders>
          </w:tcPr>
          <w:p>
            <w:pPr>
              <w:jc w:val="center"/>
              <w:ind w:left="860"/>
              <w:spacing w:after="0"/>
              <w:rPr>
                <w:sz w:val="20"/>
                <w:szCs w:val="20"/>
                <w:color w:val="auto"/>
              </w:rPr>
            </w:pPr>
            <w:r>
              <w:rPr>
                <w:rFonts w:ascii="Arial" w:cs="Arial" w:eastAsia="Arial" w:hAnsi="Arial"/>
                <w:sz w:val="16"/>
                <w:szCs w:val="16"/>
                <w:color w:val="auto"/>
              </w:rPr>
              <w:t>DCP</w:t>
            </w:r>
          </w:p>
        </w:tc>
        <w:tc>
          <w:tcPr>
            <w:tcW w:w="1500" w:type="dxa"/>
            <w:vAlign w:val="bottom"/>
            <w:tcBorders>
              <w:bottom w:val="single" w:sz="8" w:color="00497F"/>
            </w:tcBorders>
          </w:tcPr>
          <w:p>
            <w:pPr>
              <w:jc w:val="right"/>
              <w:ind w:right="207"/>
              <w:spacing w:after="0"/>
              <w:rPr>
                <w:sz w:val="20"/>
                <w:szCs w:val="20"/>
                <w:color w:val="auto"/>
              </w:rPr>
            </w:pPr>
            <w:r>
              <w:rPr>
                <w:rFonts w:ascii="Arial" w:cs="Arial" w:eastAsia="Arial" w:hAnsi="Arial"/>
                <w:sz w:val="16"/>
                <w:szCs w:val="16"/>
                <w:color w:val="auto"/>
              </w:rPr>
              <w:t>96,523</w:t>
            </w:r>
          </w:p>
        </w:tc>
        <w:tc>
          <w:tcPr>
            <w:tcW w:w="380" w:type="dxa"/>
            <w:vAlign w:val="bottom"/>
            <w:tcBorders>
              <w:bottom w:val="single" w:sz="8" w:color="00497F"/>
            </w:tcBorders>
          </w:tcPr>
          <w:p>
            <w:pPr>
              <w:spacing w:after="0"/>
              <w:rPr>
                <w:sz w:val="18"/>
                <w:szCs w:val="18"/>
                <w:color w:val="auto"/>
              </w:rPr>
            </w:pPr>
          </w:p>
        </w:tc>
        <w:tc>
          <w:tcPr>
            <w:tcW w:w="1120" w:type="dxa"/>
            <w:vAlign w:val="bottom"/>
            <w:tcBorders>
              <w:bottom w:val="single" w:sz="8" w:color="00497F"/>
            </w:tcBorders>
          </w:tcPr>
          <w:p>
            <w:pPr>
              <w:jc w:val="right"/>
              <w:ind w:right="161"/>
              <w:spacing w:after="0"/>
              <w:rPr>
                <w:sz w:val="20"/>
                <w:szCs w:val="20"/>
                <w:color w:val="auto"/>
              </w:rPr>
            </w:pPr>
            <w:r>
              <w:rPr>
                <w:rFonts w:ascii="Arial" w:cs="Arial" w:eastAsia="Arial" w:hAnsi="Arial"/>
                <w:sz w:val="16"/>
                <w:szCs w:val="16"/>
                <w:color w:val="auto"/>
              </w:rPr>
              <w:t>10,859</w:t>
            </w:r>
          </w:p>
        </w:tc>
        <w:tc>
          <w:tcPr>
            <w:tcW w:w="1600" w:type="dxa"/>
            <w:vAlign w:val="bottom"/>
            <w:tcBorders>
              <w:bottom w:val="single" w:sz="8" w:color="00497F"/>
            </w:tcBorders>
            <w:gridSpan w:val="2"/>
          </w:tcPr>
          <w:p>
            <w:pPr>
              <w:jc w:val="right"/>
              <w:ind w:right="187"/>
              <w:spacing w:after="0" w:line="211" w:lineRule="exact"/>
              <w:rPr>
                <w:sz w:val="20"/>
                <w:szCs w:val="20"/>
                <w:color w:val="auto"/>
              </w:rPr>
            </w:pPr>
            <w:r>
              <w:rPr>
                <w:rFonts w:ascii="Arial" w:cs="Arial" w:eastAsia="Arial" w:hAnsi="Arial"/>
                <w:sz w:val="16"/>
                <w:szCs w:val="16"/>
                <w:color w:val="auto"/>
              </w:rPr>
              <w:t xml:space="preserve">(15,419) </w:t>
            </w:r>
            <w:r>
              <w:rPr>
                <w:rFonts w:ascii="Arial" w:cs="Arial" w:eastAsia="Arial" w:hAnsi="Arial"/>
                <w:sz w:val="21"/>
                <w:szCs w:val="21"/>
                <w:color w:val="auto"/>
                <w:vertAlign w:val="superscript"/>
              </w:rPr>
              <w:t>5</w:t>
            </w:r>
          </w:p>
        </w:tc>
        <w:tc>
          <w:tcPr>
            <w:tcW w:w="500" w:type="dxa"/>
            <w:vAlign w:val="bottom"/>
            <w:tcBorders>
              <w:bottom w:val="single" w:sz="8" w:color="00497F"/>
            </w:tcBorders>
          </w:tcPr>
          <w:p>
            <w:pPr>
              <w:spacing w:after="0"/>
              <w:rPr>
                <w:sz w:val="18"/>
                <w:szCs w:val="18"/>
                <w:color w:val="auto"/>
              </w:rPr>
            </w:pPr>
          </w:p>
        </w:tc>
        <w:tc>
          <w:tcPr>
            <w:tcW w:w="880" w:type="dxa"/>
            <w:vAlign w:val="bottom"/>
            <w:tcBorders>
              <w:bottom w:val="single" w:sz="8" w:color="00497F"/>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179,109</w:t>
            </w:r>
          </w:p>
        </w:tc>
        <w:tc>
          <w:tcPr>
            <w:tcW w:w="240" w:type="dxa"/>
            <w:vAlign w:val="bottom"/>
            <w:tcBorders>
              <w:bottom w:val="single" w:sz="8" w:color="00497F"/>
            </w:tcBorders>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00" w:hanging="292"/>
        <w:spacing w:after="0"/>
        <w:tabs>
          <w:tab w:leader="none" w:pos="30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“DCP” and “MDCP” refer to the MVW Deferred Compensation Plan and the Marriott Deferred Compensation Plan, respectively.</w:t>
      </w:r>
    </w:p>
    <w:p>
      <w:pPr>
        <w:spacing w:after="0" w:line="82" w:lineRule="exact"/>
        <w:rPr>
          <w:sz w:val="20"/>
          <w:szCs w:val="20"/>
          <w:color w:val="auto"/>
        </w:rPr>
      </w:pPr>
    </w:p>
    <w:p>
      <w:pPr>
        <w:ind w:left="220" w:right="20" w:hanging="212"/>
        <w:spacing w:after="0"/>
        <w:tabs>
          <w:tab w:leader="none" w:pos="28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consist of elective deferrals by the named executive officers of salary for the 2022 fiscal year and non-equity incentive plan compensation for the 2021 fiscal year paid in 2022 under the MVW Deferred Compensation Plan. All of these amounts that are attributable to 2022 salary are reported in the Summary Compensation Table, and all of the amounts that are attributable to 2021 non-equity incentive plan compensation were included in the 2021 Summary Compensation Table.</w:t>
      </w:r>
    </w:p>
    <w:p>
      <w:pPr>
        <w:spacing w:after="0" w:line="98" w:lineRule="exact"/>
        <w:rPr>
          <w:sz w:val="20"/>
          <w:szCs w:val="20"/>
          <w:color w:val="auto"/>
        </w:rPr>
      </w:pPr>
    </w:p>
    <w:p>
      <w:pPr>
        <w:ind w:left="220" w:right="40" w:hanging="212"/>
        <w:spacing w:after="0" w:line="233" w:lineRule="auto"/>
        <w:tabs>
          <w:tab w:leader="none" w:pos="280" w:val="left"/>
        </w:tabs>
        <w:numPr>
          <w:ilvl w:val="0"/>
          <w:numId w:val="76"/>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consist of company contributions that were accrued during 2022 and credited to the participants’ accounts in 2023 under the MVW Deferred Compensation Plan. All of these amounts are included in the Summary Compensation Table in the “All Other Compensation” column for 2022.</w:t>
      </w:r>
    </w:p>
    <w:p>
      <w:pPr>
        <w:spacing w:after="0" w:line="97" w:lineRule="exact"/>
        <w:rPr>
          <w:sz w:val="20"/>
          <w:szCs w:val="20"/>
          <w:color w:val="auto"/>
        </w:rPr>
      </w:pPr>
    </w:p>
    <w:p>
      <w:pPr>
        <w:ind w:left="220" w:right="60" w:hanging="212"/>
        <w:spacing w:after="0" w:line="233" w:lineRule="auto"/>
        <w:tabs>
          <w:tab w:leader="none" w:pos="2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This column includes amounts in each named executive officer’s total MVW Deferred Compensation Plan account balance as of the last day of the 2022 fiscal year, and does not take into account the amounts in the “Company Contributions in Last Fiscal Year” column in the table above that were accrued during fiscal 2022 but credited to the participants’ accounts in 2023.</w:t>
      </w:r>
    </w:p>
    <w:p>
      <w:pPr>
        <w:sectPr>
          <w:pgSz w:w="11900" w:h="16838" w:orient="portrait"/>
          <w:cols w:equalWidth="0" w:num="1">
            <w:col w:w="11240"/>
          </w:cols>
          <w:pgMar w:left="320" w:top="13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type w:val="continuous"/>
        </w:sectPr>
      </w:pPr>
    </w:p>
    <w:bookmarkStart w:id="52" w:name="page53"/>
    <w:bookmarkEnd w:id="52"/>
    <w:p>
      <w:pPr>
        <w:ind w:left="220" w:right="120" w:hanging="212"/>
        <w:spacing w:after="0"/>
        <w:tabs>
          <w:tab w:leader="none" w:pos="28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These amounts consist of the aggregate notional earnings during 2022 of each named executive officer’s account in the MVW Deferred Compensation Plan or the Marriott Deferred Compensation Plan. Such earnings are reported in the Summary Compensation Table only to the extent that they were credited at a fixed rate of interest in excess of 120% of the applicable federal long-term rate. The following table indicates the portion of each executive’s aggregate earnings during 2022 that is reported in the Summary Compensation Table.</w:t>
      </w:r>
    </w:p>
    <w:p>
      <w:pPr>
        <w:spacing w:after="0" w:line="21" w:lineRule="exact"/>
        <w:rPr>
          <w:sz w:val="20"/>
          <w:szCs w:val="20"/>
          <w:color w:val="auto"/>
        </w:rPr>
      </w:pPr>
    </w:p>
    <w:p>
      <w:pPr>
        <w:jc w:val="center"/>
        <w:ind w:left="1140"/>
        <w:spacing w:after="0"/>
        <w:rPr>
          <w:sz w:val="20"/>
          <w:szCs w:val="20"/>
          <w:color w:val="auto"/>
        </w:rPr>
      </w:pPr>
      <w:r>
        <w:rPr>
          <w:rFonts w:ascii="Arial" w:cs="Arial" w:eastAsia="Arial" w:hAnsi="Arial"/>
          <w:sz w:val="14"/>
          <w:szCs w:val="14"/>
          <w:b w:val="1"/>
          <w:bCs w:val="1"/>
          <w:color w:val="004E7D"/>
        </w:rPr>
        <w:t>Amounts Included in the Summary</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4"/>
          <w:szCs w:val="14"/>
          <w:b w:val="1"/>
          <w:bCs w:val="1"/>
          <w:color w:val="004E7D"/>
        </w:rPr>
        <w:t>Compensation Table for 2022</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56"/>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Name</w:t>
            </w:r>
          </w:p>
        </w:tc>
        <w:tc>
          <w:tcPr>
            <w:tcW w:w="1980" w:type="dxa"/>
            <w:vAlign w:val="bottom"/>
            <w:tcBorders>
              <w:top w:val="single" w:sz="8" w:color="004987"/>
            </w:tcBorders>
            <w:gridSpan w:val="2"/>
          </w:tcPr>
          <w:p>
            <w:pPr>
              <w:jc w:val="right"/>
              <w:ind w:right="579"/>
              <w:spacing w:after="0" w:line="155" w:lineRule="exact"/>
              <w:rPr>
                <w:sz w:val="20"/>
                <w:szCs w:val="20"/>
                <w:color w:val="auto"/>
              </w:rPr>
            </w:pPr>
            <w:r>
              <w:rPr>
                <w:rFonts w:ascii="Arial" w:cs="Arial" w:eastAsia="Arial" w:hAnsi="Arial"/>
                <w:sz w:val="14"/>
                <w:szCs w:val="14"/>
                <w:b w:val="1"/>
                <w:bCs w:val="1"/>
                <w:color w:val="004E7D"/>
              </w:rPr>
              <w:t>MVW Deferred</w:t>
            </w:r>
          </w:p>
        </w:tc>
        <w:tc>
          <w:tcPr>
            <w:tcW w:w="2040" w:type="dxa"/>
            <w:vAlign w:val="bottom"/>
            <w:tcBorders>
              <w:top w:val="single" w:sz="8" w:color="004987"/>
            </w:tcBorders>
            <w:gridSpan w:val="2"/>
          </w:tcPr>
          <w:p>
            <w:pPr>
              <w:jc w:val="right"/>
              <w:ind w:right="259"/>
              <w:spacing w:after="0" w:line="155" w:lineRule="exact"/>
              <w:rPr>
                <w:sz w:val="20"/>
                <w:szCs w:val="20"/>
                <w:color w:val="auto"/>
              </w:rPr>
            </w:pPr>
            <w:r>
              <w:rPr>
                <w:rFonts w:ascii="Arial" w:cs="Arial" w:eastAsia="Arial" w:hAnsi="Arial"/>
                <w:sz w:val="14"/>
                <w:szCs w:val="14"/>
                <w:b w:val="1"/>
                <w:bCs w:val="1"/>
                <w:color w:val="00497F"/>
              </w:rPr>
              <w:t>Marriott Deferred</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4987"/>
            </w:tcBorders>
            <w:vMerge w:val="continue"/>
          </w:tcPr>
          <w:p>
            <w:pPr>
              <w:spacing w:after="0"/>
              <w:rPr>
                <w:sz w:val="17"/>
                <w:szCs w:val="17"/>
                <w:color w:val="auto"/>
              </w:rPr>
            </w:pPr>
          </w:p>
        </w:tc>
        <w:tc>
          <w:tcPr>
            <w:tcW w:w="1980" w:type="dxa"/>
            <w:vAlign w:val="bottom"/>
            <w:tcBorders>
              <w:bottom w:val="single" w:sz="8" w:color="004987"/>
            </w:tcBorders>
            <w:gridSpan w:val="2"/>
          </w:tcPr>
          <w:p>
            <w:pPr>
              <w:jc w:val="right"/>
              <w:ind w:right="399"/>
              <w:spacing w:after="0"/>
              <w:rPr>
                <w:sz w:val="20"/>
                <w:szCs w:val="20"/>
                <w:color w:val="auto"/>
              </w:rPr>
            </w:pPr>
            <w:r>
              <w:rPr>
                <w:rFonts w:ascii="Arial" w:cs="Arial" w:eastAsia="Arial" w:hAnsi="Arial"/>
                <w:sz w:val="14"/>
                <w:szCs w:val="14"/>
                <w:b w:val="1"/>
                <w:bCs w:val="1"/>
                <w:color w:val="004E7D"/>
              </w:rPr>
              <w:t>Compensation Plan</w:t>
            </w:r>
          </w:p>
        </w:tc>
        <w:tc>
          <w:tcPr>
            <w:tcW w:w="2040" w:type="dxa"/>
            <w:vAlign w:val="bottom"/>
            <w:tcBorders>
              <w:bottom w:val="single" w:sz="8" w:color="004987"/>
            </w:tcBorders>
            <w:gridSpan w:val="2"/>
          </w:tcPr>
          <w:p>
            <w:pPr>
              <w:jc w:val="right"/>
              <w:ind w:right="159"/>
              <w:spacing w:after="0"/>
              <w:rPr>
                <w:sz w:val="20"/>
                <w:szCs w:val="20"/>
                <w:color w:val="auto"/>
              </w:rPr>
            </w:pPr>
            <w:r>
              <w:rPr>
                <w:rFonts w:ascii="Arial" w:cs="Arial" w:eastAsia="Arial" w:hAnsi="Arial"/>
                <w:sz w:val="14"/>
                <w:szCs w:val="14"/>
                <w:b w:val="1"/>
                <w:bCs w:val="1"/>
                <w:color w:val="00497F"/>
              </w:rPr>
              <w:t>Compensation Plan</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Weisz</w:t>
            </w: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68</w:t>
            </w:r>
          </w:p>
        </w:tc>
        <w:tc>
          <w:tcPr>
            <w:tcW w:w="9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 Geller</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894</w:t>
            </w: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 Terry</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1,007</w:t>
            </w: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 Miller</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3,663</w:t>
            </w: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J. Marbert</w:t>
            </w:r>
          </w:p>
        </w:tc>
        <w:tc>
          <w:tcPr>
            <w:tcW w:w="660" w:type="dxa"/>
            <w:vAlign w:val="bottom"/>
            <w:tcBorders>
              <w:bottom w:val="single" w:sz="8" w:color="00497F"/>
            </w:tcBorders>
          </w:tcPr>
          <w:p>
            <w:pPr>
              <w:spacing w:after="0"/>
              <w:rPr>
                <w:sz w:val="18"/>
                <w:szCs w:val="18"/>
                <w:color w:val="auto"/>
              </w:rPr>
            </w:pPr>
          </w:p>
        </w:tc>
        <w:tc>
          <w:tcPr>
            <w:tcW w:w="1320" w:type="dxa"/>
            <w:vAlign w:val="bottom"/>
            <w:tcBorders>
              <w:bottom w:val="single" w:sz="8" w:color="00497F"/>
            </w:tcBorders>
          </w:tcPr>
          <w:p>
            <w:pPr>
              <w:jc w:val="right"/>
              <w:ind w:right="679"/>
              <w:spacing w:after="0"/>
              <w:rPr>
                <w:sz w:val="20"/>
                <w:szCs w:val="20"/>
                <w:color w:val="auto"/>
              </w:rPr>
            </w:pPr>
            <w:r>
              <w:rPr>
                <w:rFonts w:ascii="Arial" w:cs="Arial" w:eastAsia="Arial" w:hAnsi="Arial"/>
                <w:sz w:val="16"/>
                <w:szCs w:val="16"/>
                <w:color w:val="auto"/>
              </w:rPr>
              <w:t>107</w:t>
            </w:r>
          </w:p>
        </w:tc>
        <w:tc>
          <w:tcPr>
            <w:tcW w:w="940" w:type="dxa"/>
            <w:vAlign w:val="bottom"/>
            <w:tcBorders>
              <w:bottom w:val="single" w:sz="8" w:color="00497F"/>
            </w:tcBorders>
          </w:tcPr>
          <w:p>
            <w:pPr>
              <w:spacing w:after="0"/>
              <w:rPr>
                <w:sz w:val="18"/>
                <w:szCs w:val="18"/>
                <w:color w:val="auto"/>
              </w:rPr>
            </w:pPr>
          </w:p>
        </w:tc>
        <w:tc>
          <w:tcPr>
            <w:tcW w:w="1100" w:type="dxa"/>
            <w:vAlign w:val="bottom"/>
            <w:tcBorders>
              <w:bottom w:val="single" w:sz="8" w:color="00497F"/>
            </w:tcBorders>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right="740" w:hanging="212"/>
        <w:spacing w:after="0" w:line="227" w:lineRule="auto"/>
        <w:tabs>
          <w:tab w:leader="none" w:pos="283" w:val="left"/>
        </w:tabs>
        <w:numPr>
          <w:ilvl w:val="0"/>
          <w:numId w:val="79"/>
        </w:numPr>
        <w:rPr>
          <w:rFonts w:ascii="Arial" w:cs="Arial" w:eastAsia="Arial" w:hAnsi="Arial"/>
          <w:sz w:val="21"/>
          <w:szCs w:val="21"/>
          <w:color w:val="auto"/>
          <w:vertAlign w:val="superscript"/>
        </w:rPr>
      </w:pPr>
      <w:r>
        <w:rPr>
          <w:rFonts w:ascii="Arial" w:cs="Arial" w:eastAsia="Arial" w:hAnsi="Arial"/>
          <w:sz w:val="16"/>
          <w:szCs w:val="16"/>
          <w:color w:val="auto"/>
        </w:rPr>
        <w:t>Of these amounts, the following were previously reported in the Summary Compensation Table of previously filed proxy statements: Mr. Weisz, $919,163; Mr. Geller, $754,946; Mr. Terry, $111,220; Mr. Miller, $881,451; and Ms. Marbert, $90,216.</w:t>
      </w:r>
    </w:p>
    <w:p>
      <w:pPr>
        <w:spacing w:after="0" w:line="97" w:lineRule="exact"/>
        <w:rPr>
          <w:sz w:val="20"/>
          <w:szCs w:val="20"/>
          <w:color w:val="auto"/>
        </w:rPr>
      </w:pPr>
    </w:p>
    <w:p>
      <w:pPr>
        <w:ind w:left="220" w:right="360" w:hanging="212"/>
        <w:spacing w:after="0" w:line="233" w:lineRule="auto"/>
        <w:tabs>
          <w:tab w:leader="none" w:pos="283"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Of these amounts, the following were previously reported in the Summary Compensation Table of previously filed proxy statements or in a Summary Compensation Table included in a Form 10 or Annual Report on Form 10-K: Mr. Weisz, $375,514; Mr. Geller, $99,284; Mr. Terry, $5,705; Mr. Miller, $230,071; and Ms. Marbert, $0.</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2022, we credited amounts subject to the fixed rate of return in participant plan accounts with a rate of return of 3.5%. For 2022, Marriott International credited participant plan accounts with a rate of return of 3.4%, determined largely based on Marriott International’s estimated long-term cost of borrowing. To the extent that either of these fixed rates exceeds 120% of the applicable federal long-term rate, the excess is reported in the Change in Pension Value and Nonqualified Deferred Compensation Earnings column of the Summary Compensation Table. The terms of the MVW Deferred Compensation Plan are described above under “Deferred Compensation Plan.” Under the Marriott Deferred Compensation Plan, the named executive officers could defer the receipt of up to 80% of their salary, bonus, non-equity incentive plan compensation and/or commissions, which amounts were immediately vested. In addition, the named executive officers were eligible to receive a discretionary match or other discretionary contributions, which were vested when made (other than discretionary contributions made for any year prior to 2009, which vested 25 percent per year for each year that the executive remained employed by Marriott International or us), all of which have vested. Because our executives ceased to be eligible to make further contributions under the Marriott Deferred Compensation Plan as of the Spin-Off, no match or discretionary company contribution was received by any of the named executive officers for 2022.</w:t>
      </w:r>
    </w:p>
    <w:p>
      <w:pPr>
        <w:spacing w:after="0" w:line="8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named executive officers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plan year’s deferrals have a separate distribution election. Distributions payable upon termination of employment are payable as: (i) a lump sum cash payment; (ii) a series of annual cash installments payable over a designated term not to exceed twenty years; or (iii) five annual cash payments beginning on the sixth January following termination of employment, in each case as elected by the executive. In the case of amounts of $10,000 or less, or when no election regarding the form of distribution was made, the distribution is made in a lump sum.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48</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information relates to benefits that would have been paid or payable had a change in control occurred and/or a named executive officer’s employment with the Company terminated as of December 31, 2022, the last business day of our fiscal year. The table below reflects the intrinsic value of unvested stock awards, unvested MVW Deferred Compensation Plan accounts and incentive payments under the Bonus Plan that each named executive officer would have received upon retirement, disability, death, resignation, involuntary termination of employment, or a change in control as of December 31, 2022 (based on our closing stock price of $134.59 as of that date).</w:t>
      </w:r>
    </w:p>
    <w:tbl>
      <w:tblPr>
        <w:tblLayout w:type="fixed"/>
        <w:tblInd w:w="0" w:type="dxa"/>
        <w:tblCellMar>
          <w:top w:w="0" w:type="dxa"/>
          <w:left w:w="0" w:type="dxa"/>
          <w:bottom w:w="0" w:type="dxa"/>
          <w:right w:w="0" w:type="dxa"/>
        </w:tblCellMar>
      </w:tblPr>
      <w:tr>
        <w:trPr>
          <w:trHeight w:val="150"/>
        </w:trPr>
        <w:tc>
          <w:tcPr>
            <w:tcW w:w="1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004E7D"/>
              </w:rPr>
              <w:t>Resignation or</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right="148"/>
              <w:spacing w:after="0" w:line="150" w:lineRule="exact"/>
              <w:rPr>
                <w:sz w:val="20"/>
                <w:szCs w:val="20"/>
                <w:color w:val="auto"/>
              </w:rPr>
            </w:pPr>
            <w:r>
              <w:rPr>
                <w:rFonts w:ascii="Arial" w:cs="Arial" w:eastAsia="Arial" w:hAnsi="Arial"/>
                <w:sz w:val="14"/>
                <w:szCs w:val="14"/>
                <w:b w:val="1"/>
                <w:bCs w:val="1"/>
                <w:color w:val="004E7D"/>
              </w:rPr>
              <w:t>Termination</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004E7D"/>
              </w:rPr>
              <w:t>Following</w:t>
            </w:r>
          </w:p>
        </w:tc>
        <w:tc>
          <w:tcPr>
            <w:tcW w:w="0" w:type="dxa"/>
            <w:vAlign w:val="bottom"/>
          </w:tcPr>
          <w:p>
            <w:pPr>
              <w:spacing w:after="0"/>
              <w:rPr>
                <w:sz w:val="1"/>
                <w:szCs w:val="1"/>
                <w:color w:val="auto"/>
              </w:rPr>
            </w:pPr>
          </w:p>
        </w:tc>
      </w:tr>
      <w:tr>
        <w:trPr>
          <w:trHeight w:val="148"/>
        </w:trPr>
        <w:tc>
          <w:tcPr>
            <w:tcW w:w="110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Name</w:t>
            </w:r>
          </w:p>
        </w:tc>
        <w:tc>
          <w:tcPr>
            <w:tcW w:w="2560" w:type="dxa"/>
            <w:vAlign w:val="bottom"/>
            <w:vMerge w:val="restart"/>
          </w:tcPr>
          <w:p>
            <w:pPr>
              <w:ind w:left="440"/>
              <w:spacing w:after="0"/>
              <w:rPr>
                <w:sz w:val="20"/>
                <w:szCs w:val="20"/>
                <w:color w:val="auto"/>
              </w:rPr>
            </w:pPr>
            <w:r>
              <w:rPr>
                <w:rFonts w:ascii="Arial" w:cs="Arial" w:eastAsia="Arial" w:hAnsi="Arial"/>
                <w:sz w:val="14"/>
                <w:szCs w:val="14"/>
                <w:b w:val="1"/>
                <w:bCs w:val="1"/>
                <w:color w:val="004E7D"/>
              </w:rPr>
              <w:t>Plan</w:t>
            </w:r>
          </w:p>
        </w:tc>
        <w:tc>
          <w:tcPr>
            <w:tcW w:w="340" w:type="dxa"/>
            <w:vAlign w:val="bottom"/>
          </w:tcPr>
          <w:p>
            <w:pPr>
              <w:spacing w:after="0"/>
              <w:rPr>
                <w:sz w:val="12"/>
                <w:szCs w:val="12"/>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004E7D"/>
              </w:rPr>
              <w:t>Retirement</w:t>
            </w:r>
            <w:r>
              <w:rPr>
                <w:rFonts w:ascii="Arial" w:cs="Arial" w:eastAsia="Arial" w:hAnsi="Arial"/>
                <w:sz w:val="8"/>
                <w:szCs w:val="8"/>
                <w:b w:val="1"/>
                <w:bCs w:val="1"/>
                <w:color w:val="004E7D"/>
              </w:rPr>
              <w:t>1</w:t>
            </w:r>
          </w:p>
        </w:tc>
        <w:tc>
          <w:tcPr>
            <w:tcW w:w="340" w:type="dxa"/>
            <w:vAlign w:val="bottom"/>
          </w:tcPr>
          <w:p>
            <w:pPr>
              <w:spacing w:after="0"/>
              <w:rPr>
                <w:sz w:val="12"/>
                <w:szCs w:val="12"/>
                <w:color w:val="auto"/>
              </w:rPr>
            </w:pPr>
          </w:p>
        </w:tc>
        <w:tc>
          <w:tcPr>
            <w:tcW w:w="11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004E7D"/>
              </w:rPr>
              <w:t>Disability</w:t>
            </w:r>
          </w:p>
        </w:tc>
        <w:tc>
          <w:tcPr>
            <w:tcW w:w="380" w:type="dxa"/>
            <w:vAlign w:val="bottom"/>
          </w:tcPr>
          <w:p>
            <w:pPr>
              <w:spacing w:after="0"/>
              <w:rPr>
                <w:sz w:val="12"/>
                <w:szCs w:val="12"/>
                <w:color w:val="auto"/>
              </w:rPr>
            </w:pPr>
          </w:p>
        </w:tc>
        <w:tc>
          <w:tcPr>
            <w:tcW w:w="1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004E7D"/>
              </w:rPr>
              <w:t>Death</w:t>
            </w:r>
          </w:p>
        </w:tc>
        <w:tc>
          <w:tcPr>
            <w:tcW w:w="14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004E7D"/>
              </w:rPr>
              <w:t>Involuntary</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004E7D"/>
              </w:rPr>
              <w:t>Change In</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4987"/>
            </w:tcBorders>
            <w:vMerge w:val="continue"/>
          </w:tcPr>
          <w:p>
            <w:pPr>
              <w:spacing w:after="0"/>
              <w:rPr>
                <w:sz w:val="17"/>
                <w:szCs w:val="17"/>
                <w:color w:val="auto"/>
              </w:rPr>
            </w:pPr>
          </w:p>
        </w:tc>
        <w:tc>
          <w:tcPr>
            <w:tcW w:w="2560" w:type="dxa"/>
            <w:vAlign w:val="bottom"/>
            <w:tcBorders>
              <w:bottom w:val="single" w:sz="8" w:color="004987"/>
            </w:tcBorders>
            <w:vMerge w:val="continue"/>
          </w:tcPr>
          <w:p>
            <w:pPr>
              <w:spacing w:after="0"/>
              <w:rPr>
                <w:sz w:val="17"/>
                <w:szCs w:val="17"/>
                <w:color w:val="auto"/>
              </w:rPr>
            </w:pPr>
          </w:p>
        </w:tc>
        <w:tc>
          <w:tcPr>
            <w:tcW w:w="340" w:type="dxa"/>
            <w:vAlign w:val="bottom"/>
            <w:tcBorders>
              <w:bottom w:val="single" w:sz="8" w:color="004987"/>
            </w:tcBorders>
          </w:tcPr>
          <w:p>
            <w:pPr>
              <w:spacing w:after="0"/>
              <w:rPr>
                <w:sz w:val="17"/>
                <w:szCs w:val="17"/>
                <w:color w:val="auto"/>
              </w:rPr>
            </w:pPr>
          </w:p>
        </w:tc>
        <w:tc>
          <w:tcPr>
            <w:tcW w:w="1120" w:type="dxa"/>
            <w:vAlign w:val="bottom"/>
            <w:tcBorders>
              <w:bottom w:val="single" w:sz="8" w:color="004987"/>
            </w:tcBorders>
            <w:vMerge w:val="continue"/>
          </w:tcPr>
          <w:p>
            <w:pPr>
              <w:spacing w:after="0"/>
              <w:rPr>
                <w:sz w:val="17"/>
                <w:szCs w:val="17"/>
                <w:color w:val="auto"/>
              </w:rPr>
            </w:pPr>
          </w:p>
        </w:tc>
        <w:tc>
          <w:tcPr>
            <w:tcW w:w="340" w:type="dxa"/>
            <w:vAlign w:val="bottom"/>
            <w:tcBorders>
              <w:bottom w:val="single" w:sz="8" w:color="004987"/>
            </w:tcBorders>
          </w:tcPr>
          <w:p>
            <w:pPr>
              <w:spacing w:after="0"/>
              <w:rPr>
                <w:sz w:val="17"/>
                <w:szCs w:val="17"/>
                <w:color w:val="auto"/>
              </w:rPr>
            </w:pPr>
          </w:p>
        </w:tc>
        <w:tc>
          <w:tcPr>
            <w:tcW w:w="1100" w:type="dxa"/>
            <w:vAlign w:val="bottom"/>
            <w:tcBorders>
              <w:bottom w:val="single" w:sz="8" w:color="004987"/>
            </w:tcBorders>
            <w:vMerge w:val="continue"/>
          </w:tcPr>
          <w:p>
            <w:pPr>
              <w:spacing w:after="0"/>
              <w:rPr>
                <w:sz w:val="17"/>
                <w:szCs w:val="17"/>
                <w:color w:val="auto"/>
              </w:rPr>
            </w:pPr>
          </w:p>
        </w:tc>
        <w:tc>
          <w:tcPr>
            <w:tcW w:w="380" w:type="dxa"/>
            <w:vAlign w:val="bottom"/>
            <w:tcBorders>
              <w:bottom w:val="single" w:sz="8" w:color="004987"/>
            </w:tcBorders>
          </w:tcPr>
          <w:p>
            <w:pPr>
              <w:spacing w:after="0"/>
              <w:rPr>
                <w:sz w:val="17"/>
                <w:szCs w:val="17"/>
                <w:color w:val="auto"/>
              </w:rPr>
            </w:pPr>
          </w:p>
        </w:tc>
        <w:tc>
          <w:tcPr>
            <w:tcW w:w="1040" w:type="dxa"/>
            <w:vAlign w:val="bottom"/>
            <w:tcBorders>
              <w:bottom w:val="single" w:sz="8" w:color="004987"/>
            </w:tcBorders>
            <w:vMerge w:val="continue"/>
          </w:tcPr>
          <w:p>
            <w:pPr>
              <w:spacing w:after="0"/>
              <w:rPr>
                <w:sz w:val="17"/>
                <w:szCs w:val="17"/>
                <w:color w:val="auto"/>
              </w:rPr>
            </w:pPr>
          </w:p>
        </w:tc>
        <w:tc>
          <w:tcPr>
            <w:tcW w:w="1420" w:type="dxa"/>
            <w:vAlign w:val="bottom"/>
            <w:tcBorders>
              <w:bottom w:val="single" w:sz="8" w:color="004987"/>
            </w:tcBorders>
          </w:tcPr>
          <w:p>
            <w:pPr>
              <w:jc w:val="center"/>
              <w:ind w:left="328"/>
              <w:spacing w:after="0"/>
              <w:rPr>
                <w:sz w:val="20"/>
                <w:szCs w:val="20"/>
                <w:color w:val="auto"/>
              </w:rPr>
            </w:pPr>
            <w:r>
              <w:rPr>
                <w:rFonts w:ascii="Arial" w:cs="Arial" w:eastAsia="Arial" w:hAnsi="Arial"/>
                <w:sz w:val="14"/>
                <w:szCs w:val="14"/>
                <w:b w:val="1"/>
                <w:bCs w:val="1"/>
                <w:color w:val="004E7D"/>
              </w:rPr>
              <w:t>Termination</w:t>
            </w:r>
            <w:r>
              <w:rPr>
                <w:rFonts w:ascii="Arial" w:cs="Arial" w:eastAsia="Arial" w:hAnsi="Arial"/>
                <w:sz w:val="8"/>
                <w:szCs w:val="8"/>
                <w:b w:val="1"/>
                <w:bCs w:val="1"/>
                <w:color w:val="004E7D"/>
              </w:rPr>
              <w:t>2</w:t>
            </w:r>
          </w:p>
        </w:tc>
        <w:tc>
          <w:tcPr>
            <w:tcW w:w="320" w:type="dxa"/>
            <w:vAlign w:val="bottom"/>
            <w:tcBorders>
              <w:bottom w:val="single" w:sz="8" w:color="004987"/>
            </w:tcBorders>
          </w:tcPr>
          <w:p>
            <w:pPr>
              <w:spacing w:after="0"/>
              <w:rPr>
                <w:sz w:val="17"/>
                <w:szCs w:val="17"/>
                <w:color w:val="auto"/>
              </w:rPr>
            </w:pPr>
          </w:p>
        </w:tc>
        <w:tc>
          <w:tcPr>
            <w:tcW w:w="280" w:type="dxa"/>
            <w:vAlign w:val="bottom"/>
            <w:tcBorders>
              <w:bottom w:val="single" w:sz="8" w:color="004987"/>
            </w:tcBorders>
          </w:tcPr>
          <w:p>
            <w:pPr>
              <w:spacing w:after="0"/>
              <w:rPr>
                <w:sz w:val="17"/>
                <w:szCs w:val="17"/>
                <w:color w:val="auto"/>
              </w:rPr>
            </w:pPr>
          </w:p>
        </w:tc>
        <w:tc>
          <w:tcPr>
            <w:tcW w:w="1120" w:type="dxa"/>
            <w:vAlign w:val="bottom"/>
            <w:tcBorders>
              <w:bottom w:val="single" w:sz="8" w:color="004987"/>
            </w:tcBorders>
          </w:tcPr>
          <w:p>
            <w:pPr>
              <w:jc w:val="center"/>
              <w:ind w:right="148"/>
              <w:spacing w:after="0"/>
              <w:rPr>
                <w:sz w:val="20"/>
                <w:szCs w:val="20"/>
                <w:color w:val="auto"/>
              </w:rPr>
            </w:pPr>
            <w:r>
              <w:rPr>
                <w:rFonts w:ascii="Arial" w:cs="Arial" w:eastAsia="Arial" w:hAnsi="Arial"/>
                <w:sz w:val="14"/>
                <w:szCs w:val="14"/>
                <w:b w:val="1"/>
                <w:bCs w:val="1"/>
                <w:color w:val="004E7D"/>
                <w:w w:val="99"/>
              </w:rPr>
              <w:t>Control</w:t>
            </w:r>
            <w:r>
              <w:rPr>
                <w:rFonts w:ascii="Arial" w:cs="Arial" w:eastAsia="Arial" w:hAnsi="Arial"/>
                <w:sz w:val="8"/>
                <w:szCs w:val="8"/>
                <w:b w:val="1"/>
                <w:bCs w:val="1"/>
                <w:color w:val="004E7D"/>
                <w:w w:val="99"/>
              </w:rPr>
              <w:t>3</w:t>
            </w:r>
          </w:p>
        </w:tc>
        <w:tc>
          <w:tcPr>
            <w:tcW w:w="0" w:type="dxa"/>
            <w:vAlign w:val="bottom"/>
          </w:tcPr>
          <w:p>
            <w:pPr>
              <w:spacing w:after="0"/>
              <w:rPr>
                <w:sz w:val="1"/>
                <w:szCs w:val="1"/>
                <w:color w:val="auto"/>
              </w:rPr>
            </w:pPr>
          </w:p>
        </w:tc>
      </w:tr>
      <w:tr>
        <w:trPr>
          <w:trHeight w:val="195"/>
        </w:trPr>
        <w:tc>
          <w:tcPr>
            <w:tcW w:w="1100" w:type="dxa"/>
            <w:vAlign w:val="bottom"/>
          </w:tcPr>
          <w:p>
            <w:pPr>
              <w:ind w:left="20"/>
              <w:spacing w:after="0"/>
              <w:rPr>
                <w:sz w:val="20"/>
                <w:szCs w:val="20"/>
                <w:color w:val="auto"/>
              </w:rPr>
            </w:pPr>
            <w:r>
              <w:rPr>
                <w:rFonts w:ascii="Arial" w:cs="Arial" w:eastAsia="Arial" w:hAnsi="Arial"/>
                <w:sz w:val="14"/>
                <w:szCs w:val="14"/>
                <w:color w:val="auto"/>
              </w:rPr>
              <w:t>S. Weisz</w:t>
            </w:r>
          </w:p>
        </w:tc>
        <w:tc>
          <w:tcPr>
            <w:tcW w:w="2560" w:type="dxa"/>
            <w:vAlign w:val="bottom"/>
          </w:tcPr>
          <w:p>
            <w:pPr>
              <w:ind w:left="440"/>
              <w:spacing w:after="0"/>
              <w:rPr>
                <w:sz w:val="20"/>
                <w:szCs w:val="20"/>
                <w:color w:val="auto"/>
              </w:rPr>
            </w:pPr>
            <w:r>
              <w:rPr>
                <w:rFonts w:ascii="Arial" w:cs="Arial" w:eastAsia="Arial" w:hAnsi="Arial"/>
                <w:sz w:val="14"/>
                <w:szCs w:val="14"/>
                <w:color w:val="auto"/>
              </w:rPr>
              <w:t>Cash Severance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Annual Bonus</w:t>
            </w:r>
            <w:r>
              <w:rPr>
                <w:rFonts w:ascii="Arial" w:cs="Arial" w:eastAsia="Arial" w:hAnsi="Arial"/>
                <w:sz w:val="18"/>
                <w:szCs w:val="18"/>
                <w:color w:val="auto"/>
                <w:vertAlign w:val="superscript"/>
              </w:rPr>
              <w:t>4</w:t>
            </w:r>
          </w:p>
        </w:tc>
        <w:tc>
          <w:tcPr>
            <w:tcW w:w="3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2,456,661</w:t>
            </w:r>
          </w:p>
        </w:tc>
        <w:tc>
          <w:tcPr>
            <w:tcW w:w="34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2,456,661</w:t>
            </w:r>
          </w:p>
        </w:tc>
        <w:tc>
          <w:tcPr>
            <w:tcW w:w="38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2,456,661</w:t>
            </w:r>
          </w:p>
        </w:tc>
        <w:tc>
          <w:tcPr>
            <w:tcW w:w="14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1,545,000</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5</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42,291</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MVW Equity Awards</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9,079,156</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8,256,736</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8,401,296</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10,365,966</w:t>
            </w:r>
          </w:p>
        </w:tc>
        <w:tc>
          <w:tcPr>
            <w:tcW w:w="0" w:type="dxa"/>
            <w:vAlign w:val="bottom"/>
          </w:tcPr>
          <w:p>
            <w:pPr>
              <w:spacing w:after="0"/>
              <w:rPr>
                <w:sz w:val="1"/>
                <w:szCs w:val="1"/>
                <w:color w:val="auto"/>
              </w:rPr>
            </w:pPr>
          </w:p>
        </w:tc>
      </w:tr>
      <w:tr>
        <w:trPr>
          <w:trHeight w:val="201"/>
        </w:trPr>
        <w:tc>
          <w:tcPr>
            <w:tcW w:w="1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440"/>
              <w:spacing w:after="0" w:line="201"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78,699</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78,699</w:t>
            </w: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78,699</w:t>
            </w:r>
          </w:p>
        </w:tc>
        <w:tc>
          <w:tcPr>
            <w:tcW w:w="0" w:type="dxa"/>
            <w:vAlign w:val="bottom"/>
          </w:tcPr>
          <w:p>
            <w:pPr>
              <w:spacing w:after="0"/>
              <w:rPr>
                <w:sz w:val="1"/>
                <w:szCs w:val="1"/>
                <w:color w:val="auto"/>
              </w:rPr>
            </w:pPr>
          </w:p>
        </w:tc>
      </w:tr>
      <w:tr>
        <w:trPr>
          <w:trHeight w:val="235"/>
        </w:trPr>
        <w:tc>
          <w:tcPr>
            <w:tcW w:w="1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11,614,516</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10,713,397</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10,936,656</w:t>
            </w:r>
          </w:p>
        </w:tc>
        <w:tc>
          <w:tcPr>
            <w:tcW w:w="142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19,756,956</w:t>
            </w: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rPr>
                <w:sz w:val="20"/>
                <w:szCs w:val="20"/>
                <w:color w:val="auto"/>
              </w:rPr>
            </w:pPr>
            <w:r>
              <w:rPr>
                <w:rFonts w:ascii="Arial" w:cs="Arial" w:eastAsia="Arial" w:hAnsi="Arial"/>
                <w:sz w:val="14"/>
                <w:szCs w:val="14"/>
                <w:color w:val="auto"/>
              </w:rPr>
              <w:t>J. Geller</w:t>
            </w:r>
          </w:p>
        </w:tc>
        <w:tc>
          <w:tcPr>
            <w:tcW w:w="2560" w:type="dxa"/>
            <w:vAlign w:val="bottom"/>
          </w:tcPr>
          <w:p>
            <w:pPr>
              <w:ind w:left="440"/>
              <w:spacing w:after="0"/>
              <w:rPr>
                <w:sz w:val="20"/>
                <w:szCs w:val="20"/>
                <w:color w:val="auto"/>
              </w:rPr>
            </w:pPr>
            <w:r>
              <w:rPr>
                <w:rFonts w:ascii="Arial" w:cs="Arial" w:eastAsia="Arial" w:hAnsi="Arial"/>
                <w:sz w:val="14"/>
                <w:szCs w:val="14"/>
                <w:color w:val="auto"/>
              </w:rPr>
              <w:t>Cash Severance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3,129,750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Annual Bonus</w:t>
            </w:r>
            <w:r>
              <w:rPr>
                <w:rFonts w:ascii="Arial" w:cs="Arial" w:eastAsia="Arial" w:hAnsi="Arial"/>
                <w:sz w:val="18"/>
                <w:szCs w:val="18"/>
                <w:color w:val="auto"/>
                <w:vertAlign w:val="superscript"/>
              </w:rPr>
              <w:t>4</w:t>
            </w:r>
          </w:p>
        </w:tc>
        <w:tc>
          <w:tcPr>
            <w:tcW w:w="3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1,382,369</w:t>
            </w:r>
          </w:p>
        </w:tc>
        <w:tc>
          <w:tcPr>
            <w:tcW w:w="34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1,382,369</w:t>
            </w:r>
          </w:p>
        </w:tc>
        <w:tc>
          <w:tcPr>
            <w:tcW w:w="38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1,382,369</w:t>
            </w:r>
          </w:p>
        </w:tc>
        <w:tc>
          <w:tcPr>
            <w:tcW w:w="14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869,375</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5</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39,470</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MVW Equity Awards</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2,515,829</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2,254,742</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2,902,958</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3,526,666</w:t>
            </w:r>
          </w:p>
        </w:tc>
        <w:tc>
          <w:tcPr>
            <w:tcW w:w="0" w:type="dxa"/>
            <w:vAlign w:val="bottom"/>
          </w:tcPr>
          <w:p>
            <w:pPr>
              <w:spacing w:after="0"/>
              <w:rPr>
                <w:sz w:val="1"/>
                <w:szCs w:val="1"/>
                <w:color w:val="auto"/>
              </w:rPr>
            </w:pPr>
          </w:p>
        </w:tc>
      </w:tr>
      <w:tr>
        <w:trPr>
          <w:trHeight w:val="201"/>
        </w:trPr>
        <w:tc>
          <w:tcPr>
            <w:tcW w:w="1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440"/>
              <w:spacing w:after="0" w:line="201"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50,642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50,642</w:t>
            </w: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50,642</w:t>
            </w:r>
          </w:p>
        </w:tc>
        <w:tc>
          <w:tcPr>
            <w:tcW w:w="0" w:type="dxa"/>
            <w:vAlign w:val="bottom"/>
          </w:tcPr>
          <w:p>
            <w:pPr>
              <w:spacing w:after="0"/>
              <w:rPr>
                <w:sz w:val="1"/>
                <w:szCs w:val="1"/>
                <w:color w:val="auto"/>
              </w:rPr>
            </w:pPr>
          </w:p>
        </w:tc>
      </w:tr>
      <w:tr>
        <w:trPr>
          <w:trHeight w:val="235"/>
        </w:trPr>
        <w:tc>
          <w:tcPr>
            <w:tcW w:w="1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3,948,840</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3,637,111</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4,335,969</w:t>
            </w:r>
          </w:p>
        </w:tc>
        <w:tc>
          <w:tcPr>
            <w:tcW w:w="142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7,615,903</w:t>
            </w: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rPr>
                <w:sz w:val="20"/>
                <w:szCs w:val="20"/>
                <w:color w:val="auto"/>
              </w:rPr>
            </w:pPr>
            <w:r>
              <w:rPr>
                <w:rFonts w:ascii="Arial" w:cs="Arial" w:eastAsia="Arial" w:hAnsi="Arial"/>
                <w:sz w:val="14"/>
                <w:szCs w:val="14"/>
                <w:color w:val="auto"/>
              </w:rPr>
              <w:t>A. Terry</w:t>
            </w:r>
          </w:p>
        </w:tc>
        <w:tc>
          <w:tcPr>
            <w:tcW w:w="2560" w:type="dxa"/>
            <w:vAlign w:val="bottom"/>
          </w:tcPr>
          <w:p>
            <w:pPr>
              <w:ind w:left="440"/>
              <w:spacing w:after="0"/>
              <w:rPr>
                <w:sz w:val="20"/>
                <w:szCs w:val="20"/>
                <w:color w:val="auto"/>
              </w:rPr>
            </w:pPr>
            <w:r>
              <w:rPr>
                <w:rFonts w:ascii="Arial" w:cs="Arial" w:eastAsia="Arial" w:hAnsi="Arial"/>
                <w:sz w:val="14"/>
                <w:szCs w:val="14"/>
                <w:color w:val="auto"/>
              </w:rPr>
              <w:t>Cash Severance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1,900,000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Annual Bonus</w:t>
            </w:r>
            <w:r>
              <w:rPr>
                <w:rFonts w:ascii="Arial" w:cs="Arial" w:eastAsia="Arial" w:hAnsi="Arial"/>
                <w:sz w:val="18"/>
                <w:szCs w:val="18"/>
                <w:color w:val="auto"/>
                <w:vertAlign w:val="superscript"/>
              </w:rPr>
              <w:t>4</w:t>
            </w:r>
          </w:p>
        </w:tc>
        <w:tc>
          <w:tcPr>
            <w:tcW w:w="3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755,284</w:t>
            </w:r>
          </w:p>
        </w:tc>
        <w:tc>
          <w:tcPr>
            <w:tcW w:w="34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755,284</w:t>
            </w:r>
          </w:p>
        </w:tc>
        <w:tc>
          <w:tcPr>
            <w:tcW w:w="38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755,284</w:t>
            </w:r>
          </w:p>
        </w:tc>
        <w:tc>
          <w:tcPr>
            <w:tcW w:w="14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5</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37,024</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MVW Equity Awards</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965,213</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834,670</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1,008,204</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1,320,058</w:t>
            </w:r>
          </w:p>
        </w:tc>
        <w:tc>
          <w:tcPr>
            <w:tcW w:w="0" w:type="dxa"/>
            <w:vAlign w:val="bottom"/>
          </w:tcPr>
          <w:p>
            <w:pPr>
              <w:spacing w:after="0"/>
              <w:rPr>
                <w:sz w:val="1"/>
                <w:szCs w:val="1"/>
                <w:color w:val="auto"/>
              </w:rPr>
            </w:pPr>
          </w:p>
        </w:tc>
      </w:tr>
      <w:tr>
        <w:trPr>
          <w:trHeight w:val="201"/>
        </w:trPr>
        <w:tc>
          <w:tcPr>
            <w:tcW w:w="1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440"/>
              <w:spacing w:after="0" w:line="201"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21,688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21,688</w:t>
            </w: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21,688</w:t>
            </w:r>
          </w:p>
        </w:tc>
        <w:tc>
          <w:tcPr>
            <w:tcW w:w="0" w:type="dxa"/>
            <w:vAlign w:val="bottom"/>
          </w:tcPr>
          <w:p>
            <w:pPr>
              <w:spacing w:after="0"/>
              <w:rPr>
                <w:sz w:val="1"/>
                <w:szCs w:val="1"/>
                <w:color w:val="auto"/>
              </w:rPr>
            </w:pPr>
          </w:p>
        </w:tc>
      </w:tr>
      <w:tr>
        <w:trPr>
          <w:trHeight w:val="236"/>
        </w:trPr>
        <w:tc>
          <w:tcPr>
            <w:tcW w:w="1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1,742,185</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1,589,954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1,785,176</w:t>
            </w:r>
          </w:p>
        </w:tc>
        <w:tc>
          <w:tcPr>
            <w:tcW w:w="142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3,753,770</w:t>
            </w: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rPr>
                <w:sz w:val="20"/>
                <w:szCs w:val="20"/>
                <w:color w:val="auto"/>
              </w:rPr>
            </w:pPr>
            <w:r>
              <w:rPr>
                <w:rFonts w:ascii="Arial" w:cs="Arial" w:eastAsia="Arial" w:hAnsi="Arial"/>
                <w:sz w:val="14"/>
                <w:szCs w:val="14"/>
                <w:color w:val="auto"/>
              </w:rPr>
              <w:t>B. Miller</w:t>
            </w:r>
          </w:p>
        </w:tc>
        <w:tc>
          <w:tcPr>
            <w:tcW w:w="2560" w:type="dxa"/>
            <w:vAlign w:val="bottom"/>
          </w:tcPr>
          <w:p>
            <w:pPr>
              <w:ind w:left="440"/>
              <w:spacing w:after="0"/>
              <w:rPr>
                <w:sz w:val="20"/>
                <w:szCs w:val="20"/>
                <w:color w:val="auto"/>
              </w:rPr>
            </w:pPr>
            <w:r>
              <w:rPr>
                <w:rFonts w:ascii="Arial" w:cs="Arial" w:eastAsia="Arial" w:hAnsi="Arial"/>
                <w:sz w:val="14"/>
                <w:szCs w:val="14"/>
                <w:color w:val="auto"/>
              </w:rPr>
              <w:t>Cash Severance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3,172,000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Annual Bonus</w:t>
            </w:r>
            <w:r>
              <w:rPr>
                <w:rFonts w:ascii="Arial" w:cs="Arial" w:eastAsia="Arial" w:hAnsi="Arial"/>
                <w:sz w:val="18"/>
                <w:szCs w:val="18"/>
                <w:color w:val="auto"/>
                <w:vertAlign w:val="superscript"/>
              </w:rPr>
              <w:t>4</w:t>
            </w:r>
          </w:p>
        </w:tc>
        <w:tc>
          <w:tcPr>
            <w:tcW w:w="3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1,260,927</w:t>
            </w:r>
          </w:p>
        </w:tc>
        <w:tc>
          <w:tcPr>
            <w:tcW w:w="34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1,260,927</w:t>
            </w:r>
          </w:p>
        </w:tc>
        <w:tc>
          <w:tcPr>
            <w:tcW w:w="38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1,260,927</w:t>
            </w:r>
          </w:p>
        </w:tc>
        <w:tc>
          <w:tcPr>
            <w:tcW w:w="14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793,000</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5</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37,429</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MVW Equity Awards</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1,535,120</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1,378,484</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1,780,849</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2,155,036</w:t>
            </w:r>
          </w:p>
        </w:tc>
        <w:tc>
          <w:tcPr>
            <w:tcW w:w="0" w:type="dxa"/>
            <w:vAlign w:val="bottom"/>
          </w:tcPr>
          <w:p>
            <w:pPr>
              <w:spacing w:after="0"/>
              <w:rPr>
                <w:sz w:val="1"/>
                <w:szCs w:val="1"/>
                <w:color w:val="auto"/>
              </w:rPr>
            </w:pPr>
          </w:p>
        </w:tc>
      </w:tr>
      <w:tr>
        <w:trPr>
          <w:trHeight w:val="201"/>
        </w:trPr>
        <w:tc>
          <w:tcPr>
            <w:tcW w:w="1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440"/>
              <w:spacing w:after="0" w:line="201"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53,844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53,844</w:t>
            </w: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53,844</w:t>
            </w:r>
          </w:p>
        </w:tc>
        <w:tc>
          <w:tcPr>
            <w:tcW w:w="0" w:type="dxa"/>
            <w:vAlign w:val="bottom"/>
          </w:tcPr>
          <w:p>
            <w:pPr>
              <w:spacing w:after="0"/>
              <w:rPr>
                <w:sz w:val="1"/>
                <w:szCs w:val="1"/>
                <w:color w:val="auto"/>
              </w:rPr>
            </w:pPr>
          </w:p>
        </w:tc>
      </w:tr>
      <w:tr>
        <w:trPr>
          <w:trHeight w:val="195"/>
        </w:trPr>
        <w:tc>
          <w:tcPr>
            <w:tcW w:w="1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2,849,891</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2,639,411</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3,095,620</w:t>
            </w:r>
          </w:p>
        </w:tc>
        <w:tc>
          <w:tcPr>
            <w:tcW w:w="142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6,211,309</w:t>
            </w: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rPr>
                <w:sz w:val="20"/>
                <w:szCs w:val="20"/>
                <w:color w:val="auto"/>
              </w:rPr>
            </w:pPr>
            <w:r>
              <w:rPr>
                <w:rFonts w:ascii="Arial" w:cs="Arial" w:eastAsia="Arial" w:hAnsi="Arial"/>
                <w:sz w:val="14"/>
                <w:szCs w:val="14"/>
                <w:color w:val="auto"/>
              </w:rPr>
              <w:t>J. Marbert</w:t>
            </w:r>
          </w:p>
        </w:tc>
        <w:tc>
          <w:tcPr>
            <w:tcW w:w="2560" w:type="dxa"/>
            <w:vAlign w:val="bottom"/>
          </w:tcPr>
          <w:p>
            <w:pPr>
              <w:ind w:left="440"/>
              <w:spacing w:after="0"/>
              <w:rPr>
                <w:sz w:val="20"/>
                <w:szCs w:val="20"/>
                <w:color w:val="auto"/>
              </w:rPr>
            </w:pPr>
            <w:r>
              <w:rPr>
                <w:rFonts w:ascii="Arial" w:cs="Arial" w:eastAsia="Arial" w:hAnsi="Arial"/>
                <w:sz w:val="14"/>
                <w:szCs w:val="14"/>
                <w:color w:val="auto"/>
              </w:rPr>
              <w:t>Cash Severance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2,164,000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Annual Bonus</w:t>
            </w:r>
            <w:r>
              <w:rPr>
                <w:rFonts w:ascii="Arial" w:cs="Arial" w:eastAsia="Arial" w:hAnsi="Arial"/>
                <w:sz w:val="18"/>
                <w:szCs w:val="18"/>
                <w:color w:val="auto"/>
                <w:vertAlign w:val="superscript"/>
              </w:rPr>
              <w:t>4</w:t>
            </w:r>
          </w:p>
        </w:tc>
        <w:tc>
          <w:tcPr>
            <w:tcW w:w="3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860,229</w:t>
            </w:r>
          </w:p>
        </w:tc>
        <w:tc>
          <w:tcPr>
            <w:tcW w:w="34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860,229</w:t>
            </w:r>
          </w:p>
        </w:tc>
        <w:tc>
          <w:tcPr>
            <w:tcW w:w="38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860,229</w:t>
            </w:r>
          </w:p>
        </w:tc>
        <w:tc>
          <w:tcPr>
            <w:tcW w:w="14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541,000</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5</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27,477</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560" w:type="dxa"/>
            <w:vAlign w:val="bottom"/>
          </w:tcPr>
          <w:p>
            <w:pPr>
              <w:ind w:left="440"/>
              <w:spacing w:after="0" w:line="202" w:lineRule="exact"/>
              <w:rPr>
                <w:sz w:val="20"/>
                <w:szCs w:val="20"/>
                <w:color w:val="auto"/>
              </w:rPr>
            </w:pPr>
            <w:r>
              <w:rPr>
                <w:rFonts w:ascii="Arial" w:cs="Arial" w:eastAsia="Arial" w:hAnsi="Arial"/>
                <w:sz w:val="14"/>
                <w:szCs w:val="14"/>
                <w:color w:val="auto"/>
              </w:rPr>
              <w:t>MVW Equity Awards</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1,325,716</w:t>
            </w: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1,195,173</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1,519,290</w:t>
            </w:r>
          </w:p>
        </w:tc>
        <w:tc>
          <w:tcPr>
            <w:tcW w:w="1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1,831,144</w:t>
            </w:r>
          </w:p>
        </w:tc>
        <w:tc>
          <w:tcPr>
            <w:tcW w:w="0" w:type="dxa"/>
            <w:vAlign w:val="bottom"/>
          </w:tcPr>
          <w:p>
            <w:pPr>
              <w:spacing w:after="0"/>
              <w:rPr>
                <w:sz w:val="1"/>
                <w:szCs w:val="1"/>
                <w:color w:val="auto"/>
              </w:rPr>
            </w:pPr>
          </w:p>
        </w:tc>
      </w:tr>
      <w:tr>
        <w:trPr>
          <w:trHeight w:val="201"/>
        </w:trPr>
        <w:tc>
          <w:tcPr>
            <w:tcW w:w="1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440"/>
              <w:spacing w:after="0" w:line="201"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28,013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28,013</w:t>
            </w: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236"/>
        </w:trPr>
        <w:tc>
          <w:tcPr>
            <w:tcW w:w="1100" w:type="dxa"/>
            <w:vAlign w:val="bottom"/>
            <w:tcBorders>
              <w:bottom w:val="single" w:sz="8" w:color="00497F"/>
            </w:tcBorders>
          </w:tcPr>
          <w:p>
            <w:pPr>
              <w:spacing w:after="0"/>
              <w:rPr>
                <w:sz w:val="20"/>
                <w:szCs w:val="20"/>
                <w:color w:val="auto"/>
              </w:rPr>
            </w:pPr>
          </w:p>
        </w:tc>
        <w:tc>
          <w:tcPr>
            <w:tcW w:w="2560" w:type="dxa"/>
            <w:vAlign w:val="bottom"/>
            <w:tcBorders>
              <w:bottom w:val="single" w:sz="8" w:color="00497F"/>
            </w:tcBorders>
          </w:tcPr>
          <w:p>
            <w:pPr>
              <w:ind w:left="4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00497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497F"/>
            </w:tcBorders>
          </w:tcPr>
          <w:p>
            <w:pPr>
              <w:jc w:val="right"/>
              <w:ind w:right="108"/>
              <w:spacing w:after="0"/>
              <w:rPr>
                <w:sz w:val="20"/>
                <w:szCs w:val="20"/>
                <w:color w:val="auto"/>
              </w:rPr>
            </w:pPr>
            <w:r>
              <w:rPr>
                <w:rFonts w:ascii="Arial" w:cs="Arial" w:eastAsia="Arial" w:hAnsi="Arial"/>
                <w:sz w:val="14"/>
                <w:szCs w:val="14"/>
                <w:b w:val="1"/>
                <w:bCs w:val="1"/>
                <w:color w:val="auto"/>
              </w:rPr>
              <w:t>2,213,958</w:t>
            </w:r>
          </w:p>
        </w:tc>
        <w:tc>
          <w:tcPr>
            <w:tcW w:w="340" w:type="dxa"/>
            <w:vAlign w:val="bottom"/>
            <w:tcBorders>
              <w:bottom w:val="single" w:sz="8" w:color="00497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497F"/>
            </w:tcBorders>
          </w:tcPr>
          <w:p>
            <w:pPr>
              <w:jc w:val="right"/>
              <w:ind w:right="128"/>
              <w:spacing w:after="0"/>
              <w:rPr>
                <w:sz w:val="20"/>
                <w:szCs w:val="20"/>
                <w:color w:val="auto"/>
              </w:rPr>
            </w:pPr>
            <w:r>
              <w:rPr>
                <w:rFonts w:ascii="Arial" w:cs="Arial" w:eastAsia="Arial" w:hAnsi="Arial"/>
                <w:sz w:val="14"/>
                <w:szCs w:val="14"/>
                <w:b w:val="1"/>
                <w:bCs w:val="1"/>
                <w:color w:val="auto"/>
              </w:rPr>
              <w:t>2,055,402</w:t>
            </w:r>
          </w:p>
        </w:tc>
        <w:tc>
          <w:tcPr>
            <w:tcW w:w="380" w:type="dxa"/>
            <w:vAlign w:val="bottom"/>
            <w:tcBorders>
              <w:bottom w:val="single" w:sz="8" w:color="00497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497F"/>
            </w:tcBorders>
          </w:tcPr>
          <w:p>
            <w:pPr>
              <w:jc w:val="right"/>
              <w:ind w:right="108"/>
              <w:spacing w:after="0"/>
              <w:rPr>
                <w:sz w:val="20"/>
                <w:szCs w:val="20"/>
                <w:color w:val="auto"/>
              </w:rPr>
            </w:pPr>
            <w:r>
              <w:rPr>
                <w:rFonts w:ascii="Arial" w:cs="Arial" w:eastAsia="Arial" w:hAnsi="Arial"/>
                <w:sz w:val="14"/>
                <w:szCs w:val="14"/>
                <w:b w:val="1"/>
                <w:bCs w:val="1"/>
                <w:color w:val="auto"/>
              </w:rPr>
              <w:t>2,407,532</w:t>
            </w:r>
          </w:p>
        </w:tc>
        <w:tc>
          <w:tcPr>
            <w:tcW w:w="1420" w:type="dxa"/>
            <w:vAlign w:val="bottom"/>
            <w:tcBorders>
              <w:bottom w:val="single" w:sz="8" w:color="00497F"/>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00497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497F"/>
            </w:tcBorders>
          </w:tcPr>
          <w:p>
            <w:pPr>
              <w:jc w:val="right"/>
              <w:ind w:right="88"/>
              <w:spacing w:after="0"/>
              <w:rPr>
                <w:sz w:val="20"/>
                <w:szCs w:val="20"/>
                <w:color w:val="auto"/>
              </w:rPr>
            </w:pPr>
            <w:r>
              <w:rPr>
                <w:rFonts w:ascii="Arial" w:cs="Arial" w:eastAsia="Arial" w:hAnsi="Arial"/>
                <w:sz w:val="14"/>
                <w:szCs w:val="14"/>
                <w:b w:val="1"/>
                <w:bCs w:val="1"/>
                <w:color w:val="auto"/>
              </w:rPr>
              <w:t>4,591,634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right="40" w:hanging="212"/>
        <w:spacing w:after="0" w:line="238" w:lineRule="auto"/>
        <w:tabs>
          <w:tab w:leader="none" w:pos="283"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Each of Mr. Weisz, Mr. Geller, Mr. Terry, Mr. Miller and Ms. Marbert is eligible for “approved retiree” status under the MVW Deferred Compensation Plan and the Equity Plans. Amounts in this column reflect the benefits each would receive if he or she ceased being employed by the Company for any reason on December 31, 2022 and satisfied the requirements of such plans for qualification as an approved retiree.</w:t>
      </w:r>
    </w:p>
    <w:p>
      <w:pPr>
        <w:spacing w:after="0" w:line="84" w:lineRule="exact"/>
        <w:rPr>
          <w:sz w:val="20"/>
          <w:szCs w:val="20"/>
          <w:color w:val="auto"/>
        </w:rPr>
      </w:pPr>
    </w:p>
    <w:p>
      <w:pPr>
        <w:ind w:left="220" w:right="340" w:hanging="212"/>
        <w:spacing w:after="0" w:line="238" w:lineRule="auto"/>
        <w:tabs>
          <w:tab w:leader="none" w:pos="283"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Upon resignation or termination with cause, no benefits would be payable. In addition, there are no contractual rights providing for payment upon a termination without cause other than in connection with a change in control. Any such payments would be based upon negotiation at the time of such termination.</w:t>
      </w:r>
    </w:p>
    <w:p>
      <w:pPr>
        <w:spacing w:after="0" w:line="84" w:lineRule="exact"/>
        <w:rPr>
          <w:sz w:val="20"/>
          <w:szCs w:val="20"/>
          <w:color w:val="auto"/>
        </w:rPr>
      </w:pPr>
    </w:p>
    <w:p>
      <w:pPr>
        <w:ind w:left="220" w:right="80" w:hanging="212"/>
        <w:spacing w:after="0" w:line="238" w:lineRule="auto"/>
        <w:tabs>
          <w:tab w:leader="none" w:pos="274"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As described above under “Change in Control Arrangements,” a named executive officer who participates in the Change in Control Plan and who executes a waiver and release of claims in favor of the Company will receive the following severance benefits if his or her employment is terminated involuntarily by the Company or any of its affiliates, other than due to Cause, Total Disability, or death, or is terminated by the named executive officer for</w:t>
      </w:r>
    </w:p>
    <w:p>
      <w:pPr>
        <w:spacing w:after="0" w:line="2" w:lineRule="exact"/>
        <w:rPr>
          <w:sz w:val="20"/>
          <w:szCs w:val="20"/>
          <w:color w:val="auto"/>
        </w:rPr>
      </w:pPr>
    </w:p>
    <w:p>
      <w:pPr>
        <w:ind w:left="220" w:right="380"/>
        <w:spacing w:after="0" w:line="249" w:lineRule="auto"/>
        <w:rPr>
          <w:sz w:val="20"/>
          <w:szCs w:val="20"/>
          <w:color w:val="auto"/>
        </w:rPr>
      </w:pPr>
      <w:r>
        <w:rPr>
          <w:rFonts w:ascii="Arial" w:cs="Arial" w:eastAsia="Arial" w:hAnsi="Arial"/>
          <w:sz w:val="16"/>
          <w:szCs w:val="16"/>
          <w:color w:val="auto"/>
        </w:rPr>
        <w:t>Good Reason, in each case, within two years following a Change in Control of the Company: (1) a cash severance payment, payable in a lump sum, equal to two times (or three times, in the case of the Chief Executive Officer of the Company) the sum of his or her Base Salary and Target Bonus;</w:t>
      </w:r>
    </w:p>
    <w:p>
      <w:pPr>
        <w:ind w:left="220" w:right="160" w:firstLine="8"/>
        <w:spacing w:after="0" w:line="264" w:lineRule="auto"/>
        <w:tabs>
          <w:tab w:leader="none" w:pos="46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twenty-four months (or thirty-six months, in the case of the Chief Executive Officer of the Company) of Company-subsidized medical, dental and life-insurance coverage for such named executive officer and his or her spouse and dependents, at the same benefit level as provided to the executive immediately prior to the Change in Control, or the cash equivalent of the present value of such coverage (“Benefit Coverage”); (3)</w:t>
      </w:r>
    </w:p>
    <w:p>
      <w:pPr>
        <w:sectPr>
          <w:pgSz w:w="11900" w:h="16838" w:orient="portrait"/>
          <w:cols w:equalWidth="0" w:num="1">
            <w:col w:w="11220"/>
          </w:cols>
          <w:pgMar w:left="320" w:top="12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90" w:right="359" w:bottom="1440" w:gutter="0" w:footer="0" w:header="0"/>
          <w:type w:val="continuous"/>
        </w:sectPr>
      </w:pPr>
    </w:p>
    <w:bookmarkStart w:id="54" w:name="page55"/>
    <w:bookmarkEnd w:id="54"/>
    <w:p>
      <w:pPr>
        <w:ind w:left="220" w:right="60"/>
        <w:spacing w:after="0" w:line="257" w:lineRule="auto"/>
        <w:rPr>
          <w:sz w:val="20"/>
          <w:szCs w:val="20"/>
          <w:color w:val="auto"/>
        </w:rPr>
      </w:pPr>
      <w:r>
        <w:rPr>
          <w:rFonts w:ascii="Arial" w:cs="Arial" w:eastAsia="Arial" w:hAnsi="Arial"/>
          <w:sz w:val="16"/>
          <w:szCs w:val="16"/>
          <w:color w:val="auto"/>
        </w:rPr>
        <w:t>any unpaid salary or bonus as of the Termination date for any previously-completed fiscal year (“Earned Amounts”); (4) a pro-rata bonus for the fiscal year in which the named executive officer’s employment is terminated assuming achievement at the target level of performance; (5) vesting of all restricted stock, RSUs or other share-based awards in a form substantially similar to restricted stock or RSUs as of the Termination date; (6) vesting of all unvested or unexercisable options, SARs or other share-based awards in a form substantially similar to options or SARs, which will be exercisable until the earlier of the end of their original term or 12 months (or in the case of certain approved retirees, five years) following the Termination date; and (7) the vesting and immediate payment of all other cash performance units or other share-based awards subject to performance-based vesting criteria based on a presumed achievement of target levels of performance. No amounts are shown for Earned Amounts as we have assumed there would be no such amounts unpaid on the last day of the fiscal year. Certain terms in this footnote are defined above under “Change in Control Arrangements.”</w:t>
      </w:r>
    </w:p>
    <w:p>
      <w:pPr>
        <w:spacing w:after="0" w:line="84" w:lineRule="exact"/>
        <w:rPr>
          <w:sz w:val="20"/>
          <w:szCs w:val="20"/>
          <w:color w:val="auto"/>
        </w:rPr>
      </w:pPr>
    </w:p>
    <w:p>
      <w:pPr>
        <w:ind w:left="220" w:right="180" w:hanging="212"/>
        <w:spacing w:after="0" w:line="238" w:lineRule="auto"/>
        <w:tabs>
          <w:tab w:leader="none" w:pos="283"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Upon retirement after either reaching age 55 and completing ten years of service, disability or death, the named executive officer would be entitled to a pro-rata bonus based on actual performance under the 2022 Bonus Plan. The amount shown with respect to annual bonus for each named executive officer is the actual payout amount for 2022. See Note 3 for a description of annual bonus amounts payable following a Change in Control.</w:t>
      </w:r>
    </w:p>
    <w:p>
      <w:pPr>
        <w:spacing w:after="0" w:line="57" w:lineRule="exact"/>
        <w:rPr>
          <w:sz w:val="20"/>
          <w:szCs w:val="20"/>
          <w:color w:val="auto"/>
        </w:rPr>
      </w:pPr>
    </w:p>
    <w:p>
      <w:pPr>
        <w:ind w:left="300" w:hanging="292"/>
        <w:spacing w:after="0"/>
        <w:tabs>
          <w:tab w:leader="none" w:pos="300" w:val="left"/>
        </w:tabs>
        <w:numPr>
          <w:ilvl w:val="0"/>
          <w:numId w:val="86"/>
        </w:numPr>
        <w:rPr>
          <w:rFonts w:ascii="Arial" w:cs="Arial" w:eastAsia="Arial" w:hAnsi="Arial"/>
          <w:sz w:val="21"/>
          <w:szCs w:val="21"/>
          <w:color w:val="auto"/>
          <w:vertAlign w:val="superscript"/>
        </w:rPr>
      </w:pPr>
      <w:r>
        <w:rPr>
          <w:rFonts w:ascii="Arial" w:cs="Arial" w:eastAsia="Arial" w:hAnsi="Arial"/>
          <w:sz w:val="16"/>
          <w:szCs w:val="16"/>
          <w:color w:val="auto"/>
        </w:rPr>
        <w:t>Consists of the Benefit Coverage payable under the Change in Control Plan.</w:t>
      </w:r>
    </w:p>
    <w:p>
      <w:pPr>
        <w:spacing w:after="0" w:line="82" w:lineRule="exact"/>
        <w:rPr>
          <w:sz w:val="20"/>
          <w:szCs w:val="20"/>
          <w:color w:val="auto"/>
        </w:rPr>
      </w:pPr>
    </w:p>
    <w:p>
      <w:pPr>
        <w:ind w:left="220" w:right="40" w:hanging="212"/>
        <w:spacing w:after="0" w:line="250" w:lineRule="auto"/>
        <w:tabs>
          <w:tab w:leader="none" w:pos="283" w:val="left"/>
        </w:tabs>
        <w:numPr>
          <w:ilvl w:val="0"/>
          <w:numId w:val="87"/>
        </w:numPr>
        <w:rPr>
          <w:rFonts w:ascii="Arial" w:cs="Arial" w:eastAsia="Arial" w:hAnsi="Arial"/>
          <w:sz w:val="21"/>
          <w:szCs w:val="21"/>
          <w:color w:val="auto"/>
          <w:vertAlign w:val="superscript"/>
        </w:rPr>
      </w:pPr>
      <w:r>
        <w:rPr>
          <w:rFonts w:ascii="Arial" w:cs="Arial" w:eastAsia="Arial" w:hAnsi="Arial"/>
          <w:sz w:val="16"/>
          <w:szCs w:val="16"/>
          <w:color w:val="auto"/>
        </w:rPr>
        <w:t>Upon retirement or permanent disability (as defined in the pertinent plan), a named executive officer may continue to vest in and receive distributions under outstanding stock awards for the remainder of their vesting period and may exercise options and SARs for up to five years in accordance with the awards’ original terms; provided however that upon permanent disability, the Performance Units will immediately vest assuming achievement at the target level of performance. Annual stock awards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CPC by an executive who had attained age 55 with 10 years of service. In all cases, however, the CPC or its designee has the authority to revoke approved retiree status if an executive’s employment terminated for serious misconduct or was subsequently found to have engaged in competition or engaged in criminal conduct or other behavior that was actually or potentially harmful to the Company. A named executive officer who dies as an employee or approved retiree would immediately vest in his or her options, SARs and other stock awards. As of December 31, 2022, each of Mr. Weisz, Mr. Geller, Mr. Terry, Ms. Marbert and Mr. Miller met the age and service conditions for retirement eligibility. The value of Performance Units vesting upon retirement is calculated based on the probable outcome of the performance conditions as of December 31, 2022; the value of Performance Units vesting upon disability or death is calculated assuming achievement at the target level of performance. See Note 3 for a description of treatment of outstanding equity awards following a Change in Control.</w:t>
      </w:r>
    </w:p>
    <w:p>
      <w:pPr>
        <w:spacing w:after="0" w:line="81" w:lineRule="exact"/>
        <w:rPr>
          <w:sz w:val="20"/>
          <w:szCs w:val="20"/>
          <w:color w:val="auto"/>
        </w:rPr>
      </w:pPr>
    </w:p>
    <w:p>
      <w:pPr>
        <w:ind w:left="220" w:right="140" w:hanging="212"/>
        <w:spacing w:after="0" w:line="246" w:lineRule="auto"/>
        <w:tabs>
          <w:tab w:leader="none" w:pos="283" w:val="left"/>
        </w:tabs>
        <w:numPr>
          <w:ilvl w:val="0"/>
          <w:numId w:val="88"/>
        </w:numPr>
        <w:rPr>
          <w:rFonts w:ascii="Arial" w:cs="Arial" w:eastAsia="Arial" w:hAnsi="Arial"/>
          <w:sz w:val="21"/>
          <w:szCs w:val="21"/>
          <w:color w:val="auto"/>
          <w:vertAlign w:val="superscript"/>
        </w:rPr>
      </w:pPr>
      <w:r>
        <w:rPr>
          <w:rFonts w:ascii="Arial" w:cs="Arial" w:eastAsia="Arial" w:hAnsi="Arial"/>
          <w:sz w:val="16"/>
          <w:szCs w:val="16"/>
          <w:color w:val="auto"/>
        </w:rPr>
        <w:t>Consists of the value of unvested employer credits under the MVW Deferred Compensation Plan. The Company may credit participants’ accounts with employer credits that will vest at a rate of 25% per year on the first four anniversaries of the date the discretionary employer credit was allocated to the participant’s account (unless otherwise determined), provided that the participant remains in continued service with the Company. Upon a change in control of the Company or a participant’s death or retirement after reaching age 55 and completing ten years of service, all employer credits will immediately vest in full. Although the Marriott Deferred Compensation Plan also provided for employer credits, no named executive officer has unvested employer credits under the Marriott Deferred Compensation Plan.</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benefits reported in the table and narrative above are in addition to benefits available prior to the occurrence of any termination of employment, including benefits available under then-exercisable SARs and options and vested MVW Deferred Compensation Plan balances, and benefits available generally to salaried employees such as benefits under the 401(k) Plan, group medical and dental plans, life and accidental death insurance plans, disability programs, health and dependent care spending accounts, and accrued paid time off. Amounts actually received if any of the named executive officers cease to be employed will vary based on factors such as the timing during the year of any such event, the price of the Company’s stock, the named executive officer’s age, and any changes to our benefit arrangements and policies. We may determine to provide additional or different benefits in connection with any executive’s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50</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004E7D"/>
        </w:rPr>
        <w:t>CEO PAY RATIO</w:t>
      </w:r>
    </w:p>
    <w:p>
      <w:pPr>
        <w:spacing w:after="0" w:line="112"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w:t>
      </w:r>
    </w:p>
    <w:p>
      <w:pPr>
        <w:spacing w:after="0" w:line="61"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We chose to utilize compensation rules that were consistent with the Summary Compensation Table. We did not perform adjustments to the compensation paid to part-time employees to calculate what they would have been paid on a full-time basis.</w:t>
      </w:r>
    </w:p>
    <w:p>
      <w:pPr>
        <w:spacing w:after="0" w:line="7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of December 31, 2022, the date for the determination of the median employee, we had 21,734 employees in 25 countries for purposes of this determination, however, the vast majority of these employees were in North America. In identifying the median employee, we excluded workers in 20 countries totaling 1,057 associates (approximately 4.9% of our workforce) as permitted by the de minimis exemption rules, given the small portion of the total employee population in these countries.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excluded the following number of workers from the following countries in the identification of the median employee.</w:t>
      </w:r>
    </w:p>
    <w:p>
      <w:pPr>
        <w:spacing w:after="0" w:line="101"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004E7D"/>
              </w:rPr>
              <w:t>Country</w:t>
            </w:r>
          </w:p>
        </w:tc>
        <w:tc>
          <w:tcPr>
            <w:tcW w:w="2400" w:type="dxa"/>
            <w:vAlign w:val="bottom"/>
          </w:tcPr>
          <w:p>
            <w:pPr>
              <w:ind w:left="880"/>
              <w:spacing w:after="0"/>
              <w:rPr>
                <w:sz w:val="20"/>
                <w:szCs w:val="20"/>
                <w:color w:val="auto"/>
              </w:rPr>
            </w:pPr>
            <w:r>
              <w:rPr>
                <w:rFonts w:ascii="Arial" w:cs="Arial" w:eastAsia="Arial" w:hAnsi="Arial"/>
                <w:sz w:val="14"/>
                <w:szCs w:val="14"/>
                <w:b w:val="1"/>
                <w:bCs w:val="1"/>
                <w:color w:val="004E7D"/>
              </w:rPr>
              <w:t>Number of</w:t>
            </w:r>
          </w:p>
        </w:tc>
        <w:tc>
          <w:tcPr>
            <w:tcW w:w="2580" w:type="dxa"/>
            <w:vAlign w:val="bottom"/>
            <w:vMerge w:val="restart"/>
          </w:tcPr>
          <w:p>
            <w:pPr>
              <w:ind w:left="780"/>
              <w:spacing w:after="0"/>
              <w:rPr>
                <w:sz w:val="20"/>
                <w:szCs w:val="20"/>
                <w:color w:val="auto"/>
              </w:rPr>
            </w:pPr>
            <w:r>
              <w:rPr>
                <w:rFonts w:ascii="Arial" w:cs="Arial" w:eastAsia="Arial" w:hAnsi="Arial"/>
                <w:sz w:val="14"/>
                <w:szCs w:val="14"/>
                <w:b w:val="1"/>
                <w:bCs w:val="1"/>
                <w:color w:val="004E7D"/>
              </w:rPr>
              <w:t>Country</w:t>
            </w:r>
          </w:p>
        </w:tc>
        <w:tc>
          <w:tcPr>
            <w:tcW w:w="1540" w:type="dxa"/>
            <w:vAlign w:val="bottom"/>
          </w:tcPr>
          <w:p>
            <w:pPr>
              <w:ind w:left="660"/>
              <w:spacing w:after="0"/>
              <w:rPr>
                <w:sz w:val="20"/>
                <w:szCs w:val="20"/>
                <w:color w:val="auto"/>
              </w:rPr>
            </w:pPr>
            <w:r>
              <w:rPr>
                <w:rFonts w:ascii="Arial" w:cs="Arial" w:eastAsia="Arial" w:hAnsi="Arial"/>
                <w:sz w:val="14"/>
                <w:szCs w:val="14"/>
                <w:b w:val="1"/>
                <w:bCs w:val="1"/>
                <w:color w:val="004E7D"/>
              </w:rPr>
              <w:t>Number of</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004987"/>
            </w:tcBorders>
            <w:vMerge w:val="continue"/>
          </w:tcPr>
          <w:p>
            <w:pPr>
              <w:spacing w:after="0"/>
              <w:rPr>
                <w:sz w:val="17"/>
                <w:szCs w:val="17"/>
                <w:color w:val="auto"/>
              </w:rPr>
            </w:pPr>
          </w:p>
        </w:tc>
        <w:tc>
          <w:tcPr>
            <w:tcW w:w="2400" w:type="dxa"/>
            <w:vAlign w:val="bottom"/>
            <w:tcBorders>
              <w:bottom w:val="single" w:sz="8" w:color="004987"/>
            </w:tcBorders>
          </w:tcPr>
          <w:p>
            <w:pPr>
              <w:ind w:left="860"/>
              <w:spacing w:after="0"/>
              <w:rPr>
                <w:sz w:val="20"/>
                <w:szCs w:val="20"/>
                <w:color w:val="auto"/>
              </w:rPr>
            </w:pPr>
            <w:r>
              <w:rPr>
                <w:rFonts w:ascii="Arial" w:cs="Arial" w:eastAsia="Arial" w:hAnsi="Arial"/>
                <w:sz w:val="14"/>
                <w:szCs w:val="14"/>
                <w:b w:val="1"/>
                <w:bCs w:val="1"/>
                <w:color w:val="004E7D"/>
              </w:rPr>
              <w:t>Associates</w:t>
            </w:r>
          </w:p>
        </w:tc>
        <w:tc>
          <w:tcPr>
            <w:tcW w:w="2580" w:type="dxa"/>
            <w:vAlign w:val="bottom"/>
            <w:tcBorders>
              <w:bottom w:val="single" w:sz="8" w:color="004987"/>
            </w:tcBorders>
            <w:vMerge w:val="continue"/>
          </w:tcPr>
          <w:p>
            <w:pPr>
              <w:spacing w:after="0"/>
              <w:rPr>
                <w:sz w:val="17"/>
                <w:szCs w:val="17"/>
                <w:color w:val="auto"/>
              </w:rPr>
            </w:pPr>
          </w:p>
        </w:tc>
        <w:tc>
          <w:tcPr>
            <w:tcW w:w="1540" w:type="dxa"/>
            <w:vAlign w:val="bottom"/>
            <w:tcBorders>
              <w:bottom w:val="single" w:sz="8" w:color="004987"/>
            </w:tcBorders>
          </w:tcPr>
          <w:p>
            <w:pPr>
              <w:ind w:left="640"/>
              <w:spacing w:after="0"/>
              <w:rPr>
                <w:sz w:val="20"/>
                <w:szCs w:val="20"/>
                <w:color w:val="auto"/>
              </w:rPr>
            </w:pPr>
            <w:r>
              <w:rPr>
                <w:rFonts w:ascii="Arial" w:cs="Arial" w:eastAsia="Arial" w:hAnsi="Arial"/>
                <w:sz w:val="14"/>
                <w:szCs w:val="14"/>
                <w:b w:val="1"/>
                <w:bCs w:val="1"/>
                <w:color w:val="004E7D"/>
              </w:rPr>
              <w:t>Associates</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6"/>
                <w:szCs w:val="16"/>
                <w:color w:val="auto"/>
              </w:rPr>
              <w:t>Argentina</w:t>
            </w:r>
          </w:p>
        </w:tc>
        <w:tc>
          <w:tcPr>
            <w:tcW w:w="2400" w:type="dxa"/>
            <w:vAlign w:val="bottom"/>
          </w:tcPr>
          <w:p>
            <w:pPr>
              <w:jc w:val="center"/>
              <w:spacing w:after="0"/>
              <w:rPr>
                <w:sz w:val="20"/>
                <w:szCs w:val="20"/>
                <w:color w:val="auto"/>
              </w:rPr>
            </w:pPr>
            <w:r>
              <w:rPr>
                <w:rFonts w:ascii="Arial" w:cs="Arial" w:eastAsia="Arial" w:hAnsi="Arial"/>
                <w:sz w:val="16"/>
                <w:szCs w:val="16"/>
                <w:color w:val="auto"/>
              </w:rPr>
              <w:t>13</w:t>
            </w:r>
          </w:p>
        </w:tc>
        <w:tc>
          <w:tcPr>
            <w:tcW w:w="2580" w:type="dxa"/>
            <w:vAlign w:val="bottom"/>
          </w:tcPr>
          <w:p>
            <w:pPr>
              <w:ind w:left="780"/>
              <w:spacing w:after="0"/>
              <w:rPr>
                <w:sz w:val="20"/>
                <w:szCs w:val="20"/>
                <w:color w:val="auto"/>
              </w:rPr>
            </w:pPr>
            <w:r>
              <w:rPr>
                <w:rFonts w:ascii="Arial" w:cs="Arial" w:eastAsia="Arial" w:hAnsi="Arial"/>
                <w:sz w:val="16"/>
                <w:szCs w:val="16"/>
                <w:color w:val="auto"/>
              </w:rPr>
              <w:t>Finland</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6"/>
                <w:szCs w:val="16"/>
                <w:color w:val="auto"/>
              </w:rPr>
              <w:t>Aruba</w:t>
            </w:r>
          </w:p>
        </w:tc>
        <w:tc>
          <w:tcPr>
            <w:tcW w:w="2400" w:type="dxa"/>
            <w:vAlign w:val="bottom"/>
          </w:tcPr>
          <w:p>
            <w:pPr>
              <w:jc w:val="center"/>
              <w:spacing w:after="0"/>
              <w:rPr>
                <w:sz w:val="20"/>
                <w:szCs w:val="20"/>
                <w:color w:val="auto"/>
              </w:rPr>
            </w:pPr>
            <w:r>
              <w:rPr>
                <w:rFonts w:ascii="Arial" w:cs="Arial" w:eastAsia="Arial" w:hAnsi="Arial"/>
                <w:sz w:val="16"/>
                <w:szCs w:val="16"/>
                <w:color w:val="auto"/>
              </w:rPr>
              <w:t>81</w:t>
            </w:r>
          </w:p>
        </w:tc>
        <w:tc>
          <w:tcPr>
            <w:tcW w:w="2580" w:type="dxa"/>
            <w:vAlign w:val="bottom"/>
          </w:tcPr>
          <w:p>
            <w:pPr>
              <w:ind w:left="780"/>
              <w:spacing w:after="0"/>
              <w:rPr>
                <w:sz w:val="20"/>
                <w:szCs w:val="20"/>
                <w:color w:val="auto"/>
              </w:rPr>
            </w:pPr>
            <w:r>
              <w:rPr>
                <w:rFonts w:ascii="Arial" w:cs="Arial" w:eastAsia="Arial" w:hAnsi="Arial"/>
                <w:sz w:val="16"/>
                <w:szCs w:val="16"/>
                <w:color w:val="auto"/>
              </w:rPr>
              <w:t>Germany</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Australia</w:t>
            </w:r>
          </w:p>
        </w:tc>
        <w:tc>
          <w:tcPr>
            <w:tcW w:w="2400" w:type="dxa"/>
            <w:vAlign w:val="bottom"/>
          </w:tcPr>
          <w:p>
            <w:pPr>
              <w:jc w:val="center"/>
              <w:spacing w:after="0"/>
              <w:rPr>
                <w:sz w:val="20"/>
                <w:szCs w:val="20"/>
                <w:color w:val="auto"/>
              </w:rPr>
            </w:pPr>
            <w:r>
              <w:rPr>
                <w:rFonts w:ascii="Arial" w:cs="Arial" w:eastAsia="Arial" w:hAnsi="Arial"/>
                <w:sz w:val="16"/>
                <w:szCs w:val="16"/>
                <w:color w:val="auto"/>
              </w:rPr>
              <w:t>43</w:t>
            </w:r>
          </w:p>
        </w:tc>
        <w:tc>
          <w:tcPr>
            <w:tcW w:w="258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Bahamas</w:t>
            </w:r>
          </w:p>
        </w:tc>
        <w:tc>
          <w:tcPr>
            <w:tcW w:w="2400" w:type="dxa"/>
            <w:vAlign w:val="bottom"/>
          </w:tcPr>
          <w:p>
            <w:pPr>
              <w:jc w:val="center"/>
              <w:spacing w:after="0"/>
              <w:rPr>
                <w:sz w:val="20"/>
                <w:szCs w:val="20"/>
                <w:color w:val="auto"/>
              </w:rPr>
            </w:pPr>
            <w:r>
              <w:rPr>
                <w:rFonts w:ascii="Arial" w:cs="Arial" w:eastAsia="Arial" w:hAnsi="Arial"/>
                <w:sz w:val="16"/>
                <w:szCs w:val="16"/>
                <w:color w:val="auto"/>
              </w:rPr>
              <w:t>24</w:t>
            </w:r>
          </w:p>
        </w:tc>
        <w:tc>
          <w:tcPr>
            <w:tcW w:w="2580" w:type="dxa"/>
            <w:vAlign w:val="bottom"/>
          </w:tcPr>
          <w:p>
            <w:pPr>
              <w:ind w:left="780"/>
              <w:spacing w:after="0"/>
              <w:rPr>
                <w:sz w:val="20"/>
                <w:szCs w:val="20"/>
                <w:color w:val="auto"/>
              </w:rPr>
            </w:pPr>
            <w:r>
              <w:rPr>
                <w:rFonts w:ascii="Arial" w:cs="Arial" w:eastAsia="Arial" w:hAnsi="Arial"/>
                <w:sz w:val="16"/>
                <w:szCs w:val="16"/>
                <w:color w:val="auto"/>
              </w:rPr>
              <w:t>Indonesia</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w w:val="97"/>
              </w:rPr>
              <w:t>167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Brazil</w:t>
            </w:r>
          </w:p>
        </w:tc>
        <w:tc>
          <w:tcPr>
            <w:tcW w:w="2400" w:type="dxa"/>
            <w:vAlign w:val="bottom"/>
          </w:tcPr>
          <w:p>
            <w:pPr>
              <w:jc w:val="center"/>
              <w:ind w:left="1"/>
              <w:spacing w:after="0"/>
              <w:rPr>
                <w:sz w:val="20"/>
                <w:szCs w:val="20"/>
                <w:color w:val="auto"/>
              </w:rPr>
            </w:pPr>
            <w:r>
              <w:rPr>
                <w:rFonts w:ascii="Arial" w:cs="Arial" w:eastAsia="Arial" w:hAnsi="Arial"/>
                <w:sz w:val="16"/>
                <w:szCs w:val="16"/>
                <w:color w:val="auto"/>
                <w:w w:val="89"/>
              </w:rPr>
              <w:t>3</w:t>
            </w:r>
          </w:p>
        </w:tc>
        <w:tc>
          <w:tcPr>
            <w:tcW w:w="2580" w:type="dxa"/>
            <w:vAlign w:val="bottom"/>
          </w:tcPr>
          <w:p>
            <w:pPr>
              <w:ind w:left="780"/>
              <w:spacing w:after="0"/>
              <w:rPr>
                <w:sz w:val="20"/>
                <w:szCs w:val="20"/>
                <w:color w:val="auto"/>
              </w:rPr>
            </w:pPr>
            <w:r>
              <w:rPr>
                <w:rFonts w:ascii="Arial" w:cs="Arial" w:eastAsia="Arial" w:hAnsi="Arial"/>
                <w:sz w:val="16"/>
                <w:szCs w:val="16"/>
                <w:color w:val="auto"/>
              </w:rPr>
              <w:t>Italy</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China</w:t>
            </w:r>
          </w:p>
        </w:tc>
        <w:tc>
          <w:tcPr>
            <w:tcW w:w="2400" w:type="dxa"/>
            <w:vAlign w:val="bottom"/>
          </w:tcPr>
          <w:p>
            <w:pPr>
              <w:jc w:val="center"/>
              <w:spacing w:after="0"/>
              <w:rPr>
                <w:sz w:val="20"/>
                <w:szCs w:val="20"/>
                <w:color w:val="auto"/>
              </w:rPr>
            </w:pPr>
            <w:r>
              <w:rPr>
                <w:rFonts w:ascii="Arial" w:cs="Arial" w:eastAsia="Arial" w:hAnsi="Arial"/>
                <w:sz w:val="16"/>
                <w:szCs w:val="16"/>
                <w:color w:val="auto"/>
              </w:rPr>
              <w:t>26</w:t>
            </w:r>
          </w:p>
        </w:tc>
        <w:tc>
          <w:tcPr>
            <w:tcW w:w="2580" w:type="dxa"/>
            <w:vAlign w:val="bottom"/>
          </w:tcPr>
          <w:p>
            <w:pPr>
              <w:ind w:left="780"/>
              <w:spacing w:after="0"/>
              <w:rPr>
                <w:sz w:val="20"/>
                <w:szCs w:val="20"/>
                <w:color w:val="auto"/>
              </w:rPr>
            </w:pPr>
            <w:r>
              <w:rPr>
                <w:rFonts w:ascii="Arial" w:cs="Arial" w:eastAsia="Arial" w:hAnsi="Arial"/>
                <w:sz w:val="16"/>
                <w:szCs w:val="16"/>
                <w:color w:val="auto"/>
              </w:rPr>
              <w:t>Japan</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Columbia</w:t>
            </w:r>
          </w:p>
        </w:tc>
        <w:tc>
          <w:tcPr>
            <w:tcW w:w="2400" w:type="dxa"/>
            <w:vAlign w:val="bottom"/>
          </w:tcPr>
          <w:p>
            <w:pPr>
              <w:jc w:val="center"/>
              <w:spacing w:after="0"/>
              <w:rPr>
                <w:sz w:val="20"/>
                <w:szCs w:val="20"/>
                <w:color w:val="auto"/>
              </w:rPr>
            </w:pPr>
            <w:r>
              <w:rPr>
                <w:rFonts w:ascii="Arial" w:cs="Arial" w:eastAsia="Arial" w:hAnsi="Arial"/>
                <w:sz w:val="16"/>
                <w:szCs w:val="16"/>
                <w:color w:val="auto"/>
              </w:rPr>
              <w:t>16</w:t>
            </w:r>
          </w:p>
        </w:tc>
        <w:tc>
          <w:tcPr>
            <w:tcW w:w="2580" w:type="dxa"/>
            <w:vAlign w:val="bottom"/>
          </w:tcPr>
          <w:p>
            <w:pPr>
              <w:ind w:left="780"/>
              <w:spacing w:after="0"/>
              <w:rPr>
                <w:sz w:val="20"/>
                <w:szCs w:val="20"/>
                <w:color w:val="auto"/>
              </w:rPr>
            </w:pPr>
            <w:r>
              <w:rPr>
                <w:rFonts w:ascii="Arial" w:cs="Arial" w:eastAsia="Arial" w:hAnsi="Arial"/>
                <w:sz w:val="16"/>
                <w:szCs w:val="16"/>
                <w:color w:val="auto"/>
              </w:rPr>
              <w:t>St. Kitts</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Costa Rica</w:t>
            </w:r>
          </w:p>
        </w:tc>
        <w:tc>
          <w:tcPr>
            <w:tcW w:w="2400" w:type="dxa"/>
            <w:vAlign w:val="bottom"/>
          </w:tcPr>
          <w:p>
            <w:pPr>
              <w:jc w:val="center"/>
              <w:spacing w:after="0"/>
              <w:rPr>
                <w:sz w:val="20"/>
                <w:szCs w:val="20"/>
                <w:color w:val="auto"/>
              </w:rPr>
            </w:pPr>
            <w:r>
              <w:rPr>
                <w:rFonts w:ascii="Arial" w:cs="Arial" w:eastAsia="Arial" w:hAnsi="Arial"/>
                <w:sz w:val="16"/>
                <w:szCs w:val="16"/>
                <w:color w:val="auto"/>
              </w:rPr>
              <w:t>15</w:t>
            </w:r>
          </w:p>
        </w:tc>
        <w:tc>
          <w:tcPr>
            <w:tcW w:w="2580" w:type="dxa"/>
            <w:vAlign w:val="bottom"/>
          </w:tcPr>
          <w:p>
            <w:pPr>
              <w:ind w:left="780"/>
              <w:spacing w:after="0"/>
              <w:rPr>
                <w:sz w:val="20"/>
                <w:szCs w:val="20"/>
                <w:color w:val="auto"/>
              </w:rPr>
            </w:pPr>
            <w:r>
              <w:rPr>
                <w:rFonts w:ascii="Arial" w:cs="Arial" w:eastAsia="Arial" w:hAnsi="Arial"/>
                <w:sz w:val="16"/>
                <w:szCs w:val="16"/>
                <w:color w:val="auto"/>
              </w:rPr>
              <w:t>Thailand</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w w:val="97"/>
              </w:rPr>
              <w:t>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Egypt</w:t>
            </w:r>
          </w:p>
        </w:tc>
        <w:tc>
          <w:tcPr>
            <w:tcW w:w="2400" w:type="dxa"/>
            <w:vAlign w:val="bottom"/>
          </w:tcPr>
          <w:p>
            <w:pPr>
              <w:jc w:val="center"/>
              <w:ind w:left="1"/>
              <w:spacing w:after="0"/>
              <w:rPr>
                <w:sz w:val="20"/>
                <w:szCs w:val="20"/>
                <w:color w:val="auto"/>
              </w:rPr>
            </w:pPr>
            <w:r>
              <w:rPr>
                <w:rFonts w:ascii="Arial" w:cs="Arial" w:eastAsia="Arial" w:hAnsi="Arial"/>
                <w:sz w:val="16"/>
                <w:szCs w:val="16"/>
                <w:color w:val="auto"/>
                <w:w w:val="89"/>
              </w:rPr>
              <w:t>8</w:t>
            </w:r>
          </w:p>
        </w:tc>
        <w:tc>
          <w:tcPr>
            <w:tcW w:w="2580" w:type="dxa"/>
            <w:vAlign w:val="bottom"/>
          </w:tcPr>
          <w:p>
            <w:pPr>
              <w:ind w:left="780"/>
              <w:spacing w:after="0"/>
              <w:rPr>
                <w:sz w:val="20"/>
                <w:szCs w:val="20"/>
                <w:color w:val="auto"/>
              </w:rPr>
            </w:pPr>
            <w:r>
              <w:rPr>
                <w:rFonts w:ascii="Arial" w:cs="Arial" w:eastAsia="Arial" w:hAnsi="Arial"/>
                <w:sz w:val="16"/>
                <w:szCs w:val="16"/>
                <w:color w:val="auto"/>
              </w:rPr>
              <w:t>UAE</w:t>
            </w:r>
          </w:p>
        </w:tc>
        <w:tc>
          <w:tcPr>
            <w:tcW w:w="1540" w:type="dxa"/>
            <w:vAlign w:val="bottom"/>
          </w:tcPr>
          <w:p>
            <w:pPr>
              <w:jc w:val="center"/>
              <w:ind w:left="44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1660" w:type="dxa"/>
            <w:vAlign w:val="bottom"/>
            <w:tcBorders>
              <w:bottom w:val="single" w:sz="8" w:color="004987"/>
            </w:tcBorders>
          </w:tcPr>
          <w:p>
            <w:pPr>
              <w:spacing w:after="0"/>
              <w:rPr>
                <w:sz w:val="20"/>
                <w:szCs w:val="20"/>
                <w:color w:val="auto"/>
              </w:rPr>
            </w:pPr>
            <w:r>
              <w:rPr>
                <w:rFonts w:ascii="Arial" w:cs="Arial" w:eastAsia="Arial" w:hAnsi="Arial"/>
                <w:sz w:val="16"/>
                <w:szCs w:val="16"/>
                <w:color w:val="auto"/>
              </w:rPr>
              <w:t>France</w:t>
            </w:r>
          </w:p>
        </w:tc>
        <w:tc>
          <w:tcPr>
            <w:tcW w:w="2400" w:type="dxa"/>
            <w:vAlign w:val="bottom"/>
            <w:tcBorders>
              <w:bottom w:val="single" w:sz="8" w:color="004987"/>
            </w:tcBorders>
          </w:tcPr>
          <w:p>
            <w:pPr>
              <w:jc w:val="center"/>
              <w:ind w:left="1"/>
              <w:spacing w:after="0"/>
              <w:rPr>
                <w:sz w:val="20"/>
                <w:szCs w:val="20"/>
                <w:color w:val="auto"/>
              </w:rPr>
            </w:pPr>
            <w:r>
              <w:rPr>
                <w:rFonts w:ascii="Arial" w:cs="Arial" w:eastAsia="Arial" w:hAnsi="Arial"/>
                <w:sz w:val="16"/>
                <w:szCs w:val="16"/>
                <w:color w:val="auto"/>
              </w:rPr>
              <w:t>123</w:t>
            </w:r>
          </w:p>
        </w:tc>
        <w:tc>
          <w:tcPr>
            <w:tcW w:w="2580" w:type="dxa"/>
            <w:vAlign w:val="bottom"/>
            <w:tcBorders>
              <w:bottom w:val="single" w:sz="8" w:color="004987"/>
            </w:tcBorders>
          </w:tcPr>
          <w:p>
            <w:pPr>
              <w:ind w:left="780"/>
              <w:spacing w:after="0"/>
              <w:rPr>
                <w:sz w:val="20"/>
                <w:szCs w:val="20"/>
                <w:color w:val="auto"/>
              </w:rPr>
            </w:pPr>
            <w:r>
              <w:rPr>
                <w:rFonts w:ascii="Arial" w:cs="Arial" w:eastAsia="Arial" w:hAnsi="Arial"/>
                <w:sz w:val="16"/>
                <w:szCs w:val="16"/>
                <w:color w:val="auto"/>
              </w:rPr>
              <w:t>United Kingdom</w:t>
            </w:r>
          </w:p>
        </w:tc>
        <w:tc>
          <w:tcPr>
            <w:tcW w:w="1540" w:type="dxa"/>
            <w:vAlign w:val="bottom"/>
            <w:tcBorders>
              <w:bottom w:val="single" w:sz="8" w:color="004987"/>
            </w:tcBorders>
          </w:tcPr>
          <w:p>
            <w:pPr>
              <w:jc w:val="center"/>
              <w:ind w:left="441"/>
              <w:spacing w:after="0"/>
              <w:rPr>
                <w:sz w:val="20"/>
                <w:szCs w:val="20"/>
                <w:color w:val="auto"/>
              </w:rPr>
            </w:pPr>
            <w:r>
              <w:rPr>
                <w:rFonts w:ascii="Arial" w:cs="Arial" w:eastAsia="Arial" w:hAnsi="Arial"/>
                <w:sz w:val="16"/>
                <w:szCs w:val="16"/>
                <w:color w:val="auto"/>
                <w:w w:val="97"/>
              </w:rPr>
              <w:t>129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After applying our methodology and excluding the employees listed above, we identified the median employee. Our median employee compensation as calculated using Summary Compensation Table requirements was $41,323. Our CEO’s compensation as reported in the Summary Compensation Table was $9,832,891. Therefore, our CEO to median employee pay ratio is 238:1.</w:t>
      </w:r>
    </w:p>
    <w:p>
      <w:pPr>
        <w:spacing w:after="0" w:line="7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Note that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This information is being provided for compliance purposes. Neither the CPC nor management of the Company used the pay ratio measure in making compensation decisions.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PAY VS. PERFORMANCE</w:t>
      </w:r>
    </w:p>
    <w:p>
      <w:pPr>
        <w:spacing w:after="0" w:line="11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Under rules adopted pursuant to the Dodd-Frank Act of 2010, we are required to disclose pay versus performance for our Principal Executive Officer (“PEO”) and the other named executive officers (“NEO”).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Under the relevant rules, we are required to provide (i) the compensation actually paid to these individuals compared to the Summary Compensation Table,</w:t>
      </w:r>
    </w:p>
    <w:p>
      <w:pPr>
        <w:spacing w:after="0" w:line="21" w:lineRule="exact"/>
        <w:rPr>
          <w:sz w:val="20"/>
          <w:szCs w:val="20"/>
          <w:color w:val="auto"/>
        </w:rPr>
      </w:pPr>
    </w:p>
    <w:p>
      <w:pPr>
        <w:ind w:right="220" w:firstLine="8"/>
        <w:spacing w:after="0" w:line="283" w:lineRule="auto"/>
        <w:tabs>
          <w:tab w:leader="none" w:pos="22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total shareholder return (“TSR”) for the Company and chosen peer group, calculated against an initial investment value of $100, (iii) our net income and (iv) another selected Company measure. The table below represents each of these requirements, beginning with fiscal year 2020.</w:t>
      </w:r>
    </w:p>
    <w:p>
      <w:pPr>
        <w:spacing w:after="0" w:line="50"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The Company utilized the S&amp;P Composite 1500 Hotels, Resorts &amp; Cruise TSR Index, for the peer group. This index has been utilized historically in our Annual Reports on Form 10-K in connection with the required performance graph and most closely aligns with our line of business.</w:t>
      </w:r>
    </w:p>
    <w:p>
      <w:pPr>
        <w:spacing w:after="0" w:line="3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Adjusted EBITDA, as previously defined, was chosen as the Company-selected financial measure as it is an important indicator of the Company’s operating performance. It is also a measure of our ability to service debt, fund capital expenditures, expand the business, and return cash to the shareholders.</w:t>
      </w:r>
    </w:p>
    <w:p>
      <w:pPr>
        <w:spacing w:after="0" w:line="61"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As it relates to compensation decisions, Adjusted EBITDA allows for period-over-period comparisons of our ongoing core operations before the impact of excluded items.The CPC establishes goals that are designed to maintain high standards that are achievable but not certain to be met. We utilize this measure in both the short-term incentive plan and the three-year performance awards because it ensures that short-term management decisions are not influenced by short-term gain at the expense of long-term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51</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56" w:name="page57"/>
    <w:bookmarkEnd w:id="56"/>
    <w:p>
      <w:pPr>
        <w:ind w:right="500"/>
        <w:spacing w:after="0" w:line="286" w:lineRule="auto"/>
        <w:rPr>
          <w:sz w:val="20"/>
          <w:szCs w:val="20"/>
          <w:color w:val="auto"/>
        </w:rPr>
      </w:pPr>
      <w:r>
        <w:rPr>
          <w:rFonts w:ascii="Arial" w:cs="Arial" w:eastAsia="Arial" w:hAnsi="Arial"/>
          <w:sz w:val="16"/>
          <w:szCs w:val="16"/>
          <w:color w:val="auto"/>
        </w:rPr>
        <w:t>The CPC reviews a number of performance metrics when assessing the Company’s performance. However, for compensation decisions, the following metrics are the most important:</w:t>
      </w:r>
    </w:p>
    <w:p>
      <w:pPr>
        <w:spacing w:after="0" w:line="48" w:lineRule="exact"/>
        <w:rPr>
          <w:sz w:val="20"/>
          <w:szCs w:val="20"/>
          <w:color w:val="auto"/>
        </w:rPr>
      </w:pPr>
    </w:p>
    <w:p>
      <w:pPr>
        <w:ind w:left="480" w:hanging="310"/>
        <w:spacing w:after="0"/>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Adjusted EBITDA, with its relative importance noted above, used in both the short- and long-term incentive</w:t>
      </w:r>
    </w:p>
    <w:p>
      <w:pPr>
        <w:spacing w:after="0" w:line="126" w:lineRule="exact"/>
        <w:rPr>
          <w:rFonts w:ascii="Arial" w:cs="Arial" w:eastAsia="Arial" w:hAnsi="Arial"/>
          <w:sz w:val="16"/>
          <w:szCs w:val="16"/>
          <w:color w:val="auto"/>
        </w:rPr>
      </w:pPr>
    </w:p>
    <w:p>
      <w:pPr>
        <w:ind w:left="500" w:right="200" w:hanging="330"/>
        <w:spacing w:after="0" w:line="286" w:lineRule="auto"/>
        <w:tabs>
          <w:tab w:leader="none" w:pos="48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Total Revenue, a top line financial measure that captures the business and brand contributions to overall company financials, used in the short-term incentive</w:t>
      </w:r>
    </w:p>
    <w:p>
      <w:pPr>
        <w:spacing w:after="0" w:line="61" w:lineRule="exact"/>
        <w:rPr>
          <w:rFonts w:ascii="Arial" w:cs="Arial" w:eastAsia="Arial" w:hAnsi="Arial"/>
          <w:sz w:val="16"/>
          <w:szCs w:val="16"/>
          <w:color w:val="auto"/>
        </w:rPr>
      </w:pPr>
    </w:p>
    <w:p>
      <w:pPr>
        <w:ind w:left="480" w:hanging="310"/>
        <w:spacing w:after="0"/>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Adjusted Return on Invested Capital, a strong driver of free cash flow and important comparator to other companies, used in the long-term incentive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right"/>
              <w:ind w:right="205"/>
              <w:spacing w:after="0"/>
              <w:rPr>
                <w:sz w:val="20"/>
                <w:szCs w:val="20"/>
                <w:color w:val="auto"/>
              </w:rPr>
            </w:pPr>
            <w:r>
              <w:rPr>
                <w:rFonts w:ascii="Arial" w:cs="Arial" w:eastAsia="Arial" w:hAnsi="Arial"/>
                <w:sz w:val="14"/>
                <w:szCs w:val="14"/>
                <w:b w:val="1"/>
                <w:bCs w:val="1"/>
                <w:color w:val="004E7D"/>
              </w:rPr>
              <w:t>Value of Initial Fixed $100</w:t>
            </w: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85"/>
              <w:spacing w:after="0"/>
              <w:rPr>
                <w:sz w:val="20"/>
                <w:szCs w:val="20"/>
                <w:color w:val="auto"/>
              </w:rPr>
            </w:pPr>
            <w:r>
              <w:rPr>
                <w:rFonts w:ascii="Arial" w:cs="Arial" w:eastAsia="Arial" w:hAnsi="Arial"/>
                <w:sz w:val="14"/>
                <w:szCs w:val="14"/>
                <w:b w:val="1"/>
                <w:bCs w:val="1"/>
                <w:color w:val="004E7D"/>
              </w:rPr>
              <w:t>Average</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Borders>
              <w:bottom w:val="single" w:sz="8" w:color="00497F"/>
            </w:tcBorders>
          </w:tcPr>
          <w:p>
            <w:pPr>
              <w:spacing w:after="0"/>
              <w:rPr>
                <w:sz w:val="16"/>
                <w:szCs w:val="16"/>
                <w:color w:val="auto"/>
              </w:rPr>
            </w:pPr>
          </w:p>
        </w:tc>
        <w:tc>
          <w:tcPr>
            <w:tcW w:w="2180" w:type="dxa"/>
            <w:vAlign w:val="bottom"/>
            <w:tcBorders>
              <w:bottom w:val="single" w:sz="8" w:color="00497F"/>
            </w:tcBorders>
            <w:gridSpan w:val="3"/>
          </w:tcPr>
          <w:p>
            <w:pPr>
              <w:jc w:val="right"/>
              <w:ind w:right="325"/>
              <w:spacing w:after="0"/>
              <w:rPr>
                <w:sz w:val="20"/>
                <w:szCs w:val="20"/>
                <w:color w:val="auto"/>
              </w:rPr>
            </w:pPr>
            <w:r>
              <w:rPr>
                <w:rFonts w:ascii="Arial" w:cs="Arial" w:eastAsia="Arial" w:hAnsi="Arial"/>
                <w:sz w:val="14"/>
                <w:szCs w:val="14"/>
                <w:b w:val="1"/>
                <w:bCs w:val="1"/>
                <w:color w:val="004E7D"/>
              </w:rPr>
              <w:t>Investment Based on:</w:t>
            </w: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004E7D"/>
              </w:rPr>
              <w:t>Summary</w:t>
            </w:r>
          </w:p>
        </w:tc>
        <w:tc>
          <w:tcPr>
            <w:tcW w:w="180" w:type="dxa"/>
            <w:vAlign w:val="bottom"/>
          </w:tcPr>
          <w:p>
            <w:pPr>
              <w:spacing w:after="0"/>
              <w:rPr>
                <w:sz w:val="12"/>
                <w:szCs w:val="12"/>
                <w:color w:val="auto"/>
              </w:rPr>
            </w:pPr>
          </w:p>
        </w:tc>
        <w:tc>
          <w:tcPr>
            <w:tcW w:w="13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004E7D"/>
              </w:rPr>
              <w:t>Average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004E7D"/>
              </w:rPr>
              <w:t>S&amp;P</w:t>
            </w:r>
          </w:p>
        </w:tc>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004E7D"/>
              </w:rPr>
              <w:t>Summary</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004E7D"/>
              </w:rPr>
              <w:t>Compensation</w:t>
            </w:r>
          </w:p>
        </w:tc>
        <w:tc>
          <w:tcPr>
            <w:tcW w:w="180" w:type="dxa"/>
            <w:vAlign w:val="bottom"/>
          </w:tcPr>
          <w:p>
            <w:pPr>
              <w:spacing w:after="0"/>
              <w:rPr>
                <w:sz w:val="12"/>
                <w:szCs w:val="12"/>
                <w:color w:val="auto"/>
              </w:rPr>
            </w:pPr>
          </w:p>
        </w:tc>
        <w:tc>
          <w:tcPr>
            <w:tcW w:w="13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004E7D"/>
              </w:rPr>
              <w:t>Compensation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004E7D"/>
              </w:rPr>
              <w:t>Composite</w:t>
            </w:r>
          </w:p>
        </w:tc>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004E7D"/>
              </w:rPr>
              <w:t>Compensation</w:t>
            </w:r>
          </w:p>
        </w:tc>
        <w:tc>
          <w:tcPr>
            <w:tcW w:w="200" w:type="dxa"/>
            <w:vAlign w:val="bottom"/>
          </w:tcPr>
          <w:p>
            <w:pPr>
              <w:spacing w:after="0"/>
              <w:rPr>
                <w:sz w:val="12"/>
                <w:szCs w:val="12"/>
                <w:color w:val="auto"/>
              </w:rPr>
            </w:pPr>
          </w:p>
        </w:tc>
        <w:tc>
          <w:tcPr>
            <w:tcW w:w="1180" w:type="dxa"/>
            <w:vAlign w:val="bottom"/>
          </w:tcPr>
          <w:p>
            <w:pPr>
              <w:jc w:val="center"/>
              <w:ind w:right="85"/>
              <w:spacing w:after="0" w:line="139" w:lineRule="exact"/>
              <w:rPr>
                <w:sz w:val="20"/>
                <w:szCs w:val="20"/>
                <w:color w:val="auto"/>
              </w:rPr>
            </w:pPr>
            <w:r>
              <w:rPr>
                <w:rFonts w:ascii="Arial" w:cs="Arial" w:eastAsia="Arial" w:hAnsi="Arial"/>
                <w:sz w:val="14"/>
                <w:szCs w:val="14"/>
                <w:b w:val="1"/>
                <w:bCs w:val="1"/>
                <w:color w:val="004E7D"/>
              </w:rPr>
              <w:t>Table Total for</w:t>
            </w:r>
          </w:p>
        </w:tc>
        <w:tc>
          <w:tcPr>
            <w:tcW w:w="1480" w:type="dxa"/>
            <w:vAlign w:val="bottom"/>
            <w:gridSpan w:val="2"/>
          </w:tcPr>
          <w:p>
            <w:pPr>
              <w:jc w:val="center"/>
              <w:ind w:right="4"/>
              <w:spacing w:after="0" w:line="139" w:lineRule="exact"/>
              <w:rPr>
                <w:sz w:val="20"/>
                <w:szCs w:val="20"/>
                <w:color w:val="auto"/>
              </w:rPr>
            </w:pPr>
            <w:r>
              <w:rPr>
                <w:rFonts w:ascii="Arial" w:cs="Arial" w:eastAsia="Arial" w:hAnsi="Arial"/>
                <w:sz w:val="14"/>
                <w:szCs w:val="14"/>
                <w:b w:val="1"/>
                <w:bCs w:val="1"/>
                <w:color w:val="004E7D"/>
              </w:rPr>
              <w:t>Actually Paid to</w:t>
            </w:r>
          </w:p>
        </w:tc>
        <w:tc>
          <w:tcPr>
            <w:tcW w:w="120" w:type="dxa"/>
            <w:vAlign w:val="bottom"/>
          </w:tcPr>
          <w:p>
            <w:pPr>
              <w:spacing w:after="0"/>
              <w:rPr>
                <w:sz w:val="12"/>
                <w:szCs w:val="12"/>
                <w:color w:val="auto"/>
              </w:rPr>
            </w:pPr>
          </w:p>
        </w:tc>
        <w:tc>
          <w:tcPr>
            <w:tcW w:w="100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004E7D"/>
              </w:rPr>
              <w:t>MVW Total</w:t>
            </w:r>
          </w:p>
        </w:tc>
        <w:tc>
          <w:tcPr>
            <w:tcW w:w="200" w:type="dxa"/>
            <w:vAlign w:val="bottom"/>
          </w:tcPr>
          <w:p>
            <w:pPr>
              <w:spacing w:after="0"/>
              <w:rPr>
                <w:sz w:val="12"/>
                <w:szCs w:val="12"/>
                <w:color w:val="auto"/>
              </w:rPr>
            </w:pPr>
          </w:p>
        </w:tc>
        <w:tc>
          <w:tcPr>
            <w:tcW w:w="980" w:type="dxa"/>
            <w:vAlign w:val="bottom"/>
          </w:tcPr>
          <w:p>
            <w:pPr>
              <w:jc w:val="center"/>
              <w:ind w:right="25"/>
              <w:spacing w:after="0" w:line="139" w:lineRule="exact"/>
              <w:rPr>
                <w:sz w:val="20"/>
                <w:szCs w:val="20"/>
                <w:color w:val="auto"/>
              </w:rPr>
            </w:pPr>
            <w:r>
              <w:rPr>
                <w:rFonts w:ascii="Arial" w:cs="Arial" w:eastAsia="Arial" w:hAnsi="Arial"/>
                <w:sz w:val="14"/>
                <w:szCs w:val="14"/>
                <w:b w:val="1"/>
                <w:bCs w:val="1"/>
                <w:color w:val="004E7D"/>
              </w:rPr>
              <w:t>1500 Hotels,</w:t>
            </w:r>
          </w:p>
        </w:tc>
        <w:tc>
          <w:tcPr>
            <w:tcW w:w="1480" w:type="dxa"/>
            <w:vAlign w:val="bottom"/>
          </w:tcPr>
          <w:p>
            <w:pPr>
              <w:spacing w:after="0"/>
              <w:rPr>
                <w:sz w:val="12"/>
                <w:szCs w:val="12"/>
                <w:color w:val="auto"/>
              </w:rPr>
            </w:pPr>
          </w:p>
        </w:tc>
        <w:tc>
          <w:tcPr>
            <w:tcW w:w="140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004E7D"/>
              </w:rPr>
              <w:t>Adjusted EBITDA</w:t>
            </w:r>
          </w:p>
        </w:tc>
        <w:tc>
          <w:tcPr>
            <w:tcW w:w="0" w:type="dxa"/>
            <w:vAlign w:val="bottom"/>
          </w:tcPr>
          <w:p>
            <w:pPr>
              <w:spacing w:after="0"/>
              <w:rPr>
                <w:sz w:val="1"/>
                <w:szCs w:val="1"/>
                <w:color w:val="auto"/>
              </w:rPr>
            </w:pPr>
          </w:p>
        </w:tc>
      </w:tr>
      <w:tr>
        <w:trPr>
          <w:trHeight w:val="144"/>
        </w:trPr>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Fiscal</w:t>
            </w:r>
          </w:p>
        </w:tc>
        <w:tc>
          <w:tcPr>
            <w:tcW w:w="160" w:type="dxa"/>
            <w:vAlign w:val="bottom"/>
          </w:tcPr>
          <w:p>
            <w:pPr>
              <w:spacing w:after="0"/>
              <w:rPr>
                <w:sz w:val="12"/>
                <w:szCs w:val="12"/>
                <w:color w:val="auto"/>
              </w:rPr>
            </w:pPr>
          </w:p>
        </w:tc>
        <w:tc>
          <w:tcPr>
            <w:tcW w:w="116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004E7D"/>
              </w:rPr>
              <w:t>Compensation</w:t>
            </w: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Non-PEO Named</w:t>
            </w:r>
          </w:p>
        </w:tc>
        <w:tc>
          <w:tcPr>
            <w:tcW w:w="1480" w:type="dxa"/>
            <w:vAlign w:val="bottom"/>
            <w:gridSpan w:val="2"/>
          </w:tcPr>
          <w:p>
            <w:pPr>
              <w:jc w:val="center"/>
              <w:ind w:right="4"/>
              <w:spacing w:after="0" w:line="145" w:lineRule="exact"/>
              <w:rPr>
                <w:sz w:val="20"/>
                <w:szCs w:val="20"/>
                <w:color w:val="auto"/>
              </w:rPr>
            </w:pPr>
            <w:r>
              <w:rPr>
                <w:rFonts w:ascii="Arial" w:cs="Arial" w:eastAsia="Arial" w:hAnsi="Arial"/>
                <w:sz w:val="14"/>
                <w:szCs w:val="14"/>
                <w:b w:val="1"/>
                <w:bCs w:val="1"/>
                <w:color w:val="004E7D"/>
              </w:rPr>
              <w:t>Non-PEO Named</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25"/>
              <w:spacing w:after="0" w:line="145" w:lineRule="exact"/>
              <w:rPr>
                <w:sz w:val="20"/>
                <w:szCs w:val="20"/>
                <w:color w:val="auto"/>
              </w:rPr>
            </w:pPr>
            <w:r>
              <w:rPr>
                <w:rFonts w:ascii="Arial" w:cs="Arial" w:eastAsia="Arial" w:hAnsi="Arial"/>
                <w:sz w:val="14"/>
                <w:szCs w:val="14"/>
                <w:b w:val="1"/>
                <w:bCs w:val="1"/>
                <w:color w:val="004E7D"/>
              </w:rPr>
              <w:t>Resorts &amp;</w:t>
            </w:r>
          </w:p>
        </w:tc>
        <w:tc>
          <w:tcPr>
            <w:tcW w:w="14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004E7D"/>
                <w:w w:val="99"/>
              </w:rPr>
              <w:t>Table Total for</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Actually Paid to</w:t>
            </w:r>
          </w:p>
        </w:tc>
        <w:tc>
          <w:tcPr>
            <w:tcW w:w="20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004E7D"/>
              </w:rPr>
              <w:t>Executive</w:t>
            </w:r>
          </w:p>
        </w:tc>
        <w:tc>
          <w:tcPr>
            <w:tcW w:w="180" w:type="dxa"/>
            <w:vAlign w:val="bottom"/>
          </w:tcPr>
          <w:p>
            <w:pPr>
              <w:spacing w:after="0"/>
              <w:rPr>
                <w:sz w:val="12"/>
                <w:szCs w:val="12"/>
                <w:color w:val="auto"/>
              </w:rPr>
            </w:pPr>
          </w:p>
        </w:tc>
        <w:tc>
          <w:tcPr>
            <w:tcW w:w="13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004E7D"/>
              </w:rPr>
              <w:t>Executive</w:t>
            </w:r>
          </w:p>
        </w:tc>
        <w:tc>
          <w:tcPr>
            <w:tcW w:w="120" w:type="dxa"/>
            <w:vAlign w:val="bottom"/>
          </w:tcPr>
          <w:p>
            <w:pPr>
              <w:spacing w:after="0"/>
              <w:rPr>
                <w:sz w:val="12"/>
                <w:szCs w:val="12"/>
                <w:color w:val="auto"/>
              </w:rPr>
            </w:pPr>
          </w:p>
        </w:tc>
        <w:tc>
          <w:tcPr>
            <w:tcW w:w="10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004E7D"/>
              </w:rPr>
              <w:t>Shareholder</w:t>
            </w:r>
          </w:p>
        </w:tc>
        <w:tc>
          <w:tcPr>
            <w:tcW w:w="20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004E7D"/>
              </w:rPr>
              <w:t>Cruise TSR</w:t>
            </w:r>
          </w:p>
        </w:tc>
        <w:tc>
          <w:tcPr>
            <w:tcW w:w="148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004E7D"/>
              </w:rPr>
              <w:t>Net Income (Loss)</w:t>
            </w:r>
          </w:p>
        </w:tc>
        <w:tc>
          <w:tcPr>
            <w:tcW w:w="140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004E7D"/>
              </w:rPr>
              <w:t>(Company</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w w:val="98"/>
              </w:rPr>
              <w:t>Year</w:t>
            </w:r>
          </w:p>
        </w:tc>
        <w:tc>
          <w:tcPr>
            <w:tcW w:w="160" w:type="dxa"/>
            <w:vAlign w:val="bottom"/>
            <w:tcBorders>
              <w:bottom w:val="single" w:sz="8" w:color="004987"/>
            </w:tcBorders>
          </w:tcPr>
          <w:p>
            <w:pPr>
              <w:spacing w:after="0"/>
              <w:rPr>
                <w:sz w:val="17"/>
                <w:szCs w:val="17"/>
                <w:color w:val="auto"/>
              </w:rPr>
            </w:pPr>
          </w:p>
        </w:tc>
        <w:tc>
          <w:tcPr>
            <w:tcW w:w="1160" w:type="dxa"/>
            <w:vAlign w:val="bottom"/>
            <w:tcBorders>
              <w:bottom w:val="single" w:sz="8" w:color="004987"/>
            </w:tcBorders>
          </w:tcPr>
          <w:p>
            <w:pPr>
              <w:jc w:val="center"/>
              <w:ind w:right="64"/>
              <w:spacing w:after="0"/>
              <w:rPr>
                <w:sz w:val="20"/>
                <w:szCs w:val="20"/>
                <w:color w:val="auto"/>
              </w:rPr>
            </w:pPr>
            <w:r>
              <w:rPr>
                <w:rFonts w:ascii="Arial" w:cs="Arial" w:eastAsia="Arial" w:hAnsi="Arial"/>
                <w:sz w:val="14"/>
                <w:szCs w:val="14"/>
                <w:b w:val="1"/>
                <w:bCs w:val="1"/>
                <w:color w:val="004E7D"/>
              </w:rPr>
              <w:t>PEO</w:t>
            </w:r>
          </w:p>
        </w:tc>
        <w:tc>
          <w:tcPr>
            <w:tcW w:w="200" w:type="dxa"/>
            <w:vAlign w:val="bottom"/>
            <w:tcBorders>
              <w:bottom w:val="single" w:sz="8" w:color="004987"/>
            </w:tcBorders>
          </w:tcPr>
          <w:p>
            <w:pPr>
              <w:spacing w:after="0"/>
              <w:rPr>
                <w:sz w:val="17"/>
                <w:szCs w:val="17"/>
                <w:color w:val="auto"/>
              </w:rPr>
            </w:pPr>
          </w:p>
        </w:tc>
        <w:tc>
          <w:tcPr>
            <w:tcW w:w="1140" w:type="dxa"/>
            <w:vAlign w:val="bottom"/>
            <w:tcBorders>
              <w:bottom w:val="single" w:sz="8" w:color="004987"/>
            </w:tcBorders>
          </w:tcPr>
          <w:p>
            <w:pPr>
              <w:jc w:val="center"/>
              <w:ind w:right="69"/>
              <w:spacing w:after="0" w:line="189" w:lineRule="exact"/>
              <w:rPr>
                <w:sz w:val="20"/>
                <w:szCs w:val="20"/>
                <w:color w:val="auto"/>
              </w:rPr>
            </w:pPr>
            <w:r>
              <w:rPr>
                <w:rFonts w:ascii="Arial" w:cs="Arial" w:eastAsia="Arial" w:hAnsi="Arial"/>
                <w:sz w:val="21"/>
                <w:szCs w:val="21"/>
                <w:b w:val="1"/>
                <w:bCs w:val="1"/>
                <w:color w:val="004E7D"/>
                <w:vertAlign w:val="subscript"/>
              </w:rPr>
              <w:t>PEO</w:t>
            </w:r>
            <w:r>
              <w:rPr>
                <w:rFonts w:ascii="Arial" w:cs="Arial" w:eastAsia="Arial" w:hAnsi="Arial"/>
                <w:sz w:val="8"/>
                <w:szCs w:val="8"/>
                <w:b w:val="1"/>
                <w:bCs w:val="1"/>
                <w:color w:val="004E7D"/>
              </w:rPr>
              <w:t>1,2,3,4</w:t>
            </w:r>
          </w:p>
        </w:tc>
        <w:tc>
          <w:tcPr>
            <w:tcW w:w="200" w:type="dxa"/>
            <w:vAlign w:val="bottom"/>
            <w:tcBorders>
              <w:bottom w:val="single" w:sz="8" w:color="004987"/>
            </w:tcBorders>
          </w:tcPr>
          <w:p>
            <w:pPr>
              <w:spacing w:after="0"/>
              <w:rPr>
                <w:sz w:val="17"/>
                <w:szCs w:val="17"/>
                <w:color w:val="auto"/>
              </w:rPr>
            </w:pPr>
          </w:p>
        </w:tc>
        <w:tc>
          <w:tcPr>
            <w:tcW w:w="1180" w:type="dxa"/>
            <w:vAlign w:val="bottom"/>
            <w:tcBorders>
              <w:bottom w:val="single" w:sz="8" w:color="004987"/>
            </w:tcBorders>
          </w:tcPr>
          <w:p>
            <w:pPr>
              <w:jc w:val="center"/>
              <w:ind w:right="85"/>
              <w:spacing w:after="0"/>
              <w:rPr>
                <w:sz w:val="20"/>
                <w:szCs w:val="20"/>
                <w:color w:val="auto"/>
              </w:rPr>
            </w:pPr>
            <w:r>
              <w:rPr>
                <w:rFonts w:ascii="Arial" w:cs="Arial" w:eastAsia="Arial" w:hAnsi="Arial"/>
                <w:sz w:val="14"/>
                <w:szCs w:val="14"/>
                <w:b w:val="1"/>
                <w:bCs w:val="1"/>
                <w:color w:val="004E7D"/>
              </w:rPr>
              <w:t>Officers</w:t>
            </w:r>
          </w:p>
        </w:tc>
        <w:tc>
          <w:tcPr>
            <w:tcW w:w="180" w:type="dxa"/>
            <w:vAlign w:val="bottom"/>
            <w:tcBorders>
              <w:bottom w:val="single" w:sz="8" w:color="004987"/>
            </w:tcBorders>
          </w:tcPr>
          <w:p>
            <w:pPr>
              <w:spacing w:after="0"/>
              <w:rPr>
                <w:sz w:val="17"/>
                <w:szCs w:val="17"/>
                <w:color w:val="auto"/>
              </w:rPr>
            </w:pPr>
          </w:p>
        </w:tc>
        <w:tc>
          <w:tcPr>
            <w:tcW w:w="1300" w:type="dxa"/>
            <w:vAlign w:val="bottom"/>
            <w:tcBorders>
              <w:bottom w:val="single" w:sz="8" w:color="004987"/>
            </w:tcBorders>
          </w:tcPr>
          <w:p>
            <w:pPr>
              <w:jc w:val="center"/>
              <w:ind w:right="184"/>
              <w:spacing w:after="0"/>
              <w:rPr>
                <w:sz w:val="20"/>
                <w:szCs w:val="20"/>
                <w:color w:val="auto"/>
              </w:rPr>
            </w:pPr>
            <w:r>
              <w:rPr>
                <w:rFonts w:ascii="Arial" w:cs="Arial" w:eastAsia="Arial" w:hAnsi="Arial"/>
                <w:sz w:val="14"/>
                <w:szCs w:val="14"/>
                <w:b w:val="1"/>
                <w:bCs w:val="1"/>
                <w:color w:val="004E7D"/>
              </w:rPr>
              <w:t>Officers</w:t>
            </w:r>
            <w:r>
              <w:rPr>
                <w:rFonts w:ascii="Arial" w:cs="Arial" w:eastAsia="Arial" w:hAnsi="Arial"/>
                <w:sz w:val="9"/>
                <w:szCs w:val="9"/>
                <w:b w:val="1"/>
                <w:bCs w:val="1"/>
                <w:color w:val="004E7D"/>
              </w:rPr>
              <w:t>1,2,5, 6</w:t>
            </w:r>
          </w:p>
        </w:tc>
        <w:tc>
          <w:tcPr>
            <w:tcW w:w="120" w:type="dxa"/>
            <w:vAlign w:val="bottom"/>
            <w:tcBorders>
              <w:bottom w:val="single" w:sz="8" w:color="004987"/>
            </w:tcBorders>
          </w:tcPr>
          <w:p>
            <w:pPr>
              <w:spacing w:after="0"/>
              <w:rPr>
                <w:sz w:val="17"/>
                <w:szCs w:val="17"/>
                <w:color w:val="auto"/>
              </w:rPr>
            </w:pPr>
          </w:p>
        </w:tc>
        <w:tc>
          <w:tcPr>
            <w:tcW w:w="1000" w:type="dxa"/>
            <w:vAlign w:val="bottom"/>
            <w:tcBorders>
              <w:bottom w:val="single" w:sz="8" w:color="004987"/>
            </w:tcBorders>
          </w:tcPr>
          <w:p>
            <w:pPr>
              <w:jc w:val="center"/>
              <w:ind w:right="65"/>
              <w:spacing w:after="0"/>
              <w:rPr>
                <w:sz w:val="20"/>
                <w:szCs w:val="20"/>
                <w:color w:val="auto"/>
              </w:rPr>
            </w:pPr>
            <w:r>
              <w:rPr>
                <w:rFonts w:ascii="Arial" w:cs="Arial" w:eastAsia="Arial" w:hAnsi="Arial"/>
                <w:sz w:val="14"/>
                <w:szCs w:val="14"/>
                <w:b w:val="1"/>
                <w:bCs w:val="1"/>
                <w:color w:val="004E7D"/>
              </w:rPr>
              <w:t>Return</w:t>
            </w:r>
          </w:p>
        </w:tc>
        <w:tc>
          <w:tcPr>
            <w:tcW w:w="200" w:type="dxa"/>
            <w:vAlign w:val="bottom"/>
            <w:tcBorders>
              <w:bottom w:val="single" w:sz="8" w:color="004987"/>
            </w:tcBorders>
          </w:tcPr>
          <w:p>
            <w:pPr>
              <w:spacing w:after="0"/>
              <w:rPr>
                <w:sz w:val="17"/>
                <w:szCs w:val="17"/>
                <w:color w:val="auto"/>
              </w:rPr>
            </w:pPr>
          </w:p>
        </w:tc>
        <w:tc>
          <w:tcPr>
            <w:tcW w:w="980" w:type="dxa"/>
            <w:vAlign w:val="bottom"/>
            <w:tcBorders>
              <w:bottom w:val="single" w:sz="8" w:color="004987"/>
            </w:tcBorders>
          </w:tcPr>
          <w:p>
            <w:pPr>
              <w:jc w:val="center"/>
              <w:ind w:right="45"/>
              <w:spacing w:after="0"/>
              <w:rPr>
                <w:sz w:val="20"/>
                <w:szCs w:val="20"/>
                <w:color w:val="auto"/>
              </w:rPr>
            </w:pPr>
            <w:r>
              <w:rPr>
                <w:rFonts w:ascii="Arial" w:cs="Arial" w:eastAsia="Arial" w:hAnsi="Arial"/>
                <w:sz w:val="14"/>
                <w:szCs w:val="14"/>
                <w:b w:val="1"/>
                <w:bCs w:val="1"/>
                <w:color w:val="004E7D"/>
              </w:rPr>
              <w:t>Index</w:t>
            </w:r>
          </w:p>
        </w:tc>
        <w:tc>
          <w:tcPr>
            <w:tcW w:w="1480" w:type="dxa"/>
            <w:vAlign w:val="bottom"/>
            <w:tcBorders>
              <w:bottom w:val="single" w:sz="8" w:color="004987"/>
            </w:tcBorders>
            <w:vMerge w:val="continue"/>
          </w:tcPr>
          <w:p>
            <w:pPr>
              <w:spacing w:after="0"/>
              <w:rPr>
                <w:sz w:val="17"/>
                <w:szCs w:val="17"/>
                <w:color w:val="auto"/>
              </w:rPr>
            </w:pPr>
          </w:p>
        </w:tc>
        <w:tc>
          <w:tcPr>
            <w:tcW w:w="1400" w:type="dxa"/>
            <w:vAlign w:val="bottom"/>
            <w:tcBorders>
              <w:bottom w:val="single" w:sz="8" w:color="004987"/>
            </w:tcBorders>
          </w:tcPr>
          <w:p>
            <w:pPr>
              <w:jc w:val="center"/>
              <w:ind w:left="4"/>
              <w:spacing w:after="0"/>
              <w:rPr>
                <w:sz w:val="20"/>
                <w:szCs w:val="20"/>
                <w:color w:val="auto"/>
              </w:rPr>
            </w:pPr>
            <w:r>
              <w:rPr>
                <w:rFonts w:ascii="Arial" w:cs="Arial" w:eastAsia="Arial" w:hAnsi="Arial"/>
                <w:sz w:val="14"/>
                <w:szCs w:val="14"/>
                <w:b w:val="1"/>
                <w:bCs w:val="1"/>
                <w:color w:val="004E7D"/>
              </w:rPr>
              <w:t>Measure)</w:t>
            </w:r>
            <w:r>
              <w:rPr>
                <w:rFonts w:ascii="Arial" w:cs="Arial" w:eastAsia="Arial" w:hAnsi="Arial"/>
                <w:sz w:val="9"/>
                <w:szCs w:val="9"/>
                <w:b w:val="1"/>
                <w:bCs w:val="1"/>
                <w:color w:val="004E7D"/>
              </w:rPr>
              <w:t>7</w:t>
            </w:r>
          </w:p>
        </w:tc>
        <w:tc>
          <w:tcPr>
            <w:tcW w:w="0" w:type="dxa"/>
            <w:vAlign w:val="bottom"/>
          </w:tcPr>
          <w:p>
            <w:pPr>
              <w:spacing w:after="0"/>
              <w:rPr>
                <w:sz w:val="1"/>
                <w:szCs w:val="1"/>
                <w:color w:val="auto"/>
              </w:rPr>
            </w:pPr>
          </w:p>
        </w:tc>
      </w:tr>
      <w:tr>
        <w:trPr>
          <w:trHeight w:val="215"/>
        </w:trPr>
        <w:tc>
          <w:tcPr>
            <w:tcW w:w="540" w:type="dxa"/>
            <w:vAlign w:val="bottom"/>
          </w:tcPr>
          <w:p>
            <w:pPr>
              <w:jc w:val="center"/>
              <w:spacing w:after="0"/>
              <w:rPr>
                <w:sz w:val="20"/>
                <w:szCs w:val="20"/>
                <w:color w:val="auto"/>
              </w:rPr>
            </w:pPr>
            <w:r>
              <w:rPr>
                <w:rFonts w:ascii="Arial" w:cs="Arial" w:eastAsia="Arial" w:hAnsi="Arial"/>
                <w:sz w:val="16"/>
                <w:szCs w:val="16"/>
                <w:color w:val="auto"/>
              </w:rPr>
              <w:t>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9,832,891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9"/>
              <w:spacing w:after="0"/>
              <w:rPr>
                <w:sz w:val="20"/>
                <w:szCs w:val="20"/>
                <w:color w:val="auto"/>
              </w:rPr>
            </w:pPr>
            <w:r>
              <w:rPr>
                <w:rFonts w:ascii="Arial" w:cs="Arial" w:eastAsia="Arial" w:hAnsi="Arial"/>
                <w:sz w:val="16"/>
                <w:szCs w:val="16"/>
                <w:color w:val="auto"/>
              </w:rPr>
              <w:t>6,159,868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5"/>
              <w:spacing w:after="0"/>
              <w:rPr>
                <w:sz w:val="20"/>
                <w:szCs w:val="20"/>
                <w:color w:val="auto"/>
              </w:rPr>
            </w:pPr>
            <w:r>
              <w:rPr>
                <w:rFonts w:ascii="Arial" w:cs="Arial" w:eastAsia="Arial" w:hAnsi="Arial"/>
                <w:sz w:val="16"/>
                <w:szCs w:val="16"/>
                <w:color w:val="auto"/>
              </w:rPr>
              <w:t>3,016,545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4"/>
              <w:spacing w:after="0"/>
              <w:rPr>
                <w:sz w:val="20"/>
                <w:szCs w:val="20"/>
                <w:color w:val="auto"/>
              </w:rPr>
            </w:pPr>
            <w:r>
              <w:rPr>
                <w:rFonts w:ascii="Arial" w:cs="Arial" w:eastAsia="Arial" w:hAnsi="Arial"/>
                <w:sz w:val="16"/>
                <w:szCs w:val="16"/>
                <w:color w:val="auto"/>
              </w:rPr>
              <w:t>2,256,841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107.79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71.44</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   390,774,814</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   966,274,378</w:t>
            </w:r>
          </w:p>
        </w:tc>
        <w:tc>
          <w:tcPr>
            <w:tcW w:w="0" w:type="dxa"/>
            <w:vAlign w:val="bottom"/>
          </w:tcPr>
          <w:p>
            <w:pPr>
              <w:spacing w:after="0"/>
              <w:rPr>
                <w:sz w:val="1"/>
                <w:szCs w:val="1"/>
                <w:color w:val="auto"/>
              </w:rPr>
            </w:pPr>
          </w:p>
        </w:tc>
      </w:tr>
      <w:tr>
        <w:trPr>
          <w:trHeight w:val="215"/>
        </w:trPr>
        <w:tc>
          <w:tcPr>
            <w:tcW w:w="540" w:type="dxa"/>
            <w:vAlign w:val="bottom"/>
          </w:tcPr>
          <w:p>
            <w:pPr>
              <w:jc w:val="center"/>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13,223,937</w:t>
            </w:r>
          </w:p>
        </w:tc>
        <w:tc>
          <w:tcPr>
            <w:tcW w:w="2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6"/>
                <w:szCs w:val="16"/>
                <w:color w:val="auto"/>
              </w:rPr>
              <w:t>17,472,019</w:t>
            </w:r>
          </w:p>
        </w:tc>
        <w:tc>
          <w:tcPr>
            <w:tcW w:w="200" w:type="dxa"/>
            <w:vAlign w:val="bottom"/>
          </w:tcPr>
          <w:p>
            <w:pPr>
              <w:spacing w:after="0"/>
              <w:rPr>
                <w:sz w:val="18"/>
                <w:szCs w:val="18"/>
                <w:color w:val="auto"/>
              </w:rPr>
            </w:pPr>
          </w:p>
        </w:tc>
        <w:tc>
          <w:tcPr>
            <w:tcW w:w="1180" w:type="dxa"/>
            <w:vAlign w:val="bottom"/>
          </w:tcPr>
          <w:p>
            <w:pPr>
              <w:jc w:val="right"/>
              <w:ind w:right="45"/>
              <w:spacing w:after="0"/>
              <w:rPr>
                <w:sz w:val="20"/>
                <w:szCs w:val="20"/>
                <w:color w:val="auto"/>
              </w:rPr>
            </w:pPr>
            <w:r>
              <w:rPr>
                <w:rFonts w:ascii="Arial" w:cs="Arial" w:eastAsia="Arial" w:hAnsi="Arial"/>
                <w:sz w:val="16"/>
                <w:szCs w:val="16"/>
                <w:color w:val="auto"/>
              </w:rPr>
              <w:t>3,405,201</w:t>
            </w:r>
          </w:p>
        </w:tc>
        <w:tc>
          <w:tcPr>
            <w:tcW w:w="180" w:type="dxa"/>
            <w:vAlign w:val="bottom"/>
          </w:tcPr>
          <w:p>
            <w:pPr>
              <w:spacing w:after="0"/>
              <w:rPr>
                <w:sz w:val="18"/>
                <w:szCs w:val="18"/>
                <w:color w:val="auto"/>
              </w:rPr>
            </w:pPr>
          </w:p>
        </w:tc>
        <w:tc>
          <w:tcPr>
            <w:tcW w:w="1300" w:type="dxa"/>
            <w:vAlign w:val="bottom"/>
          </w:tcPr>
          <w:p>
            <w:pPr>
              <w:jc w:val="right"/>
              <w:ind w:right="144"/>
              <w:spacing w:after="0"/>
              <w:rPr>
                <w:sz w:val="20"/>
                <w:szCs w:val="20"/>
                <w:color w:val="auto"/>
              </w:rPr>
            </w:pPr>
            <w:r>
              <w:rPr>
                <w:rFonts w:ascii="Arial" w:cs="Arial" w:eastAsia="Arial" w:hAnsi="Arial"/>
                <w:sz w:val="16"/>
                <w:szCs w:val="16"/>
                <w:color w:val="auto"/>
              </w:rPr>
              <w:t>4,215,723</w:t>
            </w:r>
          </w:p>
        </w:tc>
        <w:tc>
          <w:tcPr>
            <w:tcW w:w="12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132.49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94.12</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52,634,216</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656,728,515</w:t>
            </w:r>
          </w:p>
        </w:tc>
        <w:tc>
          <w:tcPr>
            <w:tcW w:w="0" w:type="dxa"/>
            <w:vAlign w:val="bottom"/>
          </w:tcPr>
          <w:p>
            <w:pPr>
              <w:spacing w:after="0"/>
              <w:rPr>
                <w:sz w:val="1"/>
                <w:szCs w:val="1"/>
                <w:color w:val="auto"/>
              </w:rPr>
            </w:pPr>
          </w:p>
        </w:tc>
      </w:tr>
      <w:tr>
        <w:trPr>
          <w:trHeight w:val="217"/>
        </w:trPr>
        <w:tc>
          <w:tcPr>
            <w:tcW w:w="540" w:type="dxa"/>
            <w:vAlign w:val="bottom"/>
            <w:tcBorders>
              <w:bottom w:val="single" w:sz="8" w:color="00497F"/>
            </w:tcBorders>
          </w:tcPr>
          <w:p>
            <w:pPr>
              <w:jc w:val="center"/>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00497F"/>
            </w:tcBorders>
          </w:tcPr>
          <w:p>
            <w:pPr>
              <w:spacing w:after="0"/>
              <w:rPr>
                <w:sz w:val="18"/>
                <w:szCs w:val="18"/>
                <w:color w:val="auto"/>
              </w:rPr>
            </w:pPr>
          </w:p>
        </w:tc>
        <w:tc>
          <w:tcPr>
            <w:tcW w:w="1160" w:type="dxa"/>
            <w:vAlign w:val="bottom"/>
            <w:tcBorders>
              <w:bottom w:val="single" w:sz="8" w:color="00497F"/>
            </w:tcBorders>
          </w:tcPr>
          <w:p>
            <w:pPr>
              <w:jc w:val="right"/>
              <w:ind w:right="24"/>
              <w:spacing w:after="0"/>
              <w:rPr>
                <w:sz w:val="20"/>
                <w:szCs w:val="20"/>
                <w:color w:val="auto"/>
              </w:rPr>
            </w:pPr>
            <w:r>
              <w:rPr>
                <w:rFonts w:ascii="Arial" w:cs="Arial" w:eastAsia="Arial" w:hAnsi="Arial"/>
                <w:sz w:val="16"/>
                <w:szCs w:val="16"/>
                <w:color w:val="auto"/>
              </w:rPr>
              <w:t>6,134,009</w:t>
            </w:r>
          </w:p>
        </w:tc>
        <w:tc>
          <w:tcPr>
            <w:tcW w:w="200" w:type="dxa"/>
            <w:vAlign w:val="bottom"/>
            <w:tcBorders>
              <w:bottom w:val="single" w:sz="8" w:color="00497F"/>
            </w:tcBorders>
          </w:tcPr>
          <w:p>
            <w:pPr>
              <w:spacing w:after="0"/>
              <w:rPr>
                <w:sz w:val="18"/>
                <w:szCs w:val="18"/>
                <w:color w:val="auto"/>
              </w:rPr>
            </w:pPr>
          </w:p>
        </w:tc>
        <w:tc>
          <w:tcPr>
            <w:tcW w:w="1140" w:type="dxa"/>
            <w:vAlign w:val="bottom"/>
            <w:tcBorders>
              <w:bottom w:val="single" w:sz="8" w:color="00497F"/>
            </w:tcBorders>
          </w:tcPr>
          <w:p>
            <w:pPr>
              <w:jc w:val="right"/>
              <w:ind w:right="29"/>
              <w:spacing w:after="0"/>
              <w:rPr>
                <w:sz w:val="20"/>
                <w:szCs w:val="20"/>
                <w:color w:val="auto"/>
              </w:rPr>
            </w:pPr>
            <w:r>
              <w:rPr>
                <w:rFonts w:ascii="Arial" w:cs="Arial" w:eastAsia="Arial" w:hAnsi="Arial"/>
                <w:sz w:val="16"/>
                <w:szCs w:val="16"/>
                <w:color w:val="auto"/>
              </w:rPr>
              <w:t>9,027,531</w:t>
            </w:r>
          </w:p>
        </w:tc>
        <w:tc>
          <w:tcPr>
            <w:tcW w:w="200" w:type="dxa"/>
            <w:vAlign w:val="bottom"/>
            <w:tcBorders>
              <w:bottom w:val="single" w:sz="8" w:color="00497F"/>
            </w:tcBorders>
          </w:tcPr>
          <w:p>
            <w:pPr>
              <w:spacing w:after="0"/>
              <w:rPr>
                <w:sz w:val="18"/>
                <w:szCs w:val="18"/>
                <w:color w:val="auto"/>
              </w:rPr>
            </w:pPr>
          </w:p>
        </w:tc>
        <w:tc>
          <w:tcPr>
            <w:tcW w:w="1180" w:type="dxa"/>
            <w:vAlign w:val="bottom"/>
            <w:tcBorders>
              <w:bottom w:val="single" w:sz="8" w:color="00497F"/>
            </w:tcBorders>
          </w:tcPr>
          <w:p>
            <w:pPr>
              <w:jc w:val="right"/>
              <w:ind w:right="45"/>
              <w:spacing w:after="0"/>
              <w:rPr>
                <w:sz w:val="20"/>
                <w:szCs w:val="20"/>
                <w:color w:val="auto"/>
              </w:rPr>
            </w:pPr>
            <w:r>
              <w:rPr>
                <w:rFonts w:ascii="Arial" w:cs="Arial" w:eastAsia="Arial" w:hAnsi="Arial"/>
                <w:sz w:val="16"/>
                <w:szCs w:val="16"/>
                <w:color w:val="auto"/>
              </w:rPr>
              <w:t>1,712,700</w:t>
            </w:r>
          </w:p>
        </w:tc>
        <w:tc>
          <w:tcPr>
            <w:tcW w:w="180" w:type="dxa"/>
            <w:vAlign w:val="bottom"/>
            <w:tcBorders>
              <w:bottom w:val="single" w:sz="8" w:color="00497F"/>
            </w:tcBorders>
          </w:tcPr>
          <w:p>
            <w:pPr>
              <w:spacing w:after="0"/>
              <w:rPr>
                <w:sz w:val="18"/>
                <w:szCs w:val="18"/>
                <w:color w:val="auto"/>
              </w:rPr>
            </w:pPr>
          </w:p>
        </w:tc>
        <w:tc>
          <w:tcPr>
            <w:tcW w:w="1300" w:type="dxa"/>
            <w:vAlign w:val="bottom"/>
            <w:tcBorders>
              <w:bottom w:val="single" w:sz="8" w:color="00497F"/>
            </w:tcBorders>
          </w:tcPr>
          <w:p>
            <w:pPr>
              <w:jc w:val="right"/>
              <w:ind w:right="144"/>
              <w:spacing w:after="0"/>
              <w:rPr>
                <w:sz w:val="20"/>
                <w:szCs w:val="20"/>
                <w:color w:val="auto"/>
              </w:rPr>
            </w:pPr>
            <w:r>
              <w:rPr>
                <w:rFonts w:ascii="Arial" w:cs="Arial" w:eastAsia="Arial" w:hAnsi="Arial"/>
                <w:sz w:val="16"/>
                <w:szCs w:val="16"/>
                <w:color w:val="auto"/>
              </w:rPr>
              <w:t>2,381,430</w:t>
            </w:r>
          </w:p>
        </w:tc>
        <w:tc>
          <w:tcPr>
            <w:tcW w:w="120" w:type="dxa"/>
            <w:vAlign w:val="bottom"/>
            <w:tcBorders>
              <w:bottom w:val="single" w:sz="8" w:color="00497F"/>
            </w:tcBorders>
          </w:tcPr>
          <w:p>
            <w:pPr>
              <w:spacing w:after="0"/>
              <w:rPr>
                <w:sz w:val="18"/>
                <w:szCs w:val="18"/>
                <w:color w:val="auto"/>
              </w:rPr>
            </w:pPr>
          </w:p>
        </w:tc>
        <w:tc>
          <w:tcPr>
            <w:tcW w:w="1000" w:type="dxa"/>
            <w:vAlign w:val="bottom"/>
            <w:tcBorders>
              <w:bottom w:val="single" w:sz="8" w:color="00497F"/>
            </w:tcBorders>
          </w:tcPr>
          <w:p>
            <w:pPr>
              <w:jc w:val="right"/>
              <w:ind w:right="25"/>
              <w:spacing w:after="0"/>
              <w:rPr>
                <w:sz w:val="20"/>
                <w:szCs w:val="20"/>
                <w:color w:val="auto"/>
              </w:rPr>
            </w:pPr>
            <w:r>
              <w:rPr>
                <w:rFonts w:ascii="Arial" w:cs="Arial" w:eastAsia="Arial" w:hAnsi="Arial"/>
                <w:sz w:val="16"/>
                <w:szCs w:val="16"/>
                <w:color w:val="auto"/>
              </w:rPr>
              <w:t>106.99</w:t>
            </w:r>
          </w:p>
        </w:tc>
        <w:tc>
          <w:tcPr>
            <w:tcW w:w="200" w:type="dxa"/>
            <w:vAlign w:val="bottom"/>
            <w:tcBorders>
              <w:bottom w:val="single" w:sz="8" w:color="00497F"/>
            </w:tcBorders>
          </w:tcPr>
          <w:p>
            <w:pPr>
              <w:spacing w:after="0"/>
              <w:rPr>
                <w:sz w:val="18"/>
                <w:szCs w:val="18"/>
                <w:color w:val="auto"/>
              </w:rPr>
            </w:pPr>
          </w:p>
        </w:tc>
        <w:tc>
          <w:tcPr>
            <w:tcW w:w="98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77.40</w:t>
            </w:r>
          </w:p>
        </w:tc>
        <w:tc>
          <w:tcPr>
            <w:tcW w:w="1480" w:type="dxa"/>
            <w:vAlign w:val="bottom"/>
            <w:tcBorders>
              <w:bottom w:val="single" w:sz="8" w:color="00497F"/>
            </w:tcBorders>
          </w:tcPr>
          <w:p>
            <w:pPr>
              <w:jc w:val="right"/>
              <w:ind w:right="21"/>
              <w:spacing w:after="0"/>
              <w:rPr>
                <w:sz w:val="20"/>
                <w:szCs w:val="20"/>
                <w:color w:val="auto"/>
              </w:rPr>
            </w:pPr>
            <w:r>
              <w:rPr>
                <w:rFonts w:ascii="Arial" w:cs="Arial" w:eastAsia="Arial" w:hAnsi="Arial"/>
                <w:sz w:val="16"/>
                <w:szCs w:val="16"/>
                <w:color w:val="auto"/>
              </w:rPr>
              <w:t>(255,994,383)</w:t>
            </w:r>
          </w:p>
        </w:tc>
        <w:tc>
          <w:tcPr>
            <w:tcW w:w="1400" w:type="dxa"/>
            <w:vAlign w:val="bottom"/>
            <w:tcBorders>
              <w:bottom w:val="single" w:sz="8" w:color="00497F"/>
            </w:tcBorders>
          </w:tcPr>
          <w:p>
            <w:pPr>
              <w:jc w:val="right"/>
              <w:ind w:right="4"/>
              <w:spacing w:after="0"/>
              <w:rPr>
                <w:sz w:val="20"/>
                <w:szCs w:val="20"/>
                <w:color w:val="auto"/>
              </w:rPr>
            </w:pPr>
            <w:r>
              <w:rPr>
                <w:rFonts w:ascii="Arial" w:cs="Arial" w:eastAsia="Arial" w:hAnsi="Arial"/>
                <w:sz w:val="16"/>
                <w:szCs w:val="16"/>
                <w:color w:val="auto"/>
              </w:rPr>
              <w:t>234,980,182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200" w:hanging="328"/>
        <w:spacing w:after="0" w:line="246" w:lineRule="auto"/>
        <w:tabs>
          <w:tab w:leader="none" w:pos="651"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Compensation actually paid is calculated starting with the total compensation as reported in the Summary Compensation Table (“SCT”), and then the SCT value of restricted stock and units (including performance-based awards) plus SAR awards are deducted. The amount equal to the fair value at the end of the prior fiscal year or awards granted in any prior fiscal year that fail to meet the applicable vesting conditions during the covered fiscal year are then deducted. Added to the calculation are: fair value, as of year-end, of awards granted in the first year that are outstanding and unvested; the change in fair value from the prior to current years for awards granted in prior fiscal years that are outstanding and unvested; and the change in fair value as of the vesting date (from the end of the prior fiscal year) for awards granted in any prior fiscal year for which all applicable vesting conditions were satisfied by the end of the covered fiscal year. Note that the fair value of awards that are subject to performance conditions are based on the most probable outcome at the end of the covered fiscal year.</w:t>
      </w:r>
    </w:p>
    <w:p>
      <w:pPr>
        <w:spacing w:after="0" w:line="93" w:lineRule="exact"/>
        <w:rPr>
          <w:sz w:val="20"/>
          <w:szCs w:val="20"/>
          <w:color w:val="auto"/>
        </w:rPr>
      </w:pPr>
    </w:p>
    <w:p>
      <w:pPr>
        <w:ind w:left="660" w:right="240" w:hanging="328"/>
        <w:spacing w:after="0" w:line="227" w:lineRule="auto"/>
        <w:tabs>
          <w:tab w:leader="none" w:pos="651" w:val="left"/>
        </w:tabs>
        <w:numPr>
          <w:ilvl w:val="0"/>
          <w:numId w:val="92"/>
        </w:numPr>
        <w:rPr>
          <w:rFonts w:ascii="Arial" w:cs="Arial" w:eastAsia="Arial" w:hAnsi="Arial"/>
          <w:sz w:val="21"/>
          <w:szCs w:val="21"/>
          <w:color w:val="auto"/>
          <w:vertAlign w:val="superscript"/>
        </w:rPr>
      </w:pPr>
      <w:r>
        <w:rPr>
          <w:rFonts w:ascii="Arial" w:cs="Arial" w:eastAsia="Arial" w:hAnsi="Arial"/>
          <w:sz w:val="16"/>
          <w:szCs w:val="16"/>
          <w:color w:val="auto"/>
        </w:rPr>
        <w:t>SAR calculations measuring the year-end fair value of the outstanding awards were performed by Infinite Equity, an independent equity valuation firm.</w:t>
      </w:r>
    </w:p>
    <w:p>
      <w:pPr>
        <w:spacing w:after="0" w:line="70" w:lineRule="exact"/>
        <w:rPr>
          <w:sz w:val="20"/>
          <w:szCs w:val="20"/>
          <w:color w:val="auto"/>
        </w:rPr>
      </w:pPr>
    </w:p>
    <w:p>
      <w:pPr>
        <w:ind w:left="640" w:hanging="308"/>
        <w:spacing w:after="0"/>
        <w:tabs>
          <w:tab w:leader="none" w:pos="640"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Mr. Weisz served as the Company’s PEO for 2022, 2021 and 2020.</w:t>
      </w:r>
    </w:p>
    <w:p>
      <w:pPr>
        <w:spacing w:after="0" w:line="56" w:lineRule="exact"/>
        <w:rPr>
          <w:sz w:val="20"/>
          <w:szCs w:val="20"/>
          <w:color w:val="auto"/>
        </w:rPr>
      </w:pPr>
    </w:p>
    <w:p>
      <w:pPr>
        <w:ind w:left="640" w:hanging="308"/>
        <w:spacing w:after="0"/>
        <w:tabs>
          <w:tab w:leader="none" w:pos="640" w:val="left"/>
        </w:tabs>
        <w:numPr>
          <w:ilvl w:val="0"/>
          <w:numId w:val="94"/>
        </w:numPr>
        <w:rPr>
          <w:rFonts w:ascii="Arial" w:cs="Arial" w:eastAsia="Arial" w:hAnsi="Arial"/>
          <w:sz w:val="21"/>
          <w:szCs w:val="21"/>
          <w:color w:val="auto"/>
          <w:vertAlign w:val="superscript"/>
        </w:rPr>
      </w:pPr>
      <w:r>
        <w:rPr>
          <w:rFonts w:ascii="Arial" w:cs="Arial" w:eastAsia="Arial" w:hAnsi="Arial"/>
          <w:sz w:val="16"/>
          <w:szCs w:val="16"/>
          <w:color w:val="auto"/>
        </w:rPr>
        <w:t>The bridge between PEO reported SCT compensation to the Compensation Actually paid is outlined below:</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20" w:type="dxa"/>
            <w:vAlign w:val="bottom"/>
          </w:tcPr>
          <w:p>
            <w:pPr>
              <w:jc w:val="center"/>
              <w:ind w:left="63"/>
              <w:spacing w:after="0"/>
              <w:rPr>
                <w:sz w:val="20"/>
                <w:szCs w:val="20"/>
                <w:color w:val="auto"/>
              </w:rPr>
            </w:pPr>
            <w:r>
              <w:rPr>
                <w:rFonts w:ascii="Arial" w:cs="Arial" w:eastAsia="Arial" w:hAnsi="Arial"/>
                <w:sz w:val="14"/>
                <w:szCs w:val="14"/>
                <w:b w:val="1"/>
                <w:bCs w:val="1"/>
                <w:color w:val="004E7D"/>
              </w:rPr>
              <w:t>Fiscal</w:t>
            </w:r>
          </w:p>
        </w:tc>
        <w:tc>
          <w:tcPr>
            <w:tcW w:w="260" w:type="dxa"/>
            <w:vAlign w:val="bottom"/>
          </w:tcPr>
          <w:p>
            <w:pPr>
              <w:spacing w:after="0"/>
              <w:rPr>
                <w:sz w:val="14"/>
                <w:szCs w:val="14"/>
                <w:color w:val="auto"/>
              </w:rPr>
            </w:pPr>
          </w:p>
        </w:tc>
        <w:tc>
          <w:tcPr>
            <w:tcW w:w="2540" w:type="dxa"/>
            <w:vAlign w:val="bottom"/>
          </w:tcPr>
          <w:p>
            <w:pPr>
              <w:jc w:val="right"/>
              <w:ind w:right="83"/>
              <w:spacing w:after="0"/>
              <w:rPr>
                <w:sz w:val="20"/>
                <w:szCs w:val="20"/>
                <w:color w:val="auto"/>
              </w:rPr>
            </w:pPr>
            <w:r>
              <w:rPr>
                <w:rFonts w:ascii="Arial" w:cs="Arial" w:eastAsia="Arial" w:hAnsi="Arial"/>
                <w:sz w:val="14"/>
                <w:szCs w:val="14"/>
                <w:b w:val="1"/>
                <w:bCs w:val="1"/>
                <w:color w:val="004E7D"/>
              </w:rPr>
              <w:t>Reported Summary Compensation</w:t>
            </w:r>
          </w:p>
        </w:tc>
        <w:tc>
          <w:tcPr>
            <w:tcW w:w="260" w:type="dxa"/>
            <w:vAlign w:val="bottom"/>
          </w:tcPr>
          <w:p>
            <w:pPr>
              <w:spacing w:after="0"/>
              <w:rPr>
                <w:sz w:val="14"/>
                <w:szCs w:val="14"/>
                <w:color w:val="auto"/>
              </w:rPr>
            </w:pPr>
          </w:p>
        </w:tc>
        <w:tc>
          <w:tcPr>
            <w:tcW w:w="1580" w:type="dxa"/>
            <w:vAlign w:val="bottom"/>
          </w:tcPr>
          <w:p>
            <w:pPr>
              <w:jc w:val="right"/>
              <w:ind w:right="223"/>
              <w:spacing w:after="0"/>
              <w:rPr>
                <w:sz w:val="20"/>
                <w:szCs w:val="20"/>
                <w:color w:val="auto"/>
              </w:rPr>
            </w:pPr>
            <w:r>
              <w:rPr>
                <w:rFonts w:ascii="Arial" w:cs="Arial" w:eastAsia="Arial" w:hAnsi="Arial"/>
                <w:sz w:val="14"/>
                <w:szCs w:val="14"/>
                <w:b w:val="1"/>
                <w:bCs w:val="1"/>
                <w:color w:val="004E7D"/>
              </w:rPr>
              <w:t>Reported Value of</w:t>
            </w:r>
          </w:p>
        </w:tc>
        <w:tc>
          <w:tcPr>
            <w:tcW w:w="300" w:type="dxa"/>
            <w:vAlign w:val="bottom"/>
          </w:tcPr>
          <w:p>
            <w:pPr>
              <w:spacing w:after="0"/>
              <w:rPr>
                <w:sz w:val="14"/>
                <w:szCs w:val="14"/>
                <w:color w:val="auto"/>
              </w:rPr>
            </w:pPr>
          </w:p>
        </w:tc>
        <w:tc>
          <w:tcPr>
            <w:tcW w:w="1520" w:type="dxa"/>
            <w:vAlign w:val="bottom"/>
          </w:tcPr>
          <w:p>
            <w:pPr>
              <w:jc w:val="right"/>
              <w:ind w:right="363"/>
              <w:spacing w:after="0"/>
              <w:rPr>
                <w:sz w:val="20"/>
                <w:szCs w:val="20"/>
                <w:color w:val="auto"/>
              </w:rPr>
            </w:pPr>
            <w:r>
              <w:rPr>
                <w:rFonts w:ascii="Arial" w:cs="Arial" w:eastAsia="Arial" w:hAnsi="Arial"/>
                <w:sz w:val="14"/>
                <w:szCs w:val="14"/>
                <w:b w:val="1"/>
                <w:bCs w:val="1"/>
                <w:color w:val="004E7D"/>
              </w:rPr>
              <w:t>Equity Award</w:t>
            </w:r>
          </w:p>
        </w:tc>
        <w:tc>
          <w:tcPr>
            <w:tcW w:w="2400" w:type="dxa"/>
            <w:vAlign w:val="bottom"/>
            <w:gridSpan w:val="2"/>
          </w:tcPr>
          <w:p>
            <w:pPr>
              <w:jc w:val="right"/>
              <w:ind w:right="21"/>
              <w:spacing w:after="0"/>
              <w:rPr>
                <w:sz w:val="20"/>
                <w:szCs w:val="20"/>
                <w:color w:val="auto"/>
              </w:rPr>
            </w:pPr>
            <w:r>
              <w:rPr>
                <w:rFonts w:ascii="Arial" w:cs="Arial" w:eastAsia="Arial" w:hAnsi="Arial"/>
                <w:sz w:val="14"/>
                <w:szCs w:val="14"/>
                <w:b w:val="1"/>
                <w:bCs w:val="1"/>
                <w:color w:val="004E7D"/>
              </w:rPr>
              <w:t>Compensation Actually Paid to</w:t>
            </w:r>
          </w:p>
        </w:tc>
      </w:tr>
      <w:tr>
        <w:trPr>
          <w:trHeight w:val="196"/>
        </w:trPr>
        <w:tc>
          <w:tcPr>
            <w:tcW w:w="820" w:type="dxa"/>
            <w:vAlign w:val="bottom"/>
            <w:tcBorders>
              <w:bottom w:val="single" w:sz="8" w:color="004987"/>
            </w:tcBorders>
          </w:tcPr>
          <w:p>
            <w:pPr>
              <w:jc w:val="center"/>
              <w:ind w:left="43"/>
              <w:spacing w:after="0"/>
              <w:rPr>
                <w:sz w:val="20"/>
                <w:szCs w:val="20"/>
                <w:color w:val="auto"/>
              </w:rPr>
            </w:pPr>
            <w:r>
              <w:rPr>
                <w:rFonts w:ascii="Arial" w:cs="Arial" w:eastAsia="Arial" w:hAnsi="Arial"/>
                <w:sz w:val="14"/>
                <w:szCs w:val="14"/>
                <w:b w:val="1"/>
                <w:bCs w:val="1"/>
                <w:color w:val="004E7D"/>
                <w:w w:val="98"/>
              </w:rPr>
              <w:t>Year</w:t>
            </w:r>
          </w:p>
        </w:tc>
        <w:tc>
          <w:tcPr>
            <w:tcW w:w="260" w:type="dxa"/>
            <w:vAlign w:val="bottom"/>
            <w:tcBorders>
              <w:bottom w:val="single" w:sz="8" w:color="004987"/>
            </w:tcBorders>
          </w:tcPr>
          <w:p>
            <w:pPr>
              <w:spacing w:after="0"/>
              <w:rPr>
                <w:sz w:val="17"/>
                <w:szCs w:val="17"/>
                <w:color w:val="auto"/>
              </w:rPr>
            </w:pPr>
          </w:p>
        </w:tc>
        <w:tc>
          <w:tcPr>
            <w:tcW w:w="2540" w:type="dxa"/>
            <w:vAlign w:val="bottom"/>
            <w:tcBorders>
              <w:bottom w:val="single" w:sz="8" w:color="004987"/>
            </w:tcBorders>
          </w:tcPr>
          <w:p>
            <w:pPr>
              <w:jc w:val="right"/>
              <w:ind w:right="623"/>
              <w:spacing w:after="0"/>
              <w:rPr>
                <w:sz w:val="20"/>
                <w:szCs w:val="20"/>
                <w:color w:val="auto"/>
              </w:rPr>
            </w:pPr>
            <w:r>
              <w:rPr>
                <w:rFonts w:ascii="Arial" w:cs="Arial" w:eastAsia="Arial" w:hAnsi="Arial"/>
                <w:sz w:val="14"/>
                <w:szCs w:val="14"/>
                <w:b w:val="1"/>
                <w:bCs w:val="1"/>
                <w:color w:val="004E7D"/>
              </w:rPr>
              <w:t>Table Total for PEO</w:t>
            </w:r>
          </w:p>
        </w:tc>
        <w:tc>
          <w:tcPr>
            <w:tcW w:w="260" w:type="dxa"/>
            <w:vAlign w:val="bottom"/>
            <w:tcBorders>
              <w:bottom w:val="single" w:sz="8" w:color="004987"/>
            </w:tcBorders>
          </w:tcPr>
          <w:p>
            <w:pPr>
              <w:spacing w:after="0"/>
              <w:rPr>
                <w:sz w:val="17"/>
                <w:szCs w:val="17"/>
                <w:color w:val="auto"/>
              </w:rPr>
            </w:pPr>
          </w:p>
        </w:tc>
        <w:tc>
          <w:tcPr>
            <w:tcW w:w="1580" w:type="dxa"/>
            <w:vAlign w:val="bottom"/>
            <w:tcBorders>
              <w:bottom w:val="single" w:sz="8" w:color="004987"/>
            </w:tcBorders>
          </w:tcPr>
          <w:p>
            <w:pPr>
              <w:jc w:val="right"/>
              <w:ind w:right="323"/>
              <w:spacing w:after="0"/>
              <w:rPr>
                <w:sz w:val="20"/>
                <w:szCs w:val="20"/>
                <w:color w:val="auto"/>
              </w:rPr>
            </w:pPr>
            <w:r>
              <w:rPr>
                <w:rFonts w:ascii="Arial" w:cs="Arial" w:eastAsia="Arial" w:hAnsi="Arial"/>
                <w:sz w:val="14"/>
                <w:szCs w:val="14"/>
                <w:b w:val="1"/>
                <w:bCs w:val="1"/>
                <w:color w:val="004E7D"/>
              </w:rPr>
              <w:t>Equity Awards</w:t>
            </w:r>
          </w:p>
        </w:tc>
        <w:tc>
          <w:tcPr>
            <w:tcW w:w="300" w:type="dxa"/>
            <w:vAlign w:val="bottom"/>
            <w:tcBorders>
              <w:bottom w:val="single" w:sz="8" w:color="004987"/>
            </w:tcBorders>
          </w:tcPr>
          <w:p>
            <w:pPr>
              <w:spacing w:after="0"/>
              <w:rPr>
                <w:sz w:val="17"/>
                <w:szCs w:val="17"/>
                <w:color w:val="auto"/>
              </w:rPr>
            </w:pPr>
          </w:p>
        </w:tc>
        <w:tc>
          <w:tcPr>
            <w:tcW w:w="1520" w:type="dxa"/>
            <w:vAlign w:val="bottom"/>
            <w:tcBorders>
              <w:bottom w:val="single" w:sz="8" w:color="004987"/>
            </w:tcBorders>
          </w:tcPr>
          <w:p>
            <w:pPr>
              <w:jc w:val="right"/>
              <w:ind w:right="323"/>
              <w:spacing w:after="0" w:line="189" w:lineRule="exact"/>
              <w:rPr>
                <w:sz w:val="20"/>
                <w:szCs w:val="20"/>
                <w:color w:val="auto"/>
              </w:rPr>
            </w:pPr>
            <w:r>
              <w:rPr>
                <w:rFonts w:ascii="Arial" w:cs="Arial" w:eastAsia="Arial" w:hAnsi="Arial"/>
                <w:sz w:val="14"/>
                <w:szCs w:val="14"/>
                <w:b w:val="1"/>
                <w:bCs w:val="1"/>
                <w:color w:val="004E7D"/>
              </w:rPr>
              <w:t>Adjustments</w:t>
            </w:r>
            <w:r>
              <w:rPr>
                <w:rFonts w:ascii="Arial" w:cs="Arial" w:eastAsia="Arial" w:hAnsi="Arial"/>
                <w:sz w:val="18"/>
                <w:szCs w:val="18"/>
                <w:b w:val="1"/>
                <w:bCs w:val="1"/>
                <w:color w:val="004E7D"/>
                <w:vertAlign w:val="superscript"/>
              </w:rPr>
              <w:t>(a)</w:t>
            </w:r>
          </w:p>
        </w:tc>
        <w:tc>
          <w:tcPr>
            <w:tcW w:w="640" w:type="dxa"/>
            <w:vAlign w:val="bottom"/>
            <w:tcBorders>
              <w:bottom w:val="single" w:sz="8" w:color="004987"/>
            </w:tcBorders>
          </w:tcPr>
          <w:p>
            <w:pPr>
              <w:spacing w:after="0"/>
              <w:rPr>
                <w:sz w:val="17"/>
                <w:szCs w:val="17"/>
                <w:color w:val="auto"/>
              </w:rPr>
            </w:pPr>
          </w:p>
        </w:tc>
        <w:tc>
          <w:tcPr>
            <w:tcW w:w="1760" w:type="dxa"/>
            <w:vAlign w:val="bottom"/>
            <w:tcBorders>
              <w:bottom w:val="single" w:sz="8" w:color="004987"/>
            </w:tcBorders>
          </w:tcPr>
          <w:p>
            <w:pPr>
              <w:jc w:val="right"/>
              <w:ind w:right="941"/>
              <w:spacing w:after="0"/>
              <w:rPr>
                <w:sz w:val="20"/>
                <w:szCs w:val="20"/>
                <w:color w:val="auto"/>
              </w:rPr>
            </w:pPr>
            <w:r>
              <w:rPr>
                <w:rFonts w:ascii="Arial" w:cs="Arial" w:eastAsia="Arial" w:hAnsi="Arial"/>
                <w:sz w:val="14"/>
                <w:szCs w:val="14"/>
                <w:b w:val="1"/>
                <w:bCs w:val="1"/>
                <w:color w:val="004E7D"/>
              </w:rPr>
              <w:t>PEO</w:t>
            </w:r>
          </w:p>
        </w:tc>
      </w:tr>
      <w:tr>
        <w:trPr>
          <w:trHeight w:val="215"/>
        </w:trPr>
        <w:tc>
          <w:tcPr>
            <w:tcW w:w="820" w:type="dxa"/>
            <w:vAlign w:val="bottom"/>
          </w:tcPr>
          <w:p>
            <w:pPr>
              <w:jc w:val="center"/>
              <w:ind w:left="63"/>
              <w:spacing w:after="0"/>
              <w:rPr>
                <w:sz w:val="20"/>
                <w:szCs w:val="20"/>
                <w:color w:val="auto"/>
              </w:rPr>
            </w:pPr>
            <w:r>
              <w:rPr>
                <w:rFonts w:ascii="Arial" w:cs="Arial" w:eastAsia="Arial" w:hAnsi="Arial"/>
                <w:sz w:val="16"/>
                <w:szCs w:val="16"/>
                <w:color w:val="auto"/>
              </w:rPr>
              <w:t>2022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540" w:type="dxa"/>
            <w:vAlign w:val="bottom"/>
          </w:tcPr>
          <w:p>
            <w:pPr>
              <w:jc w:val="right"/>
              <w:ind w:right="23"/>
              <w:spacing w:after="0"/>
              <w:rPr>
                <w:sz w:val="20"/>
                <w:szCs w:val="20"/>
                <w:color w:val="auto"/>
              </w:rPr>
            </w:pPr>
            <w:r>
              <w:rPr>
                <w:rFonts w:ascii="Arial" w:cs="Arial" w:eastAsia="Arial" w:hAnsi="Arial"/>
                <w:sz w:val="16"/>
                <w:szCs w:val="16"/>
                <w:color w:val="auto"/>
              </w:rPr>
              <w:t>9,832,891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(6,300,033)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2,627,010</w:t>
            </w:r>
          </w:p>
        </w:tc>
        <w:tc>
          <w:tcPr>
            <w:tcW w:w="640" w:type="dxa"/>
            <w:vAlign w:val="bottom"/>
          </w:tcPr>
          <w:p>
            <w:pPr>
              <w:jc w:val="right"/>
              <w:ind w:right="384"/>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6,159,868</w:t>
            </w:r>
          </w:p>
        </w:tc>
      </w:tr>
      <w:tr>
        <w:trPr>
          <w:trHeight w:val="215"/>
        </w:trPr>
        <w:tc>
          <w:tcPr>
            <w:tcW w:w="820" w:type="dxa"/>
            <w:vAlign w:val="bottom"/>
          </w:tcPr>
          <w:p>
            <w:pPr>
              <w:jc w:val="center"/>
              <w:ind w:left="63"/>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2540" w:type="dxa"/>
            <w:vAlign w:val="bottom"/>
          </w:tcPr>
          <w:p>
            <w:pPr>
              <w:jc w:val="right"/>
              <w:ind w:right="23"/>
              <w:spacing w:after="0"/>
              <w:rPr>
                <w:sz w:val="20"/>
                <w:szCs w:val="20"/>
                <w:color w:val="auto"/>
              </w:rPr>
            </w:pPr>
            <w:r>
              <w:rPr>
                <w:rFonts w:ascii="Arial" w:cs="Arial" w:eastAsia="Arial" w:hAnsi="Arial"/>
                <w:sz w:val="16"/>
                <w:szCs w:val="16"/>
                <w:color w:val="auto"/>
              </w:rPr>
              <w:t>13,223,937</w:t>
            </w:r>
          </w:p>
        </w:tc>
        <w:tc>
          <w:tcPr>
            <w:tcW w:w="260" w:type="dxa"/>
            <w:vAlign w:val="bottom"/>
          </w:tcPr>
          <w:p>
            <w:pPr>
              <w:spacing w:after="0"/>
              <w:rPr>
                <w:sz w:val="18"/>
                <w:szCs w:val="18"/>
                <w:color w:val="auto"/>
              </w:rPr>
            </w:pP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(9,282,685)</w:t>
            </w:r>
          </w:p>
        </w:tc>
        <w:tc>
          <w:tcPr>
            <w:tcW w:w="300" w:type="dxa"/>
            <w:vAlign w:val="bottom"/>
          </w:tcPr>
          <w:p>
            <w:pPr>
              <w:spacing w:after="0"/>
              <w:rPr>
                <w:sz w:val="18"/>
                <w:szCs w:val="18"/>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13,530,767</w:t>
            </w:r>
          </w:p>
        </w:tc>
        <w:tc>
          <w:tcPr>
            <w:tcW w:w="64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17,472,019</w:t>
            </w:r>
          </w:p>
        </w:tc>
      </w:tr>
      <w:tr>
        <w:trPr>
          <w:trHeight w:val="217"/>
        </w:trPr>
        <w:tc>
          <w:tcPr>
            <w:tcW w:w="820" w:type="dxa"/>
            <w:vAlign w:val="bottom"/>
            <w:tcBorders>
              <w:bottom w:val="single" w:sz="8" w:color="00497F"/>
            </w:tcBorders>
          </w:tcPr>
          <w:p>
            <w:pPr>
              <w:jc w:val="center"/>
              <w:ind w:left="63"/>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00497F"/>
            </w:tcBorders>
          </w:tcPr>
          <w:p>
            <w:pPr>
              <w:spacing w:after="0"/>
              <w:rPr>
                <w:sz w:val="18"/>
                <w:szCs w:val="18"/>
                <w:color w:val="auto"/>
              </w:rPr>
            </w:pPr>
          </w:p>
        </w:tc>
        <w:tc>
          <w:tcPr>
            <w:tcW w:w="2540" w:type="dxa"/>
            <w:vAlign w:val="bottom"/>
            <w:tcBorders>
              <w:bottom w:val="single" w:sz="8" w:color="00497F"/>
            </w:tcBorders>
          </w:tcPr>
          <w:p>
            <w:pPr>
              <w:jc w:val="right"/>
              <w:ind w:right="23"/>
              <w:spacing w:after="0"/>
              <w:rPr>
                <w:sz w:val="20"/>
                <w:szCs w:val="20"/>
                <w:color w:val="auto"/>
              </w:rPr>
            </w:pPr>
            <w:r>
              <w:rPr>
                <w:rFonts w:ascii="Arial" w:cs="Arial" w:eastAsia="Arial" w:hAnsi="Arial"/>
                <w:sz w:val="16"/>
                <w:szCs w:val="16"/>
                <w:color w:val="auto"/>
              </w:rPr>
              <w:t>6,134,009</w:t>
            </w:r>
          </w:p>
        </w:tc>
        <w:tc>
          <w:tcPr>
            <w:tcW w:w="260" w:type="dxa"/>
            <w:vAlign w:val="bottom"/>
            <w:tcBorders>
              <w:bottom w:val="single" w:sz="8" w:color="00497F"/>
            </w:tcBorders>
          </w:tcPr>
          <w:p>
            <w:pPr>
              <w:spacing w:after="0"/>
              <w:rPr>
                <w:sz w:val="18"/>
                <w:szCs w:val="18"/>
                <w:color w:val="auto"/>
              </w:rPr>
            </w:pPr>
          </w:p>
        </w:tc>
        <w:tc>
          <w:tcPr>
            <w:tcW w:w="1580" w:type="dxa"/>
            <w:vAlign w:val="bottom"/>
            <w:tcBorders>
              <w:bottom w:val="single" w:sz="8" w:color="00497F"/>
            </w:tcBorders>
          </w:tcPr>
          <w:p>
            <w:pPr>
              <w:jc w:val="right"/>
              <w:ind w:right="3"/>
              <w:spacing w:after="0"/>
              <w:rPr>
                <w:sz w:val="20"/>
                <w:szCs w:val="20"/>
                <w:color w:val="auto"/>
              </w:rPr>
            </w:pPr>
            <w:r>
              <w:rPr>
                <w:rFonts w:ascii="Arial" w:cs="Arial" w:eastAsia="Arial" w:hAnsi="Arial"/>
                <w:sz w:val="16"/>
                <w:szCs w:val="16"/>
                <w:color w:val="auto"/>
              </w:rPr>
              <w:t>(5,322,927)</w:t>
            </w:r>
          </w:p>
        </w:tc>
        <w:tc>
          <w:tcPr>
            <w:tcW w:w="300" w:type="dxa"/>
            <w:vAlign w:val="bottom"/>
            <w:tcBorders>
              <w:bottom w:val="single" w:sz="8" w:color="00497F"/>
            </w:tcBorders>
          </w:tcPr>
          <w:p>
            <w:pPr>
              <w:spacing w:after="0"/>
              <w:rPr>
                <w:sz w:val="18"/>
                <w:szCs w:val="18"/>
                <w:color w:val="auto"/>
              </w:rPr>
            </w:pPr>
          </w:p>
        </w:tc>
        <w:tc>
          <w:tcPr>
            <w:tcW w:w="1520" w:type="dxa"/>
            <w:vAlign w:val="bottom"/>
            <w:tcBorders>
              <w:bottom w:val="single" w:sz="8" w:color="00497F"/>
            </w:tcBorders>
          </w:tcPr>
          <w:p>
            <w:pPr>
              <w:jc w:val="right"/>
              <w:ind w:right="23"/>
              <w:spacing w:after="0"/>
              <w:rPr>
                <w:sz w:val="20"/>
                <w:szCs w:val="20"/>
                <w:color w:val="auto"/>
              </w:rPr>
            </w:pPr>
            <w:r>
              <w:rPr>
                <w:rFonts w:ascii="Arial" w:cs="Arial" w:eastAsia="Arial" w:hAnsi="Arial"/>
                <w:sz w:val="16"/>
                <w:szCs w:val="16"/>
                <w:color w:val="auto"/>
              </w:rPr>
              <w:t>8,216,449</w:t>
            </w:r>
          </w:p>
        </w:tc>
        <w:tc>
          <w:tcPr>
            <w:tcW w:w="640" w:type="dxa"/>
            <w:vAlign w:val="bottom"/>
            <w:tcBorders>
              <w:bottom w:val="single" w:sz="8" w:color="00497F"/>
            </w:tcBorders>
          </w:tcPr>
          <w:p>
            <w:pPr>
              <w:spacing w:after="0"/>
              <w:rPr>
                <w:sz w:val="18"/>
                <w:szCs w:val="18"/>
                <w:color w:val="auto"/>
              </w:rPr>
            </w:pPr>
          </w:p>
        </w:tc>
        <w:tc>
          <w:tcPr>
            <w:tcW w:w="1760" w:type="dxa"/>
            <w:vAlign w:val="bottom"/>
            <w:tcBorders>
              <w:bottom w:val="single" w:sz="8" w:color="00497F"/>
            </w:tcBorders>
          </w:tcPr>
          <w:p>
            <w:pPr>
              <w:jc w:val="right"/>
              <w:ind w:right="1"/>
              <w:spacing w:after="0"/>
              <w:rPr>
                <w:sz w:val="20"/>
                <w:szCs w:val="20"/>
                <w:color w:val="auto"/>
              </w:rPr>
            </w:pPr>
            <w:r>
              <w:rPr>
                <w:rFonts w:ascii="Arial" w:cs="Arial" w:eastAsia="Arial" w:hAnsi="Arial"/>
                <w:sz w:val="16"/>
                <w:szCs w:val="16"/>
                <w:color w:val="auto"/>
              </w:rPr>
              <w:t>9,027,531</w:t>
            </w:r>
          </w:p>
        </w:tc>
      </w:tr>
    </w:tbl>
    <w:p>
      <w:pPr>
        <w:spacing w:after="0" w:line="216"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21"/>
          <w:szCs w:val="21"/>
          <w:color w:val="auto"/>
          <w:vertAlign w:val="superscript"/>
        </w:rPr>
      </w:pPr>
      <w:r>
        <w:rPr>
          <w:rFonts w:ascii="Arial" w:cs="Arial" w:eastAsia="Arial" w:hAnsi="Arial"/>
          <w:sz w:val="16"/>
          <w:szCs w:val="16"/>
          <w:color w:val="auto"/>
        </w:rPr>
        <w:t>The amounts deducted or added in calculating the equity award adjustments are as follows:</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4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004E7D"/>
              </w:rPr>
              <w:t>Year End Fair</w:t>
            </w:r>
          </w:p>
        </w:tc>
        <w:tc>
          <w:tcPr>
            <w:tcW w:w="13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4E7D"/>
              </w:rPr>
              <w:t>Fair Value as</w:t>
            </w:r>
          </w:p>
        </w:tc>
        <w:tc>
          <w:tcPr>
            <w:tcW w:w="160" w:type="dxa"/>
            <w:vAlign w:val="bottom"/>
          </w:tcPr>
          <w:p>
            <w:pPr>
              <w:spacing w:after="0"/>
              <w:rPr>
                <w:sz w:val="14"/>
                <w:szCs w:val="14"/>
                <w:color w:val="auto"/>
              </w:rPr>
            </w:pPr>
          </w:p>
        </w:tc>
        <w:tc>
          <w:tcPr>
            <w:tcW w:w="118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004E7D"/>
              </w:rPr>
              <w:t>Year Over Year</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4E7D"/>
              </w:rPr>
              <w:t>Fair Value at the</w:t>
            </w:r>
          </w:p>
        </w:tc>
        <w:tc>
          <w:tcPr>
            <w:tcW w:w="160" w:type="dxa"/>
            <w:vAlign w:val="bottom"/>
          </w:tcPr>
          <w:p>
            <w:pPr>
              <w:spacing w:after="0"/>
              <w:rPr>
                <w:sz w:val="14"/>
                <w:szCs w:val="14"/>
                <w:color w:val="auto"/>
              </w:rPr>
            </w:pPr>
          </w:p>
        </w:tc>
        <w:tc>
          <w:tcPr>
            <w:tcW w:w="1180" w:type="dxa"/>
            <w:vAlign w:val="bottom"/>
          </w:tcPr>
          <w:p>
            <w:pPr>
              <w:jc w:val="center"/>
              <w:ind w:right="65"/>
              <w:spacing w:after="0"/>
              <w:rPr>
                <w:sz w:val="20"/>
                <w:szCs w:val="20"/>
                <w:color w:val="auto"/>
              </w:rPr>
            </w:pPr>
            <w:r>
              <w:rPr>
                <w:rFonts w:ascii="Arial" w:cs="Arial" w:eastAsia="Arial" w:hAnsi="Arial"/>
                <w:sz w:val="14"/>
                <w:szCs w:val="14"/>
                <w:b w:val="1"/>
                <w:bCs w:val="1"/>
                <w:color w:val="004E7D"/>
              </w:rPr>
              <w:t>Value of</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004E7D"/>
              </w:rPr>
              <w:t>Year Over Year</w:t>
            </w: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End of the Prior</w:t>
            </w:r>
          </w:p>
        </w:tc>
        <w:tc>
          <w:tcPr>
            <w:tcW w:w="160" w:type="dxa"/>
            <w:vAlign w:val="bottom"/>
          </w:tcPr>
          <w:p>
            <w:pPr>
              <w:spacing w:after="0"/>
              <w:rPr>
                <w:sz w:val="12"/>
                <w:szCs w:val="12"/>
                <w:color w:val="auto"/>
              </w:rPr>
            </w:pPr>
          </w:p>
        </w:tc>
        <w:tc>
          <w:tcPr>
            <w:tcW w:w="118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004E7D"/>
              </w:rPr>
              <w:t>Dividends or</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Value of Equity</w:t>
            </w: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004E7D"/>
              </w:rPr>
              <w:t>of Vesting</w:t>
            </w:r>
          </w:p>
        </w:tc>
        <w:tc>
          <w:tcPr>
            <w:tcW w:w="160" w:type="dxa"/>
            <w:vAlign w:val="bottom"/>
          </w:tcPr>
          <w:p>
            <w:pPr>
              <w:spacing w:after="0"/>
              <w:rPr>
                <w:sz w:val="12"/>
                <w:szCs w:val="12"/>
                <w:color w:val="auto"/>
              </w:rPr>
            </w:pPr>
          </w:p>
        </w:tc>
        <w:tc>
          <w:tcPr>
            <w:tcW w:w="11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004E7D"/>
              </w:rPr>
              <w:t>Change in Fair</w:t>
            </w:r>
          </w:p>
        </w:tc>
        <w:tc>
          <w:tcPr>
            <w:tcW w:w="16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004E7D"/>
              </w:rPr>
              <w:t>Year of Equity</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Other Earnings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240" w:type="dxa"/>
            <w:vAlign w:val="bottom"/>
          </w:tcPr>
          <w:p>
            <w:pPr>
              <w:jc w:val="center"/>
              <w:ind w:left="5"/>
              <w:spacing w:after="0" w:line="135" w:lineRule="exact"/>
              <w:rPr>
                <w:sz w:val="20"/>
                <w:szCs w:val="20"/>
                <w:color w:val="auto"/>
              </w:rPr>
            </w:pPr>
            <w:r>
              <w:rPr>
                <w:rFonts w:ascii="Arial" w:cs="Arial" w:eastAsia="Arial" w:hAnsi="Arial"/>
                <w:sz w:val="14"/>
                <w:szCs w:val="14"/>
                <w:b w:val="1"/>
                <w:bCs w:val="1"/>
                <w:color w:val="004E7D"/>
              </w:rPr>
              <w:t>Awards</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Change in Fair</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Date of Equity</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Value of Equity</w:t>
            </w:r>
          </w:p>
        </w:tc>
        <w:tc>
          <w:tcPr>
            <w:tcW w:w="160" w:type="dxa"/>
            <w:vAlign w:val="bottom"/>
          </w:tcPr>
          <w:p>
            <w:pPr>
              <w:spacing w:after="0"/>
              <w:rPr>
                <w:sz w:val="11"/>
                <w:szCs w:val="11"/>
                <w:color w:val="auto"/>
              </w:rPr>
            </w:pPr>
          </w:p>
        </w:tc>
        <w:tc>
          <w:tcPr>
            <w:tcW w:w="114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004E7D"/>
              </w:rPr>
              <w:t>Awards that</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Paid on Stock or</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Granted in the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Value of</w:t>
            </w:r>
          </w:p>
        </w:tc>
        <w:tc>
          <w:tcPr>
            <w:tcW w:w="200" w:type="dxa"/>
            <w:vAlign w:val="bottom"/>
          </w:tcPr>
          <w:p>
            <w:pPr>
              <w:spacing w:after="0"/>
              <w:rPr>
                <w:sz w:val="12"/>
                <w:szCs w:val="12"/>
                <w:color w:val="auto"/>
              </w:rPr>
            </w:pPr>
          </w:p>
        </w:tc>
        <w:tc>
          <w:tcPr>
            <w:tcW w:w="9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004E7D"/>
                <w:w w:val="98"/>
              </w:rPr>
              <w:t>Awards</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Awards Granted</w:t>
            </w:r>
          </w:p>
        </w:tc>
        <w:tc>
          <w:tcPr>
            <w:tcW w:w="16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004E7D"/>
              </w:rPr>
              <w:t>Failed to Meet</w:t>
            </w:r>
          </w:p>
        </w:tc>
        <w:tc>
          <w:tcPr>
            <w:tcW w:w="16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004E7D"/>
              </w:rPr>
              <w:t>Option Awards</w:t>
            </w:r>
          </w:p>
        </w:tc>
        <w:tc>
          <w:tcPr>
            <w:tcW w:w="200" w:type="dxa"/>
            <w:vAlign w:val="bottom"/>
          </w:tcPr>
          <w:p>
            <w:pPr>
              <w:spacing w:after="0"/>
              <w:rPr>
                <w:sz w:val="12"/>
                <w:szCs w:val="12"/>
                <w:color w:val="auto"/>
              </w:rPr>
            </w:pPr>
          </w:p>
        </w:tc>
        <w:tc>
          <w:tcPr>
            <w:tcW w:w="10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004E7D"/>
              </w:rPr>
              <w:t>Total Equity</w:t>
            </w:r>
          </w:p>
        </w:tc>
        <w:tc>
          <w:tcPr>
            <w:tcW w:w="0" w:type="dxa"/>
            <w:vAlign w:val="bottom"/>
          </w:tcPr>
          <w:p>
            <w:pPr>
              <w:spacing w:after="0"/>
              <w:rPr>
                <w:sz w:val="1"/>
                <w:szCs w:val="1"/>
                <w:color w:val="auto"/>
              </w:rPr>
            </w:pPr>
          </w:p>
        </w:tc>
      </w:tr>
      <w:tr>
        <w:trPr>
          <w:trHeight w:val="148"/>
        </w:trPr>
        <w:tc>
          <w:tcPr>
            <w:tcW w:w="78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004E7D"/>
              </w:rPr>
              <w:t>Fiscal</w:t>
            </w:r>
          </w:p>
        </w:tc>
        <w:tc>
          <w:tcPr>
            <w:tcW w:w="124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004E7D"/>
              </w:rPr>
              <w:t>Year and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004E7D"/>
              </w:rPr>
              <w:t>Outstanding</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Granted and</w:t>
            </w:r>
          </w:p>
        </w:tc>
        <w:tc>
          <w:tcPr>
            <w:tcW w:w="160" w:type="dxa"/>
            <w:vAlign w:val="bottom"/>
          </w:tcPr>
          <w:p>
            <w:pPr>
              <w:spacing w:after="0"/>
              <w:rPr>
                <w:sz w:val="12"/>
                <w:szCs w:val="12"/>
                <w:color w:val="auto"/>
              </w:rPr>
            </w:pPr>
          </w:p>
        </w:tc>
        <w:tc>
          <w:tcPr>
            <w:tcW w:w="11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004E7D"/>
              </w:rPr>
              <w:t>in Prior Years</w:t>
            </w:r>
          </w:p>
        </w:tc>
        <w:tc>
          <w:tcPr>
            <w:tcW w:w="16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004E7D"/>
              </w:rPr>
              <w:t>Vesting</w:t>
            </w:r>
          </w:p>
        </w:tc>
        <w:tc>
          <w:tcPr>
            <w:tcW w:w="160" w:type="dxa"/>
            <w:vAlign w:val="bottom"/>
          </w:tcPr>
          <w:p>
            <w:pPr>
              <w:spacing w:after="0"/>
              <w:rPr>
                <w:sz w:val="12"/>
                <w:szCs w:val="12"/>
                <w:color w:val="auto"/>
              </w:rPr>
            </w:pPr>
          </w:p>
        </w:tc>
        <w:tc>
          <w:tcPr>
            <w:tcW w:w="11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004E7D"/>
              </w:rPr>
              <w:t>not Otherwise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Unvested at</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004E7D"/>
              </w:rPr>
              <w:t>and Unvested</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Vested in the</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that Vested in the</w:t>
            </w: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Conditions in the</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Reflected in Fair</w:t>
            </w:r>
          </w:p>
        </w:tc>
        <w:tc>
          <w:tcPr>
            <w:tcW w:w="200" w:type="dxa"/>
            <w:vAlign w:val="bottom"/>
          </w:tcPr>
          <w:p>
            <w:pPr>
              <w:spacing w:after="0"/>
              <w:rPr>
                <w:sz w:val="11"/>
                <w:szCs w:val="11"/>
                <w:color w:val="auto"/>
              </w:rPr>
            </w:pPr>
          </w:p>
        </w:tc>
        <w:tc>
          <w:tcPr>
            <w:tcW w:w="104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004E7D"/>
              </w:rPr>
              <w:t>Award</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4987"/>
            </w:tcBorders>
          </w:tcPr>
          <w:p>
            <w:pPr>
              <w:jc w:val="center"/>
              <w:ind w:left="23"/>
              <w:spacing w:after="0"/>
              <w:rPr>
                <w:sz w:val="20"/>
                <w:szCs w:val="20"/>
                <w:color w:val="auto"/>
              </w:rPr>
            </w:pPr>
            <w:r>
              <w:rPr>
                <w:rFonts w:ascii="Arial" w:cs="Arial" w:eastAsia="Arial" w:hAnsi="Arial"/>
                <w:sz w:val="14"/>
                <w:szCs w:val="14"/>
                <w:b w:val="1"/>
                <w:bCs w:val="1"/>
                <w:color w:val="004E7D"/>
              </w:rPr>
              <w:t>Year</w:t>
            </w:r>
          </w:p>
        </w:tc>
        <w:tc>
          <w:tcPr>
            <w:tcW w:w="12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Year End</w:t>
            </w:r>
          </w:p>
        </w:tc>
        <w:tc>
          <w:tcPr>
            <w:tcW w:w="130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E7D"/>
              </w:rPr>
              <w:t>Equity Awards</w:t>
            </w:r>
          </w:p>
        </w:tc>
        <w:tc>
          <w:tcPr>
            <w:tcW w:w="200" w:type="dxa"/>
            <w:vAlign w:val="bottom"/>
            <w:tcBorders>
              <w:bottom w:val="single" w:sz="8" w:color="004987"/>
            </w:tcBorders>
          </w:tcPr>
          <w:p>
            <w:pPr>
              <w:spacing w:after="0"/>
              <w:rPr>
                <w:sz w:val="17"/>
                <w:szCs w:val="17"/>
                <w:color w:val="auto"/>
              </w:rPr>
            </w:pPr>
          </w:p>
        </w:tc>
        <w:tc>
          <w:tcPr>
            <w:tcW w:w="920" w:type="dxa"/>
            <w:vAlign w:val="bottom"/>
            <w:tcBorders>
              <w:bottom w:val="single" w:sz="8" w:color="004987"/>
            </w:tcBorders>
          </w:tcPr>
          <w:p>
            <w:pPr>
              <w:jc w:val="center"/>
              <w:ind w:right="104"/>
              <w:spacing w:after="0"/>
              <w:rPr>
                <w:sz w:val="20"/>
                <w:szCs w:val="20"/>
                <w:color w:val="auto"/>
              </w:rPr>
            </w:pPr>
            <w:r>
              <w:rPr>
                <w:rFonts w:ascii="Arial" w:cs="Arial" w:eastAsia="Arial" w:hAnsi="Arial"/>
                <w:sz w:val="14"/>
                <w:szCs w:val="14"/>
                <w:b w:val="1"/>
                <w:bCs w:val="1"/>
                <w:color w:val="004E7D"/>
                <w:w w:val="98"/>
              </w:rPr>
              <w:t>Year</w:t>
            </w:r>
          </w:p>
        </w:tc>
        <w:tc>
          <w:tcPr>
            <w:tcW w:w="160" w:type="dxa"/>
            <w:vAlign w:val="bottom"/>
            <w:tcBorders>
              <w:bottom w:val="single" w:sz="8" w:color="004987"/>
            </w:tcBorders>
          </w:tcPr>
          <w:p>
            <w:pPr>
              <w:spacing w:after="0"/>
              <w:rPr>
                <w:sz w:val="17"/>
                <w:szCs w:val="17"/>
                <w:color w:val="auto"/>
              </w:rPr>
            </w:pPr>
          </w:p>
        </w:tc>
        <w:tc>
          <w:tcPr>
            <w:tcW w:w="1180" w:type="dxa"/>
            <w:vAlign w:val="bottom"/>
            <w:tcBorders>
              <w:bottom w:val="single" w:sz="8" w:color="004987"/>
            </w:tcBorders>
          </w:tcPr>
          <w:p>
            <w:pPr>
              <w:jc w:val="center"/>
              <w:ind w:right="84"/>
              <w:spacing w:after="0"/>
              <w:rPr>
                <w:sz w:val="20"/>
                <w:szCs w:val="20"/>
                <w:color w:val="auto"/>
              </w:rPr>
            </w:pPr>
            <w:r>
              <w:rPr>
                <w:rFonts w:ascii="Arial" w:cs="Arial" w:eastAsia="Arial" w:hAnsi="Arial"/>
                <w:sz w:val="14"/>
                <w:szCs w:val="14"/>
                <w:b w:val="1"/>
                <w:bCs w:val="1"/>
                <w:color w:val="004E7D"/>
                <w:w w:val="98"/>
              </w:rPr>
              <w:t>Year</w:t>
            </w:r>
          </w:p>
        </w:tc>
        <w:tc>
          <w:tcPr>
            <w:tcW w:w="160" w:type="dxa"/>
            <w:vAlign w:val="bottom"/>
            <w:tcBorders>
              <w:bottom w:val="single" w:sz="8" w:color="004987"/>
            </w:tcBorders>
          </w:tcPr>
          <w:p>
            <w:pPr>
              <w:spacing w:after="0"/>
              <w:rPr>
                <w:sz w:val="17"/>
                <w:szCs w:val="17"/>
                <w:color w:val="auto"/>
              </w:rPr>
            </w:pPr>
          </w:p>
        </w:tc>
        <w:tc>
          <w:tcPr>
            <w:tcW w:w="1140" w:type="dxa"/>
            <w:vAlign w:val="bottom"/>
            <w:tcBorders>
              <w:bottom w:val="single" w:sz="8" w:color="004987"/>
            </w:tcBorders>
          </w:tcPr>
          <w:p>
            <w:pPr>
              <w:jc w:val="center"/>
              <w:ind w:right="85"/>
              <w:spacing w:after="0"/>
              <w:rPr>
                <w:sz w:val="20"/>
                <w:szCs w:val="20"/>
                <w:color w:val="auto"/>
              </w:rPr>
            </w:pPr>
            <w:r>
              <w:rPr>
                <w:rFonts w:ascii="Arial" w:cs="Arial" w:eastAsia="Arial" w:hAnsi="Arial"/>
                <w:sz w:val="14"/>
                <w:szCs w:val="14"/>
                <w:b w:val="1"/>
                <w:bCs w:val="1"/>
                <w:color w:val="004E7D"/>
                <w:w w:val="98"/>
              </w:rPr>
              <w:t>Year</w:t>
            </w:r>
          </w:p>
        </w:tc>
        <w:tc>
          <w:tcPr>
            <w:tcW w:w="160" w:type="dxa"/>
            <w:vAlign w:val="bottom"/>
            <w:tcBorders>
              <w:bottom w:val="single" w:sz="8" w:color="004987"/>
            </w:tcBorders>
          </w:tcPr>
          <w:p>
            <w:pPr>
              <w:spacing w:after="0"/>
              <w:rPr>
                <w:sz w:val="17"/>
                <w:szCs w:val="17"/>
                <w:color w:val="auto"/>
              </w:rPr>
            </w:pPr>
          </w:p>
        </w:tc>
        <w:tc>
          <w:tcPr>
            <w:tcW w:w="1180" w:type="dxa"/>
            <w:vAlign w:val="bottom"/>
            <w:tcBorders>
              <w:bottom w:val="single" w:sz="8" w:color="004987"/>
            </w:tcBorders>
          </w:tcPr>
          <w:p>
            <w:pPr>
              <w:jc w:val="center"/>
              <w:ind w:right="65"/>
              <w:spacing w:after="0"/>
              <w:rPr>
                <w:sz w:val="20"/>
                <w:szCs w:val="20"/>
                <w:color w:val="auto"/>
              </w:rPr>
            </w:pPr>
            <w:r>
              <w:rPr>
                <w:rFonts w:ascii="Arial" w:cs="Arial" w:eastAsia="Arial" w:hAnsi="Arial"/>
                <w:sz w:val="14"/>
                <w:szCs w:val="14"/>
                <w:b w:val="1"/>
                <w:bCs w:val="1"/>
                <w:color w:val="004E7D"/>
                <w:w w:val="96"/>
              </w:rPr>
              <w:t>Value</w:t>
            </w:r>
          </w:p>
        </w:tc>
        <w:tc>
          <w:tcPr>
            <w:tcW w:w="200" w:type="dxa"/>
            <w:vAlign w:val="bottom"/>
            <w:tcBorders>
              <w:bottom w:val="single" w:sz="8" w:color="004987"/>
            </w:tcBorders>
          </w:tcPr>
          <w:p>
            <w:pPr>
              <w:spacing w:after="0"/>
              <w:rPr>
                <w:sz w:val="17"/>
                <w:szCs w:val="17"/>
                <w:color w:val="auto"/>
              </w:rPr>
            </w:pPr>
          </w:p>
        </w:tc>
        <w:tc>
          <w:tcPr>
            <w:tcW w:w="1040" w:type="dxa"/>
            <w:vAlign w:val="bottom"/>
            <w:tcBorders>
              <w:bottom w:val="single" w:sz="8" w:color="004987"/>
            </w:tcBorders>
          </w:tcPr>
          <w:p>
            <w:pPr>
              <w:jc w:val="center"/>
              <w:ind w:right="44"/>
              <w:spacing w:after="0"/>
              <w:rPr>
                <w:sz w:val="20"/>
                <w:szCs w:val="20"/>
                <w:color w:val="auto"/>
              </w:rPr>
            </w:pPr>
            <w:r>
              <w:rPr>
                <w:rFonts w:ascii="Arial" w:cs="Arial" w:eastAsia="Arial" w:hAnsi="Arial"/>
                <w:sz w:val="14"/>
                <w:szCs w:val="14"/>
                <w:b w:val="1"/>
                <w:bCs w:val="1"/>
                <w:color w:val="004E7D"/>
              </w:rPr>
              <w:t>Adjustments</w:t>
            </w:r>
          </w:p>
        </w:tc>
        <w:tc>
          <w:tcPr>
            <w:tcW w:w="0" w:type="dxa"/>
            <w:vAlign w:val="bottom"/>
          </w:tcPr>
          <w:p>
            <w:pPr>
              <w:spacing w:after="0"/>
              <w:rPr>
                <w:sz w:val="1"/>
                <w:szCs w:val="1"/>
                <w:color w:val="auto"/>
              </w:rPr>
            </w:pPr>
          </w:p>
        </w:tc>
      </w:tr>
      <w:tr>
        <w:trPr>
          <w:trHeight w:val="215"/>
        </w:trPr>
        <w:tc>
          <w:tcPr>
            <w:tcW w:w="780" w:type="dxa"/>
            <w:vAlign w:val="bottom"/>
          </w:tcPr>
          <w:p>
            <w:pPr>
              <w:jc w:val="center"/>
              <w:ind w:left="23"/>
              <w:spacing w:after="0"/>
              <w:rPr>
                <w:sz w:val="20"/>
                <w:szCs w:val="20"/>
                <w:color w:val="auto"/>
              </w:rPr>
            </w:pPr>
            <w:r>
              <w:rPr>
                <w:rFonts w:ascii="Arial" w:cs="Arial" w:eastAsia="Arial" w:hAnsi="Arial"/>
                <w:sz w:val="16"/>
                <w:szCs w:val="16"/>
                <w:color w:val="auto"/>
              </w:rPr>
              <w:t>2022</w:t>
            </w: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  5,309,839</w:t>
            </w:r>
          </w:p>
        </w:tc>
        <w:tc>
          <w:tcPr>
            <w:tcW w:w="1300" w:type="dxa"/>
            <w:vAlign w:val="bottom"/>
          </w:tcPr>
          <w:p>
            <w:pPr>
              <w:jc w:val="center"/>
              <w:spacing w:after="0"/>
              <w:rPr>
                <w:sz w:val="20"/>
                <w:szCs w:val="20"/>
                <w:color w:val="auto"/>
              </w:rPr>
            </w:pPr>
            <w:r>
              <w:rPr>
                <w:rFonts w:ascii="Arial" w:cs="Arial" w:eastAsia="Arial" w:hAnsi="Arial"/>
                <w:sz w:val="16"/>
                <w:szCs w:val="16"/>
                <w:color w:val="auto"/>
              </w:rPr>
              <w:t>$   (2,823,551)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140,722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8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2,627,010</w:t>
            </w:r>
          </w:p>
        </w:tc>
        <w:tc>
          <w:tcPr>
            <w:tcW w:w="0" w:type="dxa"/>
            <w:vAlign w:val="bottom"/>
          </w:tcPr>
          <w:p>
            <w:pPr>
              <w:spacing w:after="0"/>
              <w:rPr>
                <w:sz w:val="1"/>
                <w:szCs w:val="1"/>
                <w:color w:val="auto"/>
              </w:rPr>
            </w:pPr>
          </w:p>
        </w:tc>
      </w:tr>
      <w:tr>
        <w:trPr>
          <w:trHeight w:val="215"/>
        </w:trPr>
        <w:tc>
          <w:tcPr>
            <w:tcW w:w="780" w:type="dxa"/>
            <w:vAlign w:val="bottom"/>
          </w:tcPr>
          <w:p>
            <w:pPr>
              <w:jc w:val="center"/>
              <w:ind w:left="23"/>
              <w:spacing w:after="0"/>
              <w:rPr>
                <w:sz w:val="20"/>
                <w:szCs w:val="20"/>
                <w:color w:val="auto"/>
              </w:rPr>
            </w:pPr>
            <w:r>
              <w:rPr>
                <w:rFonts w:ascii="Arial" w:cs="Arial" w:eastAsia="Arial" w:hAnsi="Arial"/>
                <w:sz w:val="16"/>
                <w:szCs w:val="16"/>
                <w:color w:val="auto"/>
              </w:rPr>
              <w:t>2021</w:t>
            </w: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8,296,741</w:t>
            </w: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1,802,889</w:t>
            </w:r>
          </w:p>
        </w:tc>
        <w:tc>
          <w:tcPr>
            <w:tcW w:w="2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3,431,137</w:t>
            </w:r>
          </w:p>
        </w:tc>
        <w:tc>
          <w:tcPr>
            <w:tcW w:w="160" w:type="dxa"/>
            <w:vAlign w:val="bottom"/>
          </w:tcPr>
          <w:p>
            <w:pPr>
              <w:spacing w:after="0"/>
              <w:rPr>
                <w:sz w:val="18"/>
                <w:szCs w:val="18"/>
                <w:color w:val="auto"/>
              </w:rPr>
            </w:pPr>
          </w:p>
        </w:tc>
        <w:tc>
          <w:tcPr>
            <w:tcW w:w="1140" w:type="dxa"/>
            <w:vAlign w:val="bottom"/>
          </w:tcPr>
          <w:p>
            <w:pPr>
              <w:ind w:left="8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13,530,767</w:t>
            </w:r>
          </w:p>
        </w:tc>
        <w:tc>
          <w:tcPr>
            <w:tcW w:w="0" w:type="dxa"/>
            <w:vAlign w:val="bottom"/>
          </w:tcPr>
          <w:p>
            <w:pPr>
              <w:spacing w:after="0"/>
              <w:rPr>
                <w:sz w:val="1"/>
                <w:szCs w:val="1"/>
                <w:color w:val="auto"/>
              </w:rPr>
            </w:pPr>
          </w:p>
        </w:tc>
      </w:tr>
      <w:tr>
        <w:trPr>
          <w:trHeight w:val="217"/>
        </w:trPr>
        <w:tc>
          <w:tcPr>
            <w:tcW w:w="780" w:type="dxa"/>
            <w:vAlign w:val="bottom"/>
            <w:tcBorders>
              <w:bottom w:val="single" w:sz="8" w:color="00497F"/>
            </w:tcBorders>
          </w:tcPr>
          <w:p>
            <w:pPr>
              <w:jc w:val="center"/>
              <w:ind w:left="23"/>
              <w:spacing w:after="0"/>
              <w:rPr>
                <w:sz w:val="20"/>
                <w:szCs w:val="20"/>
                <w:color w:val="auto"/>
              </w:rPr>
            </w:pPr>
            <w:r>
              <w:rPr>
                <w:rFonts w:ascii="Arial" w:cs="Arial" w:eastAsia="Arial" w:hAnsi="Arial"/>
                <w:sz w:val="16"/>
                <w:szCs w:val="16"/>
                <w:color w:val="auto"/>
              </w:rPr>
              <w:t>2020</w:t>
            </w:r>
          </w:p>
        </w:tc>
        <w:tc>
          <w:tcPr>
            <w:tcW w:w="1240" w:type="dxa"/>
            <w:vAlign w:val="bottom"/>
            <w:tcBorders>
              <w:bottom w:val="single" w:sz="8" w:color="00497F"/>
            </w:tcBorders>
          </w:tcPr>
          <w:p>
            <w:pPr>
              <w:jc w:val="right"/>
              <w:ind w:right="45"/>
              <w:spacing w:after="0"/>
              <w:rPr>
                <w:sz w:val="20"/>
                <w:szCs w:val="20"/>
                <w:color w:val="auto"/>
              </w:rPr>
            </w:pPr>
            <w:r>
              <w:rPr>
                <w:rFonts w:ascii="Arial" w:cs="Arial" w:eastAsia="Arial" w:hAnsi="Arial"/>
                <w:sz w:val="16"/>
                <w:szCs w:val="16"/>
                <w:color w:val="auto"/>
              </w:rPr>
              <w:t>4,431,130</w:t>
            </w:r>
          </w:p>
        </w:tc>
        <w:tc>
          <w:tcPr>
            <w:tcW w:w="1300" w:type="dxa"/>
            <w:vAlign w:val="bottom"/>
            <w:tcBorders>
              <w:bottom w:val="single" w:sz="8" w:color="00497F"/>
            </w:tcBorders>
          </w:tcPr>
          <w:p>
            <w:pPr>
              <w:jc w:val="right"/>
              <w:ind w:right="45"/>
              <w:spacing w:after="0"/>
              <w:rPr>
                <w:sz w:val="20"/>
                <w:szCs w:val="20"/>
                <w:color w:val="auto"/>
              </w:rPr>
            </w:pPr>
            <w:r>
              <w:rPr>
                <w:rFonts w:ascii="Arial" w:cs="Arial" w:eastAsia="Arial" w:hAnsi="Arial"/>
                <w:sz w:val="16"/>
                <w:szCs w:val="16"/>
                <w:color w:val="auto"/>
              </w:rPr>
              <w:t>4,209,372</w:t>
            </w:r>
          </w:p>
        </w:tc>
        <w:tc>
          <w:tcPr>
            <w:tcW w:w="200" w:type="dxa"/>
            <w:vAlign w:val="bottom"/>
            <w:tcBorders>
              <w:bottom w:val="single" w:sz="8" w:color="00497F"/>
            </w:tcBorders>
          </w:tcPr>
          <w:p>
            <w:pPr>
              <w:spacing w:after="0"/>
              <w:rPr>
                <w:sz w:val="18"/>
                <w:szCs w:val="18"/>
                <w:color w:val="auto"/>
              </w:rPr>
            </w:pPr>
          </w:p>
        </w:tc>
        <w:tc>
          <w:tcPr>
            <w:tcW w:w="920" w:type="dxa"/>
            <w:vAlign w:val="bottom"/>
            <w:tcBorders>
              <w:bottom w:val="single" w:sz="8" w:color="00497F"/>
            </w:tcBorders>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00497F"/>
            </w:tcBorders>
          </w:tcPr>
          <w:p>
            <w:pPr>
              <w:spacing w:after="0"/>
              <w:rPr>
                <w:sz w:val="18"/>
                <w:szCs w:val="18"/>
                <w:color w:val="auto"/>
              </w:rPr>
            </w:pPr>
          </w:p>
        </w:tc>
        <w:tc>
          <w:tcPr>
            <w:tcW w:w="1180" w:type="dxa"/>
            <w:vAlign w:val="bottom"/>
            <w:tcBorders>
              <w:bottom w:val="single" w:sz="8" w:color="00497F"/>
            </w:tcBorders>
          </w:tcPr>
          <w:p>
            <w:pPr>
              <w:jc w:val="right"/>
              <w:ind w:right="4"/>
              <w:spacing w:after="0"/>
              <w:rPr>
                <w:sz w:val="20"/>
                <w:szCs w:val="20"/>
                <w:color w:val="auto"/>
              </w:rPr>
            </w:pPr>
            <w:r>
              <w:rPr>
                <w:rFonts w:ascii="Arial" w:cs="Arial" w:eastAsia="Arial" w:hAnsi="Arial"/>
                <w:sz w:val="16"/>
                <w:szCs w:val="16"/>
                <w:color w:val="auto"/>
              </w:rPr>
              <w:t>(424,053)</w:t>
            </w:r>
          </w:p>
        </w:tc>
        <w:tc>
          <w:tcPr>
            <w:tcW w:w="160" w:type="dxa"/>
            <w:vAlign w:val="bottom"/>
            <w:tcBorders>
              <w:bottom w:val="single" w:sz="8" w:color="00497F"/>
            </w:tcBorders>
          </w:tcPr>
          <w:p>
            <w:pPr>
              <w:spacing w:after="0"/>
              <w:rPr>
                <w:sz w:val="18"/>
                <w:szCs w:val="18"/>
                <w:color w:val="auto"/>
              </w:rPr>
            </w:pPr>
          </w:p>
        </w:tc>
        <w:tc>
          <w:tcPr>
            <w:tcW w:w="1140" w:type="dxa"/>
            <w:vAlign w:val="bottom"/>
            <w:tcBorders>
              <w:bottom w:val="single" w:sz="8" w:color="00497F"/>
            </w:tcBorders>
          </w:tcPr>
          <w:p>
            <w:pPr>
              <w:ind w:left="8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00497F"/>
            </w:tcBorders>
          </w:tcPr>
          <w:p>
            <w:pPr>
              <w:spacing w:after="0"/>
              <w:rPr>
                <w:sz w:val="18"/>
                <w:szCs w:val="18"/>
                <w:color w:val="auto"/>
              </w:rPr>
            </w:pPr>
          </w:p>
        </w:tc>
        <w:tc>
          <w:tcPr>
            <w:tcW w:w="1180" w:type="dxa"/>
            <w:vAlign w:val="bottom"/>
            <w:tcBorders>
              <w:bottom w:val="single" w:sz="8" w:color="00497F"/>
            </w:tcBorders>
          </w:tcPr>
          <w:p>
            <w:pPr>
              <w:ind w:left="9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0497F"/>
            </w:tcBorders>
          </w:tcPr>
          <w:p>
            <w:pPr>
              <w:spacing w:after="0"/>
              <w:rPr>
                <w:sz w:val="18"/>
                <w:szCs w:val="18"/>
                <w:color w:val="auto"/>
              </w:rPr>
            </w:pPr>
          </w:p>
        </w:tc>
        <w:tc>
          <w:tcPr>
            <w:tcW w:w="1040" w:type="dxa"/>
            <w:vAlign w:val="bottom"/>
            <w:tcBorders>
              <w:bottom w:val="single" w:sz="8" w:color="00497F"/>
            </w:tcBorders>
          </w:tcPr>
          <w:p>
            <w:pPr>
              <w:jc w:val="right"/>
              <w:ind w:right="4"/>
              <w:spacing w:after="0"/>
              <w:rPr>
                <w:sz w:val="20"/>
                <w:szCs w:val="20"/>
                <w:color w:val="auto"/>
              </w:rPr>
            </w:pPr>
            <w:r>
              <w:rPr>
                <w:rFonts w:ascii="Arial" w:cs="Arial" w:eastAsia="Arial" w:hAnsi="Arial"/>
                <w:sz w:val="16"/>
                <w:szCs w:val="16"/>
                <w:color w:val="auto"/>
              </w:rPr>
              <w:t>8,216,449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40" w:hanging="328"/>
        <w:spacing w:after="0" w:line="227" w:lineRule="auto"/>
        <w:tabs>
          <w:tab w:leader="none" w:pos="651"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Included in the average compensation actually paid to Non-PEO named executive officers are the following individuals and time periods: Messrs. Geller and Miller and Ms. Marbert for 2022, 2021 and 2020; Mr. Terry for 2022 and 2021; and Mr. Cunningham for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52</w:t>
            </w:r>
          </w:p>
        </w:tc>
      </w:tr>
      <w:tr>
        <w:trPr>
          <w:trHeight w:val="209"/>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7" w:name="page58"/>
    <w:bookmarkEnd w:id="57"/>
    <w:p>
      <w:pPr>
        <w:ind w:left="640" w:hanging="308"/>
        <w:spacing w:after="0"/>
        <w:tabs>
          <w:tab w:leader="none" w:pos="640"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The bridge between non-PEO NEO reported SCT compensation to the Compensation Actually paid is outlined below:</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20" w:type="dxa"/>
            <w:vAlign w:val="bottom"/>
            <w:vMerge w:val="restart"/>
          </w:tcPr>
          <w:p>
            <w:pPr>
              <w:jc w:val="center"/>
              <w:ind w:left="43"/>
              <w:spacing w:after="0"/>
              <w:rPr>
                <w:sz w:val="20"/>
                <w:szCs w:val="20"/>
                <w:color w:val="auto"/>
              </w:rPr>
            </w:pPr>
            <w:r>
              <w:rPr>
                <w:rFonts w:ascii="Arial" w:cs="Arial" w:eastAsia="Arial" w:hAnsi="Arial"/>
                <w:sz w:val="14"/>
                <w:szCs w:val="14"/>
                <w:b w:val="1"/>
                <w:bCs w:val="1"/>
                <w:color w:val="004E7D"/>
              </w:rPr>
              <w:t>Fiscal</w:t>
            </w:r>
          </w:p>
        </w:tc>
        <w:tc>
          <w:tcPr>
            <w:tcW w:w="260" w:type="dxa"/>
            <w:vAlign w:val="bottom"/>
          </w:tcPr>
          <w:p>
            <w:pPr>
              <w:spacing w:after="0"/>
              <w:rPr>
                <w:sz w:val="14"/>
                <w:szCs w:val="14"/>
                <w:color w:val="auto"/>
              </w:rPr>
            </w:pPr>
          </w:p>
        </w:tc>
        <w:tc>
          <w:tcPr>
            <w:tcW w:w="2220" w:type="dxa"/>
            <w:vAlign w:val="bottom"/>
          </w:tcPr>
          <w:p>
            <w:pPr>
              <w:jc w:val="center"/>
              <w:ind w:right="84"/>
              <w:spacing w:after="0"/>
              <w:rPr>
                <w:sz w:val="20"/>
                <w:szCs w:val="20"/>
                <w:color w:val="auto"/>
              </w:rPr>
            </w:pPr>
            <w:r>
              <w:rPr>
                <w:rFonts w:ascii="Arial" w:cs="Arial" w:eastAsia="Arial" w:hAnsi="Arial"/>
                <w:sz w:val="14"/>
                <w:szCs w:val="14"/>
                <w:b w:val="1"/>
                <w:bCs w:val="1"/>
                <w:color w:val="004E7D"/>
              </w:rPr>
              <w:t>Average Reported Summary</w:t>
            </w:r>
          </w:p>
        </w:tc>
        <w:tc>
          <w:tcPr>
            <w:tcW w:w="206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004E7D"/>
              </w:rPr>
              <w:t>Average Reported Value of</w:t>
            </w:r>
          </w:p>
        </w:tc>
        <w:tc>
          <w:tcPr>
            <w:tcW w:w="220" w:type="dxa"/>
            <w:vAlign w:val="bottom"/>
          </w:tcPr>
          <w:p>
            <w:pPr>
              <w:spacing w:after="0"/>
              <w:rPr>
                <w:sz w:val="14"/>
                <w:szCs w:val="14"/>
                <w:color w:val="auto"/>
              </w:rPr>
            </w:pPr>
          </w:p>
        </w:tc>
        <w:tc>
          <w:tcPr>
            <w:tcW w:w="180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004E7D"/>
              </w:rPr>
              <w:t>Average Equity Award</w:t>
            </w:r>
          </w:p>
        </w:tc>
        <w:tc>
          <w:tcPr>
            <w:tcW w:w="2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004E7D"/>
              </w:rPr>
              <w:t>Average Compensation Actually</w:t>
            </w: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004E7D"/>
              </w:rPr>
              <w:t>Compensation Table Total for</w:t>
            </w:r>
          </w:p>
        </w:tc>
        <w:tc>
          <w:tcPr>
            <w:tcW w:w="2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Borders>
              <w:bottom w:val="single" w:sz="8" w:color="004987"/>
            </w:tcBorders>
          </w:tcPr>
          <w:p>
            <w:pPr>
              <w:jc w:val="center"/>
              <w:ind w:left="43"/>
              <w:spacing w:after="0"/>
              <w:rPr>
                <w:sz w:val="20"/>
                <w:szCs w:val="20"/>
                <w:color w:val="auto"/>
              </w:rPr>
            </w:pPr>
            <w:r>
              <w:rPr>
                <w:rFonts w:ascii="Arial" w:cs="Arial" w:eastAsia="Arial" w:hAnsi="Arial"/>
                <w:sz w:val="14"/>
                <w:szCs w:val="14"/>
                <w:b w:val="1"/>
                <w:bCs w:val="1"/>
                <w:color w:val="004E7D"/>
                <w:w w:val="98"/>
              </w:rPr>
              <w:t>Year</w:t>
            </w:r>
          </w:p>
        </w:tc>
        <w:tc>
          <w:tcPr>
            <w:tcW w:w="260" w:type="dxa"/>
            <w:vAlign w:val="bottom"/>
            <w:tcBorders>
              <w:bottom w:val="single" w:sz="8" w:color="004987"/>
            </w:tcBorders>
          </w:tcPr>
          <w:p>
            <w:pPr>
              <w:spacing w:after="0"/>
              <w:rPr>
                <w:sz w:val="17"/>
                <w:szCs w:val="17"/>
                <w:color w:val="auto"/>
              </w:rPr>
            </w:pPr>
          </w:p>
        </w:tc>
        <w:tc>
          <w:tcPr>
            <w:tcW w:w="2220" w:type="dxa"/>
            <w:vAlign w:val="bottom"/>
            <w:tcBorders>
              <w:bottom w:val="single" w:sz="8" w:color="004987"/>
            </w:tcBorders>
          </w:tcPr>
          <w:p>
            <w:pPr>
              <w:jc w:val="center"/>
              <w:ind w:right="84"/>
              <w:spacing w:after="0"/>
              <w:rPr>
                <w:sz w:val="20"/>
                <w:szCs w:val="20"/>
                <w:color w:val="auto"/>
              </w:rPr>
            </w:pPr>
            <w:r>
              <w:rPr>
                <w:rFonts w:ascii="Arial" w:cs="Arial" w:eastAsia="Arial" w:hAnsi="Arial"/>
                <w:sz w:val="14"/>
                <w:szCs w:val="14"/>
                <w:b w:val="1"/>
                <w:bCs w:val="1"/>
                <w:color w:val="004E7D"/>
              </w:rPr>
              <w:t>Non-PEO NEOs</w:t>
            </w:r>
          </w:p>
        </w:tc>
        <w:tc>
          <w:tcPr>
            <w:tcW w:w="360" w:type="dxa"/>
            <w:vAlign w:val="bottom"/>
            <w:tcBorders>
              <w:bottom w:val="single" w:sz="8" w:color="004987"/>
            </w:tcBorders>
          </w:tcPr>
          <w:p>
            <w:pPr>
              <w:spacing w:after="0"/>
              <w:rPr>
                <w:sz w:val="17"/>
                <w:szCs w:val="17"/>
                <w:color w:val="auto"/>
              </w:rPr>
            </w:pPr>
          </w:p>
        </w:tc>
        <w:tc>
          <w:tcPr>
            <w:tcW w:w="1700" w:type="dxa"/>
            <w:vAlign w:val="bottom"/>
            <w:tcBorders>
              <w:bottom w:val="single" w:sz="8" w:color="004987"/>
            </w:tcBorders>
          </w:tcPr>
          <w:p>
            <w:pPr>
              <w:jc w:val="right"/>
              <w:ind w:right="441"/>
              <w:spacing w:after="0"/>
              <w:rPr>
                <w:sz w:val="20"/>
                <w:szCs w:val="20"/>
                <w:color w:val="auto"/>
              </w:rPr>
            </w:pPr>
            <w:r>
              <w:rPr>
                <w:rFonts w:ascii="Arial" w:cs="Arial" w:eastAsia="Arial" w:hAnsi="Arial"/>
                <w:sz w:val="14"/>
                <w:szCs w:val="14"/>
                <w:b w:val="1"/>
                <w:bCs w:val="1"/>
                <w:color w:val="004E7D"/>
              </w:rPr>
              <w:t>Equity Awards</w:t>
            </w:r>
          </w:p>
        </w:tc>
        <w:tc>
          <w:tcPr>
            <w:tcW w:w="220" w:type="dxa"/>
            <w:vAlign w:val="bottom"/>
            <w:tcBorders>
              <w:bottom w:val="single" w:sz="8" w:color="004987"/>
            </w:tcBorders>
          </w:tcPr>
          <w:p>
            <w:pPr>
              <w:spacing w:after="0"/>
              <w:rPr>
                <w:sz w:val="17"/>
                <w:szCs w:val="17"/>
                <w:color w:val="auto"/>
              </w:rPr>
            </w:pPr>
          </w:p>
        </w:tc>
        <w:tc>
          <w:tcPr>
            <w:tcW w:w="1800" w:type="dxa"/>
            <w:vAlign w:val="bottom"/>
            <w:tcBorders>
              <w:bottom w:val="single" w:sz="8" w:color="004987"/>
            </w:tcBorders>
          </w:tcPr>
          <w:p>
            <w:pPr>
              <w:jc w:val="right"/>
              <w:ind w:right="423"/>
              <w:spacing w:after="0" w:line="189" w:lineRule="exact"/>
              <w:rPr>
                <w:sz w:val="20"/>
                <w:szCs w:val="20"/>
                <w:color w:val="auto"/>
              </w:rPr>
            </w:pPr>
            <w:r>
              <w:rPr>
                <w:rFonts w:ascii="Arial" w:cs="Arial" w:eastAsia="Arial" w:hAnsi="Arial"/>
                <w:sz w:val="14"/>
                <w:szCs w:val="14"/>
                <w:b w:val="1"/>
                <w:bCs w:val="1"/>
                <w:color w:val="004E7D"/>
              </w:rPr>
              <w:t>Adjustments</w:t>
            </w:r>
            <w:r>
              <w:rPr>
                <w:rFonts w:ascii="Arial" w:cs="Arial" w:eastAsia="Arial" w:hAnsi="Arial"/>
                <w:sz w:val="18"/>
                <w:szCs w:val="18"/>
                <w:b w:val="1"/>
                <w:bCs w:val="1"/>
                <w:color w:val="004E7D"/>
                <w:vertAlign w:val="superscript"/>
              </w:rPr>
              <w:t>(a)</w:t>
            </w:r>
          </w:p>
        </w:tc>
        <w:tc>
          <w:tcPr>
            <w:tcW w:w="300" w:type="dxa"/>
            <w:vAlign w:val="bottom"/>
            <w:tcBorders>
              <w:bottom w:val="single" w:sz="8" w:color="004987"/>
            </w:tcBorders>
          </w:tcPr>
          <w:p>
            <w:pPr>
              <w:spacing w:after="0"/>
              <w:rPr>
                <w:sz w:val="17"/>
                <w:szCs w:val="17"/>
                <w:color w:val="auto"/>
              </w:rPr>
            </w:pPr>
          </w:p>
        </w:tc>
        <w:tc>
          <w:tcPr>
            <w:tcW w:w="2040" w:type="dxa"/>
            <w:vAlign w:val="bottom"/>
            <w:tcBorders>
              <w:bottom w:val="single" w:sz="8" w:color="004987"/>
            </w:tcBorders>
          </w:tcPr>
          <w:p>
            <w:pPr>
              <w:jc w:val="right"/>
              <w:ind w:right="261"/>
              <w:spacing w:after="0"/>
              <w:rPr>
                <w:sz w:val="20"/>
                <w:szCs w:val="20"/>
                <w:color w:val="auto"/>
              </w:rPr>
            </w:pPr>
            <w:r>
              <w:rPr>
                <w:rFonts w:ascii="Arial" w:cs="Arial" w:eastAsia="Arial" w:hAnsi="Arial"/>
                <w:sz w:val="14"/>
                <w:szCs w:val="14"/>
                <w:b w:val="1"/>
                <w:bCs w:val="1"/>
                <w:color w:val="004E7D"/>
              </w:rPr>
              <w:t>Paid to Non-PEO NEOs</w:t>
            </w:r>
          </w:p>
        </w:tc>
        <w:tc>
          <w:tcPr>
            <w:tcW w:w="0" w:type="dxa"/>
            <w:vAlign w:val="bottom"/>
          </w:tcPr>
          <w:p>
            <w:pPr>
              <w:spacing w:after="0"/>
              <w:rPr>
                <w:sz w:val="1"/>
                <w:szCs w:val="1"/>
                <w:color w:val="auto"/>
              </w:rPr>
            </w:pPr>
          </w:p>
        </w:tc>
      </w:tr>
      <w:tr>
        <w:trPr>
          <w:trHeight w:val="215"/>
        </w:trPr>
        <w:tc>
          <w:tcPr>
            <w:tcW w:w="820" w:type="dxa"/>
            <w:vAlign w:val="bottom"/>
          </w:tcPr>
          <w:p>
            <w:pPr>
              <w:jc w:val="center"/>
              <w:ind w:left="23"/>
              <w:spacing w:after="0"/>
              <w:rPr>
                <w:sz w:val="20"/>
                <w:szCs w:val="20"/>
                <w:color w:val="auto"/>
              </w:rPr>
            </w:pPr>
            <w:r>
              <w:rPr>
                <w:rFonts w:ascii="Arial" w:cs="Arial" w:eastAsia="Arial" w:hAnsi="Arial"/>
                <w:sz w:val="16"/>
                <w:szCs w:val="16"/>
                <w:color w:val="auto"/>
              </w:rPr>
              <w:t>2022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20" w:type="dxa"/>
            <w:vAlign w:val="bottom"/>
          </w:tcPr>
          <w:p>
            <w:pPr>
              <w:jc w:val="right"/>
              <w:ind w:right="24"/>
              <w:spacing w:after="0"/>
              <w:rPr>
                <w:sz w:val="20"/>
                <w:szCs w:val="20"/>
                <w:color w:val="auto"/>
              </w:rPr>
            </w:pPr>
            <w:r>
              <w:rPr>
                <w:rFonts w:ascii="Arial" w:cs="Arial" w:eastAsia="Arial" w:hAnsi="Arial"/>
                <w:sz w:val="16"/>
                <w:szCs w:val="16"/>
                <w:color w:val="auto"/>
              </w:rPr>
              <w:t>3,016,545</w:t>
            </w:r>
          </w:p>
        </w:tc>
        <w:tc>
          <w:tcPr>
            <w:tcW w:w="3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(1,300,005)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
              <w:spacing w:after="0"/>
              <w:rPr>
                <w:sz w:val="20"/>
                <w:szCs w:val="20"/>
                <w:color w:val="auto"/>
              </w:rPr>
            </w:pPr>
            <w:r>
              <w:rPr>
                <w:rFonts w:ascii="Arial" w:cs="Arial" w:eastAsia="Arial" w:hAnsi="Arial"/>
                <w:sz w:val="16"/>
                <w:szCs w:val="16"/>
                <w:color w:val="auto"/>
              </w:rPr>
              <w:t>540,301</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2,256,841</w:t>
            </w:r>
          </w:p>
        </w:tc>
        <w:tc>
          <w:tcPr>
            <w:tcW w:w="0" w:type="dxa"/>
            <w:vAlign w:val="bottom"/>
          </w:tcPr>
          <w:p>
            <w:pPr>
              <w:spacing w:after="0"/>
              <w:rPr>
                <w:sz w:val="1"/>
                <w:szCs w:val="1"/>
                <w:color w:val="auto"/>
              </w:rPr>
            </w:pPr>
          </w:p>
        </w:tc>
      </w:tr>
      <w:tr>
        <w:trPr>
          <w:trHeight w:val="215"/>
        </w:trPr>
        <w:tc>
          <w:tcPr>
            <w:tcW w:w="820" w:type="dxa"/>
            <w:vAlign w:val="bottom"/>
          </w:tcPr>
          <w:p>
            <w:pPr>
              <w:jc w:val="center"/>
              <w:ind w:left="23"/>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2220" w:type="dxa"/>
            <w:vAlign w:val="bottom"/>
          </w:tcPr>
          <w:p>
            <w:pPr>
              <w:jc w:val="right"/>
              <w:ind w:right="24"/>
              <w:spacing w:after="0"/>
              <w:rPr>
                <w:sz w:val="20"/>
                <w:szCs w:val="20"/>
                <w:color w:val="auto"/>
              </w:rPr>
            </w:pPr>
            <w:r>
              <w:rPr>
                <w:rFonts w:ascii="Arial" w:cs="Arial" w:eastAsia="Arial" w:hAnsi="Arial"/>
                <w:sz w:val="16"/>
                <w:szCs w:val="16"/>
                <w:color w:val="auto"/>
              </w:rPr>
              <w:t>3,405,201</w:t>
            </w:r>
          </w:p>
        </w:tc>
        <w:tc>
          <w:tcPr>
            <w:tcW w:w="360" w:type="dxa"/>
            <w:vAlign w:val="bottom"/>
          </w:tcPr>
          <w:p>
            <w:pPr>
              <w:spacing w:after="0"/>
              <w:rPr>
                <w:sz w:val="18"/>
                <w:szCs w:val="18"/>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(1,849,482)</w:t>
            </w:r>
          </w:p>
        </w:tc>
        <w:tc>
          <w:tcPr>
            <w:tcW w:w="220" w:type="dxa"/>
            <w:vAlign w:val="bottom"/>
          </w:tcPr>
          <w:p>
            <w:pPr>
              <w:spacing w:after="0"/>
              <w:rPr>
                <w:sz w:val="18"/>
                <w:szCs w:val="18"/>
                <w:color w:val="auto"/>
              </w:rPr>
            </w:pPr>
          </w:p>
        </w:tc>
        <w:tc>
          <w:tcPr>
            <w:tcW w:w="1800" w:type="dxa"/>
            <w:vAlign w:val="bottom"/>
          </w:tcPr>
          <w:p>
            <w:pPr>
              <w:jc w:val="right"/>
              <w:ind w:right="3"/>
              <w:spacing w:after="0"/>
              <w:rPr>
                <w:sz w:val="20"/>
                <w:szCs w:val="20"/>
                <w:color w:val="auto"/>
              </w:rPr>
            </w:pPr>
            <w:r>
              <w:rPr>
                <w:rFonts w:ascii="Arial" w:cs="Arial" w:eastAsia="Arial" w:hAnsi="Arial"/>
                <w:sz w:val="16"/>
                <w:szCs w:val="16"/>
                <w:color w:val="auto"/>
              </w:rPr>
              <w:t>2,660,004</w:t>
            </w:r>
          </w:p>
        </w:tc>
        <w:tc>
          <w:tcPr>
            <w:tcW w:w="3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4,215,723</w:t>
            </w:r>
          </w:p>
        </w:tc>
        <w:tc>
          <w:tcPr>
            <w:tcW w:w="0" w:type="dxa"/>
            <w:vAlign w:val="bottom"/>
          </w:tcPr>
          <w:p>
            <w:pPr>
              <w:spacing w:after="0"/>
              <w:rPr>
                <w:sz w:val="1"/>
                <w:szCs w:val="1"/>
                <w:color w:val="auto"/>
              </w:rPr>
            </w:pPr>
          </w:p>
        </w:tc>
      </w:tr>
      <w:tr>
        <w:trPr>
          <w:trHeight w:val="217"/>
        </w:trPr>
        <w:tc>
          <w:tcPr>
            <w:tcW w:w="820" w:type="dxa"/>
            <w:vAlign w:val="bottom"/>
            <w:tcBorders>
              <w:bottom w:val="single" w:sz="8" w:color="00497F"/>
            </w:tcBorders>
          </w:tcPr>
          <w:p>
            <w:pPr>
              <w:jc w:val="center"/>
              <w:ind w:left="23"/>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00497F"/>
            </w:tcBorders>
          </w:tcPr>
          <w:p>
            <w:pPr>
              <w:spacing w:after="0"/>
              <w:rPr>
                <w:sz w:val="18"/>
                <w:szCs w:val="18"/>
                <w:color w:val="auto"/>
              </w:rPr>
            </w:pPr>
          </w:p>
        </w:tc>
        <w:tc>
          <w:tcPr>
            <w:tcW w:w="2220" w:type="dxa"/>
            <w:vAlign w:val="bottom"/>
            <w:tcBorders>
              <w:bottom w:val="single" w:sz="8" w:color="00497F"/>
            </w:tcBorders>
          </w:tcPr>
          <w:p>
            <w:pPr>
              <w:jc w:val="right"/>
              <w:ind w:right="24"/>
              <w:spacing w:after="0"/>
              <w:rPr>
                <w:sz w:val="20"/>
                <w:szCs w:val="20"/>
                <w:color w:val="auto"/>
              </w:rPr>
            </w:pPr>
            <w:r>
              <w:rPr>
                <w:rFonts w:ascii="Arial" w:cs="Arial" w:eastAsia="Arial" w:hAnsi="Arial"/>
                <w:sz w:val="16"/>
                <w:szCs w:val="16"/>
                <w:color w:val="auto"/>
              </w:rPr>
              <w:t>1,712,700</w:t>
            </w:r>
          </w:p>
        </w:tc>
        <w:tc>
          <w:tcPr>
            <w:tcW w:w="360" w:type="dxa"/>
            <w:vAlign w:val="bottom"/>
            <w:tcBorders>
              <w:bottom w:val="single" w:sz="8" w:color="00497F"/>
            </w:tcBorders>
          </w:tcPr>
          <w:p>
            <w:pPr>
              <w:spacing w:after="0"/>
              <w:rPr>
                <w:sz w:val="18"/>
                <w:szCs w:val="18"/>
                <w:color w:val="auto"/>
              </w:rPr>
            </w:pPr>
          </w:p>
        </w:tc>
        <w:tc>
          <w:tcPr>
            <w:tcW w:w="1700" w:type="dxa"/>
            <w:vAlign w:val="bottom"/>
            <w:tcBorders>
              <w:bottom w:val="single" w:sz="8" w:color="00497F"/>
            </w:tcBorders>
          </w:tcPr>
          <w:p>
            <w:pPr>
              <w:jc w:val="right"/>
              <w:ind w:right="1"/>
              <w:spacing w:after="0"/>
              <w:rPr>
                <w:sz w:val="20"/>
                <w:szCs w:val="20"/>
                <w:color w:val="auto"/>
              </w:rPr>
            </w:pPr>
            <w:r>
              <w:rPr>
                <w:rFonts w:ascii="Arial" w:cs="Arial" w:eastAsia="Arial" w:hAnsi="Arial"/>
                <w:sz w:val="16"/>
                <w:szCs w:val="16"/>
                <w:color w:val="auto"/>
              </w:rPr>
              <w:t>(1,229,283)</w:t>
            </w:r>
          </w:p>
        </w:tc>
        <w:tc>
          <w:tcPr>
            <w:tcW w:w="220" w:type="dxa"/>
            <w:vAlign w:val="bottom"/>
            <w:tcBorders>
              <w:bottom w:val="single" w:sz="8" w:color="00497F"/>
            </w:tcBorders>
          </w:tcPr>
          <w:p>
            <w:pPr>
              <w:spacing w:after="0"/>
              <w:rPr>
                <w:sz w:val="18"/>
                <w:szCs w:val="18"/>
                <w:color w:val="auto"/>
              </w:rPr>
            </w:pPr>
          </w:p>
        </w:tc>
        <w:tc>
          <w:tcPr>
            <w:tcW w:w="1800" w:type="dxa"/>
            <w:vAlign w:val="bottom"/>
            <w:tcBorders>
              <w:bottom w:val="single" w:sz="8" w:color="00497F"/>
            </w:tcBorders>
          </w:tcPr>
          <w:p>
            <w:pPr>
              <w:jc w:val="right"/>
              <w:ind w:right="3"/>
              <w:spacing w:after="0"/>
              <w:rPr>
                <w:sz w:val="20"/>
                <w:szCs w:val="20"/>
                <w:color w:val="auto"/>
              </w:rPr>
            </w:pPr>
            <w:r>
              <w:rPr>
                <w:rFonts w:ascii="Arial" w:cs="Arial" w:eastAsia="Arial" w:hAnsi="Arial"/>
                <w:sz w:val="16"/>
                <w:szCs w:val="16"/>
                <w:color w:val="auto"/>
              </w:rPr>
              <w:t>1,898,013</w:t>
            </w:r>
          </w:p>
        </w:tc>
        <w:tc>
          <w:tcPr>
            <w:tcW w:w="300" w:type="dxa"/>
            <w:vAlign w:val="bottom"/>
            <w:tcBorders>
              <w:bottom w:val="single" w:sz="8" w:color="00497F"/>
            </w:tcBorders>
          </w:tcPr>
          <w:p>
            <w:pPr>
              <w:spacing w:after="0"/>
              <w:rPr>
                <w:sz w:val="18"/>
                <w:szCs w:val="18"/>
                <w:color w:val="auto"/>
              </w:rPr>
            </w:pPr>
          </w:p>
        </w:tc>
        <w:tc>
          <w:tcPr>
            <w:tcW w:w="204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2,381,430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The amounts deducted or added in calculating the equity award adjustments are as follows:</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40" w:type="dxa"/>
            <w:vAlign w:val="bottom"/>
          </w:tcPr>
          <w:p>
            <w:pPr>
              <w:jc w:val="center"/>
              <w:ind w:left="6"/>
              <w:spacing w:after="0"/>
              <w:rPr>
                <w:sz w:val="20"/>
                <w:szCs w:val="20"/>
                <w:color w:val="auto"/>
              </w:rPr>
            </w:pPr>
            <w:r>
              <w:rPr>
                <w:rFonts w:ascii="Arial" w:cs="Arial" w:eastAsia="Arial" w:hAnsi="Arial"/>
                <w:sz w:val="14"/>
                <w:szCs w:val="14"/>
                <w:b w:val="1"/>
                <w:bCs w:val="1"/>
                <w:color w:val="004E7D"/>
              </w:rPr>
              <w:t>Average Year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004E7D"/>
              </w:rPr>
              <w:t>Average Fair</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004E7D"/>
              </w:rPr>
              <w:t>Year Over Year</w:t>
            </w:r>
          </w:p>
        </w:tc>
        <w:tc>
          <w:tcPr>
            <w:tcW w:w="18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4"/>
                <w:szCs w:val="14"/>
                <w:b w:val="1"/>
                <w:bCs w:val="1"/>
                <w:color w:val="004E7D"/>
              </w:rPr>
              <w:t>Average Fair</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004E7D"/>
              </w:rPr>
              <w:t>Average Value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240" w:type="dxa"/>
            <w:vAlign w:val="bottom"/>
          </w:tcPr>
          <w:p>
            <w:pPr>
              <w:jc w:val="center"/>
              <w:ind w:left="6"/>
              <w:spacing w:after="0" w:line="145" w:lineRule="exact"/>
              <w:rPr>
                <w:sz w:val="20"/>
                <w:szCs w:val="20"/>
                <w:color w:val="auto"/>
              </w:rPr>
            </w:pPr>
            <w:r>
              <w:rPr>
                <w:rFonts w:ascii="Arial" w:cs="Arial" w:eastAsia="Arial" w:hAnsi="Arial"/>
                <w:sz w:val="14"/>
                <w:szCs w:val="14"/>
                <w:b w:val="1"/>
                <w:bCs w:val="1"/>
                <w:color w:val="004E7D"/>
              </w:rPr>
              <w:t>End Fair Value</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4E7D"/>
              </w:rPr>
              <w:t>Year Over Year</w:t>
            </w:r>
          </w:p>
        </w:tc>
        <w:tc>
          <w:tcPr>
            <w:tcW w:w="200" w:type="dxa"/>
            <w:vAlign w:val="bottom"/>
          </w:tcPr>
          <w:p>
            <w:pPr>
              <w:spacing w:after="0"/>
              <w:rPr>
                <w:sz w:val="12"/>
                <w:szCs w:val="12"/>
                <w:color w:val="auto"/>
              </w:rPr>
            </w:pPr>
          </w:p>
        </w:tc>
        <w:tc>
          <w:tcPr>
            <w:tcW w:w="9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004E7D"/>
              </w:rPr>
              <w:t>Value as of</w:t>
            </w:r>
          </w:p>
        </w:tc>
        <w:tc>
          <w:tcPr>
            <w:tcW w:w="13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Average Change</w:t>
            </w:r>
          </w:p>
        </w:tc>
        <w:tc>
          <w:tcPr>
            <w:tcW w:w="13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Value at the End</w:t>
            </w:r>
          </w:p>
        </w:tc>
        <w:tc>
          <w:tcPr>
            <w:tcW w:w="160" w:type="dxa"/>
            <w:vAlign w:val="bottom"/>
          </w:tcPr>
          <w:p>
            <w:pPr>
              <w:spacing w:after="0"/>
              <w:rPr>
                <w:sz w:val="12"/>
                <w:szCs w:val="12"/>
                <w:color w:val="auto"/>
              </w:rPr>
            </w:pPr>
          </w:p>
        </w:tc>
        <w:tc>
          <w:tcPr>
            <w:tcW w:w="1180" w:type="dxa"/>
            <w:vAlign w:val="bottom"/>
          </w:tcPr>
          <w:p>
            <w:pPr>
              <w:jc w:val="center"/>
              <w:ind w:right="85"/>
              <w:spacing w:after="0" w:line="145" w:lineRule="exact"/>
              <w:rPr>
                <w:sz w:val="20"/>
                <w:szCs w:val="20"/>
                <w:color w:val="auto"/>
              </w:rPr>
            </w:pPr>
            <w:r>
              <w:rPr>
                <w:rFonts w:ascii="Arial" w:cs="Arial" w:eastAsia="Arial" w:hAnsi="Arial"/>
                <w:sz w:val="14"/>
                <w:szCs w:val="14"/>
                <w:b w:val="1"/>
                <w:bCs w:val="1"/>
                <w:color w:val="004E7D"/>
              </w:rPr>
              <w:t>Dividends or</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1240" w:type="dxa"/>
            <w:vAlign w:val="bottom"/>
          </w:tcPr>
          <w:p>
            <w:pPr>
              <w:jc w:val="center"/>
              <w:ind w:left="6"/>
              <w:spacing w:after="0" w:line="139" w:lineRule="exact"/>
              <w:rPr>
                <w:sz w:val="20"/>
                <w:szCs w:val="20"/>
                <w:color w:val="auto"/>
              </w:rPr>
            </w:pPr>
            <w:r>
              <w:rPr>
                <w:rFonts w:ascii="Arial" w:cs="Arial" w:eastAsia="Arial" w:hAnsi="Arial"/>
                <w:sz w:val="14"/>
                <w:szCs w:val="14"/>
                <w:b w:val="1"/>
                <w:bCs w:val="1"/>
                <w:color w:val="004E7D"/>
              </w:rPr>
              <w:t>of Equity</w:t>
            </w:r>
          </w:p>
        </w:tc>
        <w:tc>
          <w:tcPr>
            <w:tcW w:w="1300" w:type="dxa"/>
            <w:vAlign w:val="bottom"/>
            <w:gridSpan w:val="2"/>
            <w:vMerge w:val="continue"/>
          </w:tcPr>
          <w:p>
            <w:pPr>
              <w:spacing w:after="0"/>
              <w:rPr>
                <w:sz w:val="12"/>
                <w:szCs w:val="12"/>
                <w:color w:val="auto"/>
              </w:rPr>
            </w:pPr>
          </w:p>
        </w:tc>
        <w:tc>
          <w:tcPr>
            <w:tcW w:w="11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4E7D"/>
              </w:rPr>
              <w:t>Vesting Date</w:t>
            </w:r>
          </w:p>
        </w:tc>
        <w:tc>
          <w:tcPr>
            <w:tcW w:w="13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4E7D"/>
              </w:rPr>
              <w:t>in Fair Value of</w:t>
            </w:r>
          </w:p>
        </w:tc>
        <w:tc>
          <w:tcPr>
            <w:tcW w:w="13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4E7D"/>
              </w:rPr>
              <w:t>of the Prior Year</w:t>
            </w:r>
          </w:p>
        </w:tc>
        <w:tc>
          <w:tcPr>
            <w:tcW w:w="160" w:type="dxa"/>
            <w:vAlign w:val="bottom"/>
          </w:tcPr>
          <w:p>
            <w:pPr>
              <w:spacing w:after="0"/>
              <w:rPr>
                <w:sz w:val="12"/>
                <w:szCs w:val="12"/>
                <w:color w:val="auto"/>
              </w:rPr>
            </w:pPr>
          </w:p>
        </w:tc>
        <w:tc>
          <w:tcPr>
            <w:tcW w:w="1180" w:type="dxa"/>
            <w:vAlign w:val="bottom"/>
          </w:tcPr>
          <w:p>
            <w:pPr>
              <w:jc w:val="center"/>
              <w:ind w:right="65"/>
              <w:spacing w:after="0" w:line="139" w:lineRule="exact"/>
              <w:rPr>
                <w:sz w:val="20"/>
                <w:szCs w:val="20"/>
                <w:color w:val="auto"/>
              </w:rPr>
            </w:pPr>
            <w:r>
              <w:rPr>
                <w:rFonts w:ascii="Arial" w:cs="Arial" w:eastAsia="Arial" w:hAnsi="Arial"/>
                <w:sz w:val="14"/>
                <w:szCs w:val="14"/>
                <w:b w:val="1"/>
                <w:bCs w:val="1"/>
                <w:color w:val="004E7D"/>
              </w:rPr>
              <w:t>Other Earnings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240" w:type="dxa"/>
            <w:vAlign w:val="bottom"/>
          </w:tcPr>
          <w:p>
            <w:pPr>
              <w:jc w:val="center"/>
              <w:ind w:left="6"/>
              <w:spacing w:after="0" w:line="145" w:lineRule="exact"/>
              <w:rPr>
                <w:sz w:val="20"/>
                <w:szCs w:val="20"/>
                <w:color w:val="auto"/>
              </w:rPr>
            </w:pPr>
            <w:r>
              <w:rPr>
                <w:rFonts w:ascii="Arial" w:cs="Arial" w:eastAsia="Arial" w:hAnsi="Arial"/>
                <w:sz w:val="14"/>
                <w:szCs w:val="14"/>
                <w:b w:val="1"/>
                <w:bCs w:val="1"/>
                <w:color w:val="004E7D"/>
              </w:rPr>
              <w:t>Awards</w:t>
            </w: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Average Change</w:t>
            </w:r>
          </w:p>
        </w:tc>
        <w:tc>
          <w:tcPr>
            <w:tcW w:w="200" w:type="dxa"/>
            <w:vAlign w:val="bottom"/>
          </w:tcPr>
          <w:p>
            <w:pPr>
              <w:spacing w:after="0"/>
              <w:rPr>
                <w:sz w:val="12"/>
                <w:szCs w:val="12"/>
                <w:color w:val="auto"/>
              </w:rPr>
            </w:pPr>
          </w:p>
        </w:tc>
        <w:tc>
          <w:tcPr>
            <w:tcW w:w="920" w:type="dxa"/>
            <w:vAlign w:val="bottom"/>
          </w:tcPr>
          <w:p>
            <w:pPr>
              <w:jc w:val="center"/>
              <w:ind w:right="64"/>
              <w:spacing w:after="0" w:line="145" w:lineRule="exact"/>
              <w:rPr>
                <w:sz w:val="20"/>
                <w:szCs w:val="20"/>
                <w:color w:val="auto"/>
              </w:rPr>
            </w:pPr>
            <w:r>
              <w:rPr>
                <w:rFonts w:ascii="Arial" w:cs="Arial" w:eastAsia="Arial" w:hAnsi="Arial"/>
                <w:sz w:val="14"/>
                <w:szCs w:val="14"/>
                <w:b w:val="1"/>
                <w:bCs w:val="1"/>
                <w:color w:val="004E7D"/>
              </w:rPr>
              <w:t>of Equity</w:t>
            </w:r>
          </w:p>
        </w:tc>
        <w:tc>
          <w:tcPr>
            <w:tcW w:w="180" w:type="dxa"/>
            <w:vAlign w:val="bottom"/>
          </w:tcPr>
          <w:p>
            <w:pPr>
              <w:spacing w:after="0"/>
              <w:rPr>
                <w:sz w:val="12"/>
                <w:szCs w:val="12"/>
                <w:color w:val="auto"/>
              </w:rPr>
            </w:pPr>
          </w:p>
        </w:tc>
        <w:tc>
          <w:tcPr>
            <w:tcW w:w="1140" w:type="dxa"/>
            <w:vAlign w:val="bottom"/>
          </w:tcPr>
          <w:p>
            <w:pPr>
              <w:jc w:val="center"/>
              <w:ind w:right="64"/>
              <w:spacing w:after="0" w:line="145" w:lineRule="exact"/>
              <w:rPr>
                <w:sz w:val="20"/>
                <w:szCs w:val="20"/>
                <w:color w:val="auto"/>
              </w:rPr>
            </w:pPr>
            <w:r>
              <w:rPr>
                <w:rFonts w:ascii="Arial" w:cs="Arial" w:eastAsia="Arial" w:hAnsi="Arial"/>
                <w:sz w:val="14"/>
                <w:szCs w:val="14"/>
                <w:b w:val="1"/>
                <w:bCs w:val="1"/>
                <w:color w:val="004E7D"/>
              </w:rPr>
              <w:t>Equity Awards</w:t>
            </w:r>
          </w:p>
        </w:tc>
        <w:tc>
          <w:tcPr>
            <w:tcW w:w="13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of Equity Awards</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Paid on Stock or</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24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004E7D"/>
              </w:rPr>
              <w:t>Granted in the</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in Fair Value of</w:t>
            </w:r>
          </w:p>
        </w:tc>
        <w:tc>
          <w:tcPr>
            <w:tcW w:w="200" w:type="dxa"/>
            <w:vAlign w:val="bottom"/>
          </w:tcPr>
          <w:p>
            <w:pPr>
              <w:spacing w:after="0"/>
              <w:rPr>
                <w:sz w:val="12"/>
                <w:szCs w:val="12"/>
                <w:color w:val="auto"/>
              </w:rPr>
            </w:pPr>
          </w:p>
        </w:tc>
        <w:tc>
          <w:tcPr>
            <w:tcW w:w="9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004E7D"/>
              </w:rPr>
              <w:t>Awards</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Granted in Prior</w:t>
            </w:r>
          </w:p>
        </w:tc>
        <w:tc>
          <w:tcPr>
            <w:tcW w:w="180" w:type="dxa"/>
            <w:vAlign w:val="bottom"/>
          </w:tcPr>
          <w:p>
            <w:pPr>
              <w:spacing w:after="0"/>
              <w:rPr>
                <w:sz w:val="12"/>
                <w:szCs w:val="12"/>
                <w:color w:val="auto"/>
              </w:rPr>
            </w:pPr>
          </w:p>
        </w:tc>
        <w:tc>
          <w:tcPr>
            <w:tcW w:w="11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004E7D"/>
              </w:rPr>
              <w:t>that Failed to</w:t>
            </w:r>
          </w:p>
        </w:tc>
        <w:tc>
          <w:tcPr>
            <w:tcW w:w="16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004E7D"/>
              </w:rPr>
              <w:t>Option Awards</w:t>
            </w:r>
          </w:p>
        </w:tc>
        <w:tc>
          <w:tcPr>
            <w:tcW w:w="180" w:type="dxa"/>
            <w:vAlign w:val="bottom"/>
          </w:tcPr>
          <w:p>
            <w:pPr>
              <w:spacing w:after="0"/>
              <w:rPr>
                <w:sz w:val="12"/>
                <w:szCs w:val="12"/>
                <w:color w:val="auto"/>
              </w:rPr>
            </w:pPr>
          </w:p>
        </w:tc>
        <w:tc>
          <w:tcPr>
            <w:tcW w:w="10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004E7D"/>
              </w:rPr>
              <w:t>Total Average</w:t>
            </w:r>
          </w:p>
        </w:tc>
        <w:tc>
          <w:tcPr>
            <w:tcW w:w="0" w:type="dxa"/>
            <w:vAlign w:val="bottom"/>
          </w:tcPr>
          <w:p>
            <w:pPr>
              <w:spacing w:after="0"/>
              <w:rPr>
                <w:sz w:val="1"/>
                <w:szCs w:val="1"/>
                <w:color w:val="auto"/>
              </w:rPr>
            </w:pPr>
          </w:p>
        </w:tc>
      </w:tr>
      <w:tr>
        <w:trPr>
          <w:trHeight w:val="139"/>
        </w:trPr>
        <w:tc>
          <w:tcPr>
            <w:tcW w:w="78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004E7D"/>
              </w:rPr>
              <w:t>Fiscal</w:t>
            </w:r>
          </w:p>
        </w:tc>
        <w:tc>
          <w:tcPr>
            <w:tcW w:w="1240" w:type="dxa"/>
            <w:vAlign w:val="bottom"/>
          </w:tcPr>
          <w:p>
            <w:pPr>
              <w:jc w:val="center"/>
              <w:ind w:left="6"/>
              <w:spacing w:after="0" w:line="139" w:lineRule="exact"/>
              <w:rPr>
                <w:sz w:val="20"/>
                <w:szCs w:val="20"/>
                <w:color w:val="auto"/>
              </w:rPr>
            </w:pPr>
            <w:r>
              <w:rPr>
                <w:rFonts w:ascii="Arial" w:cs="Arial" w:eastAsia="Arial" w:hAnsi="Arial"/>
                <w:sz w:val="14"/>
                <w:szCs w:val="14"/>
                <w:b w:val="1"/>
                <w:bCs w:val="1"/>
                <w:color w:val="004E7D"/>
              </w:rPr>
              <w:t>Year and</w:t>
            </w:r>
          </w:p>
        </w:tc>
        <w:tc>
          <w:tcPr>
            <w:tcW w:w="200" w:type="dxa"/>
            <w:vAlign w:val="bottom"/>
          </w:tcPr>
          <w:p>
            <w:pPr>
              <w:spacing w:after="0"/>
              <w:rPr>
                <w:sz w:val="12"/>
                <w:szCs w:val="12"/>
                <w:color w:val="auto"/>
              </w:rPr>
            </w:pPr>
          </w:p>
        </w:tc>
        <w:tc>
          <w:tcPr>
            <w:tcW w:w="1100" w:type="dxa"/>
            <w:vAlign w:val="bottom"/>
          </w:tcPr>
          <w:p>
            <w:pPr>
              <w:jc w:val="center"/>
              <w:ind w:right="83"/>
              <w:spacing w:after="0" w:line="139" w:lineRule="exact"/>
              <w:rPr>
                <w:sz w:val="20"/>
                <w:szCs w:val="20"/>
                <w:color w:val="auto"/>
              </w:rPr>
            </w:pPr>
            <w:r>
              <w:rPr>
                <w:rFonts w:ascii="Arial" w:cs="Arial" w:eastAsia="Arial" w:hAnsi="Arial"/>
                <w:sz w:val="14"/>
                <w:szCs w:val="14"/>
                <w:b w:val="1"/>
                <w:bCs w:val="1"/>
                <w:color w:val="004E7D"/>
              </w:rPr>
              <w:t>Outstanding</w:t>
            </w:r>
          </w:p>
        </w:tc>
        <w:tc>
          <w:tcPr>
            <w:tcW w:w="11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4E7D"/>
              </w:rPr>
              <w:t>Granted and</w:t>
            </w:r>
          </w:p>
        </w:tc>
        <w:tc>
          <w:tcPr>
            <w:tcW w:w="180" w:type="dxa"/>
            <w:vAlign w:val="bottom"/>
          </w:tcPr>
          <w:p>
            <w:pPr>
              <w:spacing w:after="0"/>
              <w:rPr>
                <w:sz w:val="12"/>
                <w:szCs w:val="12"/>
                <w:color w:val="auto"/>
              </w:rPr>
            </w:pPr>
          </w:p>
        </w:tc>
        <w:tc>
          <w:tcPr>
            <w:tcW w:w="1140" w:type="dxa"/>
            <w:vAlign w:val="bottom"/>
          </w:tcPr>
          <w:p>
            <w:pPr>
              <w:jc w:val="center"/>
              <w:ind w:right="84"/>
              <w:spacing w:after="0" w:line="139" w:lineRule="exact"/>
              <w:rPr>
                <w:sz w:val="20"/>
                <w:szCs w:val="20"/>
                <w:color w:val="auto"/>
              </w:rPr>
            </w:pPr>
            <w:r>
              <w:rPr>
                <w:rFonts w:ascii="Arial" w:cs="Arial" w:eastAsia="Arial" w:hAnsi="Arial"/>
                <w:sz w:val="14"/>
                <w:szCs w:val="14"/>
                <w:b w:val="1"/>
                <w:bCs w:val="1"/>
                <w:color w:val="004E7D"/>
              </w:rPr>
              <w:t>Years that</w:t>
            </w:r>
          </w:p>
        </w:tc>
        <w:tc>
          <w:tcPr>
            <w:tcW w:w="180" w:type="dxa"/>
            <w:vAlign w:val="bottom"/>
          </w:tcPr>
          <w:p>
            <w:pPr>
              <w:spacing w:after="0"/>
              <w:rPr>
                <w:sz w:val="12"/>
                <w:szCs w:val="12"/>
                <w:color w:val="auto"/>
              </w:rPr>
            </w:pPr>
          </w:p>
        </w:tc>
        <w:tc>
          <w:tcPr>
            <w:tcW w:w="114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004E7D"/>
              </w:rPr>
              <w:t>Meet Vesting</w:t>
            </w:r>
          </w:p>
        </w:tc>
        <w:tc>
          <w:tcPr>
            <w:tcW w:w="160" w:type="dxa"/>
            <w:vAlign w:val="bottom"/>
          </w:tcPr>
          <w:p>
            <w:pPr>
              <w:spacing w:after="0"/>
              <w:rPr>
                <w:sz w:val="12"/>
                <w:szCs w:val="12"/>
                <w:color w:val="auto"/>
              </w:rPr>
            </w:pPr>
          </w:p>
        </w:tc>
        <w:tc>
          <w:tcPr>
            <w:tcW w:w="1180" w:type="dxa"/>
            <w:vAlign w:val="bottom"/>
          </w:tcPr>
          <w:p>
            <w:pPr>
              <w:jc w:val="center"/>
              <w:ind w:right="65"/>
              <w:spacing w:after="0" w:line="139" w:lineRule="exact"/>
              <w:rPr>
                <w:sz w:val="20"/>
                <w:szCs w:val="20"/>
                <w:color w:val="auto"/>
              </w:rPr>
            </w:pPr>
            <w:r>
              <w:rPr>
                <w:rFonts w:ascii="Arial" w:cs="Arial" w:eastAsia="Arial" w:hAnsi="Arial"/>
                <w:sz w:val="14"/>
                <w:szCs w:val="14"/>
                <w:b w:val="1"/>
                <w:bCs w:val="1"/>
                <w:color w:val="004E7D"/>
              </w:rPr>
              <w:t>not Otherwise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vMerge w:val="continue"/>
          </w:tcPr>
          <w:p>
            <w:pPr>
              <w:spacing w:after="0"/>
              <w:rPr>
                <w:sz w:val="12"/>
                <w:szCs w:val="12"/>
                <w:color w:val="auto"/>
              </w:rPr>
            </w:pPr>
          </w:p>
        </w:tc>
        <w:tc>
          <w:tcPr>
            <w:tcW w:w="1240" w:type="dxa"/>
            <w:vAlign w:val="bottom"/>
          </w:tcPr>
          <w:p>
            <w:pPr>
              <w:jc w:val="center"/>
              <w:ind w:left="6"/>
              <w:spacing w:after="0" w:line="145" w:lineRule="exact"/>
              <w:rPr>
                <w:sz w:val="20"/>
                <w:szCs w:val="20"/>
                <w:color w:val="auto"/>
              </w:rPr>
            </w:pPr>
            <w:r>
              <w:rPr>
                <w:rFonts w:ascii="Arial" w:cs="Arial" w:eastAsia="Arial" w:hAnsi="Arial"/>
                <w:sz w:val="14"/>
                <w:szCs w:val="14"/>
                <w:b w:val="1"/>
                <w:bCs w:val="1"/>
                <w:color w:val="004E7D"/>
              </w:rPr>
              <w:t>Unvested at</w:t>
            </w:r>
          </w:p>
        </w:tc>
        <w:tc>
          <w:tcPr>
            <w:tcW w:w="200" w:type="dxa"/>
            <w:vAlign w:val="bottom"/>
          </w:tcPr>
          <w:p>
            <w:pPr>
              <w:spacing w:after="0"/>
              <w:rPr>
                <w:sz w:val="12"/>
                <w:szCs w:val="12"/>
                <w:color w:val="auto"/>
              </w:rPr>
            </w:pPr>
          </w:p>
        </w:tc>
        <w:tc>
          <w:tcPr>
            <w:tcW w:w="1100" w:type="dxa"/>
            <w:vAlign w:val="bottom"/>
          </w:tcPr>
          <w:p>
            <w:pPr>
              <w:jc w:val="center"/>
              <w:ind w:right="83"/>
              <w:spacing w:after="0" w:line="145" w:lineRule="exact"/>
              <w:rPr>
                <w:sz w:val="20"/>
                <w:szCs w:val="20"/>
                <w:color w:val="auto"/>
              </w:rPr>
            </w:pPr>
            <w:r>
              <w:rPr>
                <w:rFonts w:ascii="Arial" w:cs="Arial" w:eastAsia="Arial" w:hAnsi="Arial"/>
                <w:sz w:val="14"/>
                <w:szCs w:val="14"/>
                <w:b w:val="1"/>
                <w:bCs w:val="1"/>
                <w:color w:val="004E7D"/>
              </w:rPr>
              <w:t>and Unvested</w:t>
            </w:r>
          </w:p>
        </w:tc>
        <w:tc>
          <w:tcPr>
            <w:tcW w:w="11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Vested in the</w:t>
            </w:r>
          </w:p>
        </w:tc>
        <w:tc>
          <w:tcPr>
            <w:tcW w:w="180" w:type="dxa"/>
            <w:vAlign w:val="bottom"/>
          </w:tcPr>
          <w:p>
            <w:pPr>
              <w:spacing w:after="0"/>
              <w:rPr>
                <w:sz w:val="12"/>
                <w:szCs w:val="12"/>
                <w:color w:val="auto"/>
              </w:rPr>
            </w:pPr>
          </w:p>
        </w:tc>
        <w:tc>
          <w:tcPr>
            <w:tcW w:w="114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004E7D"/>
              </w:rPr>
              <w:t>Vested in the</w:t>
            </w:r>
          </w:p>
        </w:tc>
        <w:tc>
          <w:tcPr>
            <w:tcW w:w="13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Conditions in the</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Reflected in Fair</w:t>
            </w:r>
          </w:p>
        </w:tc>
        <w:tc>
          <w:tcPr>
            <w:tcW w:w="180" w:type="dxa"/>
            <w:vAlign w:val="bottom"/>
          </w:tcPr>
          <w:p>
            <w:pPr>
              <w:spacing w:after="0"/>
              <w:rPr>
                <w:sz w:val="12"/>
                <w:szCs w:val="12"/>
                <w:color w:val="auto"/>
              </w:rPr>
            </w:pPr>
          </w:p>
        </w:tc>
        <w:tc>
          <w:tcPr>
            <w:tcW w:w="1060" w:type="dxa"/>
            <w:vAlign w:val="bottom"/>
          </w:tcPr>
          <w:p>
            <w:pPr>
              <w:jc w:val="center"/>
              <w:ind w:right="24"/>
              <w:spacing w:after="0" w:line="145" w:lineRule="exact"/>
              <w:rPr>
                <w:sz w:val="20"/>
                <w:szCs w:val="20"/>
                <w:color w:val="auto"/>
              </w:rPr>
            </w:pPr>
            <w:r>
              <w:rPr>
                <w:rFonts w:ascii="Arial" w:cs="Arial" w:eastAsia="Arial" w:hAnsi="Arial"/>
                <w:sz w:val="14"/>
                <w:szCs w:val="14"/>
                <w:b w:val="1"/>
                <w:bCs w:val="1"/>
                <w:color w:val="004E7D"/>
              </w:rPr>
              <w:t>Equity Award</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4987"/>
            </w:tcBorders>
          </w:tcPr>
          <w:p>
            <w:pPr>
              <w:jc w:val="center"/>
              <w:ind w:left="23"/>
              <w:spacing w:after="0"/>
              <w:rPr>
                <w:sz w:val="20"/>
                <w:szCs w:val="20"/>
                <w:color w:val="auto"/>
              </w:rPr>
            </w:pPr>
            <w:r>
              <w:rPr>
                <w:rFonts w:ascii="Arial" w:cs="Arial" w:eastAsia="Arial" w:hAnsi="Arial"/>
                <w:sz w:val="14"/>
                <w:szCs w:val="14"/>
                <w:b w:val="1"/>
                <w:bCs w:val="1"/>
                <w:color w:val="004E7D"/>
              </w:rPr>
              <w:t>Year</w:t>
            </w:r>
          </w:p>
        </w:tc>
        <w:tc>
          <w:tcPr>
            <w:tcW w:w="1240" w:type="dxa"/>
            <w:vAlign w:val="bottom"/>
            <w:tcBorders>
              <w:bottom w:val="single" w:sz="8" w:color="004987"/>
            </w:tcBorders>
          </w:tcPr>
          <w:p>
            <w:pPr>
              <w:jc w:val="center"/>
              <w:ind w:left="6"/>
              <w:spacing w:after="0"/>
              <w:rPr>
                <w:sz w:val="20"/>
                <w:szCs w:val="20"/>
                <w:color w:val="auto"/>
              </w:rPr>
            </w:pPr>
            <w:r>
              <w:rPr>
                <w:rFonts w:ascii="Arial" w:cs="Arial" w:eastAsia="Arial" w:hAnsi="Arial"/>
                <w:sz w:val="14"/>
                <w:szCs w:val="14"/>
                <w:b w:val="1"/>
                <w:bCs w:val="1"/>
                <w:color w:val="004E7D"/>
                <w:w w:val="98"/>
              </w:rPr>
              <w:t>Year End</w:t>
            </w:r>
          </w:p>
        </w:tc>
        <w:tc>
          <w:tcPr>
            <w:tcW w:w="1300" w:type="dxa"/>
            <w:vAlign w:val="bottom"/>
            <w:tcBorders>
              <w:bottom w:val="single" w:sz="8" w:color="004987"/>
            </w:tcBorders>
            <w:gridSpan w:val="2"/>
          </w:tcPr>
          <w:p>
            <w:pPr>
              <w:jc w:val="center"/>
              <w:spacing w:after="0"/>
              <w:rPr>
                <w:sz w:val="20"/>
                <w:szCs w:val="20"/>
                <w:color w:val="auto"/>
              </w:rPr>
            </w:pPr>
            <w:r>
              <w:rPr>
                <w:rFonts w:ascii="Arial" w:cs="Arial" w:eastAsia="Arial" w:hAnsi="Arial"/>
                <w:sz w:val="14"/>
                <w:szCs w:val="14"/>
                <w:b w:val="1"/>
                <w:bCs w:val="1"/>
                <w:color w:val="004E7D"/>
              </w:rPr>
              <w:t>Equity Awards</w:t>
            </w:r>
          </w:p>
        </w:tc>
        <w:tc>
          <w:tcPr>
            <w:tcW w:w="200" w:type="dxa"/>
            <w:vAlign w:val="bottom"/>
            <w:tcBorders>
              <w:bottom w:val="single" w:sz="8" w:color="004987"/>
            </w:tcBorders>
          </w:tcPr>
          <w:p>
            <w:pPr>
              <w:spacing w:after="0"/>
              <w:rPr>
                <w:sz w:val="17"/>
                <w:szCs w:val="17"/>
                <w:color w:val="auto"/>
              </w:rPr>
            </w:pPr>
          </w:p>
        </w:tc>
        <w:tc>
          <w:tcPr>
            <w:tcW w:w="920" w:type="dxa"/>
            <w:vAlign w:val="bottom"/>
            <w:tcBorders>
              <w:bottom w:val="single" w:sz="8" w:color="004987"/>
            </w:tcBorders>
          </w:tcPr>
          <w:p>
            <w:pPr>
              <w:jc w:val="center"/>
              <w:ind w:right="64"/>
              <w:spacing w:after="0"/>
              <w:rPr>
                <w:sz w:val="20"/>
                <w:szCs w:val="20"/>
                <w:color w:val="auto"/>
              </w:rPr>
            </w:pPr>
            <w:r>
              <w:rPr>
                <w:rFonts w:ascii="Arial" w:cs="Arial" w:eastAsia="Arial" w:hAnsi="Arial"/>
                <w:sz w:val="14"/>
                <w:szCs w:val="14"/>
                <w:b w:val="1"/>
                <w:bCs w:val="1"/>
                <w:color w:val="004E7D"/>
                <w:w w:val="98"/>
              </w:rPr>
              <w:t>Year</w:t>
            </w:r>
          </w:p>
        </w:tc>
        <w:tc>
          <w:tcPr>
            <w:tcW w:w="180" w:type="dxa"/>
            <w:vAlign w:val="bottom"/>
            <w:tcBorders>
              <w:bottom w:val="single" w:sz="8" w:color="004987"/>
            </w:tcBorders>
          </w:tcPr>
          <w:p>
            <w:pPr>
              <w:spacing w:after="0"/>
              <w:rPr>
                <w:sz w:val="17"/>
                <w:szCs w:val="17"/>
                <w:color w:val="auto"/>
              </w:rPr>
            </w:pPr>
          </w:p>
        </w:tc>
        <w:tc>
          <w:tcPr>
            <w:tcW w:w="1140" w:type="dxa"/>
            <w:vAlign w:val="bottom"/>
            <w:tcBorders>
              <w:bottom w:val="single" w:sz="8" w:color="004987"/>
            </w:tcBorders>
          </w:tcPr>
          <w:p>
            <w:pPr>
              <w:jc w:val="center"/>
              <w:ind w:right="84"/>
              <w:spacing w:after="0"/>
              <w:rPr>
                <w:sz w:val="20"/>
                <w:szCs w:val="20"/>
                <w:color w:val="auto"/>
              </w:rPr>
            </w:pPr>
            <w:r>
              <w:rPr>
                <w:rFonts w:ascii="Arial" w:cs="Arial" w:eastAsia="Arial" w:hAnsi="Arial"/>
                <w:sz w:val="14"/>
                <w:szCs w:val="14"/>
                <w:b w:val="1"/>
                <w:bCs w:val="1"/>
                <w:color w:val="004E7D"/>
                <w:w w:val="98"/>
              </w:rPr>
              <w:t>Year</w:t>
            </w:r>
          </w:p>
        </w:tc>
        <w:tc>
          <w:tcPr>
            <w:tcW w:w="180" w:type="dxa"/>
            <w:vAlign w:val="bottom"/>
            <w:tcBorders>
              <w:bottom w:val="single" w:sz="8" w:color="004987"/>
            </w:tcBorders>
          </w:tcPr>
          <w:p>
            <w:pPr>
              <w:spacing w:after="0"/>
              <w:rPr>
                <w:sz w:val="17"/>
                <w:szCs w:val="17"/>
                <w:color w:val="auto"/>
              </w:rPr>
            </w:pPr>
          </w:p>
        </w:tc>
        <w:tc>
          <w:tcPr>
            <w:tcW w:w="1140" w:type="dxa"/>
            <w:vAlign w:val="bottom"/>
            <w:tcBorders>
              <w:bottom w:val="single" w:sz="8" w:color="004987"/>
            </w:tcBorders>
          </w:tcPr>
          <w:p>
            <w:pPr>
              <w:jc w:val="center"/>
              <w:ind w:right="84"/>
              <w:spacing w:after="0"/>
              <w:rPr>
                <w:sz w:val="20"/>
                <w:szCs w:val="20"/>
                <w:color w:val="auto"/>
              </w:rPr>
            </w:pPr>
            <w:r>
              <w:rPr>
                <w:rFonts w:ascii="Arial" w:cs="Arial" w:eastAsia="Arial" w:hAnsi="Arial"/>
                <w:sz w:val="14"/>
                <w:szCs w:val="14"/>
                <w:b w:val="1"/>
                <w:bCs w:val="1"/>
                <w:color w:val="004E7D"/>
                <w:w w:val="98"/>
              </w:rPr>
              <w:t>Year</w:t>
            </w:r>
          </w:p>
        </w:tc>
        <w:tc>
          <w:tcPr>
            <w:tcW w:w="160" w:type="dxa"/>
            <w:vAlign w:val="bottom"/>
            <w:tcBorders>
              <w:bottom w:val="single" w:sz="8" w:color="004987"/>
            </w:tcBorders>
          </w:tcPr>
          <w:p>
            <w:pPr>
              <w:spacing w:after="0"/>
              <w:rPr>
                <w:sz w:val="17"/>
                <w:szCs w:val="17"/>
                <w:color w:val="auto"/>
              </w:rPr>
            </w:pPr>
          </w:p>
        </w:tc>
        <w:tc>
          <w:tcPr>
            <w:tcW w:w="1180" w:type="dxa"/>
            <w:vAlign w:val="bottom"/>
            <w:tcBorders>
              <w:bottom w:val="single" w:sz="8" w:color="004987"/>
            </w:tcBorders>
          </w:tcPr>
          <w:p>
            <w:pPr>
              <w:jc w:val="center"/>
              <w:ind w:right="85"/>
              <w:spacing w:after="0"/>
              <w:rPr>
                <w:sz w:val="20"/>
                <w:szCs w:val="20"/>
                <w:color w:val="auto"/>
              </w:rPr>
            </w:pPr>
            <w:r>
              <w:rPr>
                <w:rFonts w:ascii="Arial" w:cs="Arial" w:eastAsia="Arial" w:hAnsi="Arial"/>
                <w:sz w:val="14"/>
                <w:szCs w:val="14"/>
                <w:b w:val="1"/>
                <w:bCs w:val="1"/>
                <w:color w:val="004E7D"/>
              </w:rPr>
              <w:t>Value</w:t>
            </w:r>
          </w:p>
        </w:tc>
        <w:tc>
          <w:tcPr>
            <w:tcW w:w="180" w:type="dxa"/>
            <w:vAlign w:val="bottom"/>
            <w:tcBorders>
              <w:bottom w:val="single" w:sz="8" w:color="004987"/>
            </w:tcBorders>
          </w:tcPr>
          <w:p>
            <w:pPr>
              <w:spacing w:after="0"/>
              <w:rPr>
                <w:sz w:val="17"/>
                <w:szCs w:val="17"/>
                <w:color w:val="auto"/>
              </w:rPr>
            </w:pPr>
          </w:p>
        </w:tc>
        <w:tc>
          <w:tcPr>
            <w:tcW w:w="1060" w:type="dxa"/>
            <w:vAlign w:val="bottom"/>
            <w:tcBorders>
              <w:bottom w:val="single" w:sz="8" w:color="004987"/>
            </w:tcBorders>
          </w:tcPr>
          <w:p>
            <w:pPr>
              <w:jc w:val="center"/>
              <w:ind w:right="24"/>
              <w:spacing w:after="0"/>
              <w:rPr>
                <w:sz w:val="20"/>
                <w:szCs w:val="20"/>
                <w:color w:val="auto"/>
              </w:rPr>
            </w:pPr>
            <w:r>
              <w:rPr>
                <w:rFonts w:ascii="Arial" w:cs="Arial" w:eastAsia="Arial" w:hAnsi="Arial"/>
                <w:sz w:val="14"/>
                <w:szCs w:val="14"/>
                <w:b w:val="1"/>
                <w:bCs w:val="1"/>
                <w:color w:val="004E7D"/>
              </w:rPr>
              <w:t>Adjustments</w:t>
            </w:r>
          </w:p>
        </w:tc>
        <w:tc>
          <w:tcPr>
            <w:tcW w:w="0" w:type="dxa"/>
            <w:vAlign w:val="bottom"/>
          </w:tcPr>
          <w:p>
            <w:pPr>
              <w:spacing w:after="0"/>
              <w:rPr>
                <w:sz w:val="1"/>
                <w:szCs w:val="1"/>
                <w:color w:val="auto"/>
              </w:rPr>
            </w:pPr>
          </w:p>
        </w:tc>
      </w:tr>
      <w:tr>
        <w:trPr>
          <w:trHeight w:val="215"/>
        </w:trPr>
        <w:tc>
          <w:tcPr>
            <w:tcW w:w="780" w:type="dxa"/>
            <w:vAlign w:val="bottom"/>
          </w:tcPr>
          <w:p>
            <w:pPr>
              <w:jc w:val="center"/>
              <w:ind w:left="23"/>
              <w:spacing w:after="0"/>
              <w:rPr>
                <w:sz w:val="20"/>
                <w:szCs w:val="20"/>
                <w:color w:val="auto"/>
              </w:rPr>
            </w:pPr>
            <w:r>
              <w:rPr>
                <w:rFonts w:ascii="Arial" w:cs="Arial" w:eastAsia="Arial" w:hAnsi="Arial"/>
                <w:sz w:val="16"/>
                <w:szCs w:val="16"/>
                <w:color w:val="auto"/>
              </w:rPr>
              <w:t>2022</w:t>
            </w:r>
          </w:p>
        </w:tc>
        <w:tc>
          <w:tcPr>
            <w:tcW w:w="1240" w:type="dxa"/>
            <w:vAlign w:val="bottom"/>
          </w:tcPr>
          <w:p>
            <w:pPr>
              <w:jc w:val="right"/>
              <w:ind w:right="26"/>
              <w:spacing w:after="0"/>
              <w:rPr>
                <w:sz w:val="20"/>
                <w:szCs w:val="20"/>
                <w:color w:val="auto"/>
              </w:rPr>
            </w:pPr>
            <w:r>
              <w:rPr>
                <w:rFonts w:ascii="Arial" w:cs="Arial" w:eastAsia="Arial" w:hAnsi="Arial"/>
                <w:sz w:val="16"/>
                <w:szCs w:val="16"/>
                <w:color w:val="auto"/>
              </w:rPr>
              <w:t>$   1,095,679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183"/>
              <w:spacing w:after="0"/>
              <w:rPr>
                <w:sz w:val="20"/>
                <w:szCs w:val="20"/>
                <w:color w:val="auto"/>
              </w:rPr>
            </w:pPr>
            <w:r>
              <w:rPr>
                <w:rFonts w:ascii="Arial" w:cs="Arial" w:eastAsia="Arial" w:hAnsi="Arial"/>
                <w:sz w:val="16"/>
                <w:szCs w:val="16"/>
                <w:color w:val="auto"/>
                <w:w w:val="99"/>
              </w:rPr>
              <w:t>(578,412)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23,034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540,301</w:t>
            </w:r>
          </w:p>
        </w:tc>
        <w:tc>
          <w:tcPr>
            <w:tcW w:w="0" w:type="dxa"/>
            <w:vAlign w:val="bottom"/>
          </w:tcPr>
          <w:p>
            <w:pPr>
              <w:spacing w:after="0"/>
              <w:rPr>
                <w:sz w:val="1"/>
                <w:szCs w:val="1"/>
                <w:color w:val="auto"/>
              </w:rPr>
            </w:pPr>
          </w:p>
        </w:tc>
      </w:tr>
      <w:tr>
        <w:trPr>
          <w:trHeight w:val="215"/>
        </w:trPr>
        <w:tc>
          <w:tcPr>
            <w:tcW w:w="780" w:type="dxa"/>
            <w:vAlign w:val="bottom"/>
          </w:tcPr>
          <w:p>
            <w:pPr>
              <w:jc w:val="center"/>
              <w:ind w:left="23"/>
              <w:spacing w:after="0"/>
              <w:rPr>
                <w:sz w:val="20"/>
                <w:szCs w:val="20"/>
                <w:color w:val="auto"/>
              </w:rPr>
            </w:pPr>
            <w:r>
              <w:rPr>
                <w:rFonts w:ascii="Arial" w:cs="Arial" w:eastAsia="Arial" w:hAnsi="Arial"/>
                <w:sz w:val="16"/>
                <w:szCs w:val="16"/>
                <w:color w:val="auto"/>
              </w:rPr>
              <w:t>2021</w:t>
            </w:r>
          </w:p>
        </w:tc>
        <w:tc>
          <w:tcPr>
            <w:tcW w:w="1240" w:type="dxa"/>
            <w:vAlign w:val="bottom"/>
          </w:tcPr>
          <w:p>
            <w:pPr>
              <w:jc w:val="right"/>
              <w:ind w:right="26"/>
              <w:spacing w:after="0"/>
              <w:rPr>
                <w:sz w:val="20"/>
                <w:szCs w:val="20"/>
                <w:color w:val="auto"/>
              </w:rPr>
            </w:pPr>
            <w:r>
              <w:rPr>
                <w:rFonts w:ascii="Arial" w:cs="Arial" w:eastAsia="Arial" w:hAnsi="Arial"/>
                <w:sz w:val="16"/>
                <w:szCs w:val="16"/>
                <w:color w:val="auto"/>
              </w:rPr>
              <w:t>1,662,322</w:t>
            </w:r>
          </w:p>
        </w:tc>
        <w:tc>
          <w:tcPr>
            <w:tcW w:w="200" w:type="dxa"/>
            <w:vAlign w:val="bottom"/>
          </w:tcPr>
          <w:p>
            <w:pPr>
              <w:spacing w:after="0"/>
              <w:rPr>
                <w:sz w:val="18"/>
                <w:szCs w:val="18"/>
                <w:color w:val="auto"/>
              </w:rPr>
            </w:pPr>
          </w:p>
        </w:tc>
        <w:tc>
          <w:tcPr>
            <w:tcW w:w="1100" w:type="dxa"/>
            <w:vAlign w:val="bottom"/>
          </w:tcPr>
          <w:p>
            <w:pPr>
              <w:jc w:val="center"/>
              <w:ind w:left="203"/>
              <w:spacing w:after="0"/>
              <w:rPr>
                <w:sz w:val="20"/>
                <w:szCs w:val="20"/>
                <w:color w:val="auto"/>
              </w:rPr>
            </w:pPr>
            <w:r>
              <w:rPr>
                <w:rFonts w:ascii="Arial" w:cs="Arial" w:eastAsia="Arial" w:hAnsi="Arial"/>
                <w:sz w:val="16"/>
                <w:szCs w:val="16"/>
                <w:color w:val="auto"/>
              </w:rPr>
              <w:t>352,434</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645,248</w:t>
            </w:r>
          </w:p>
        </w:tc>
        <w:tc>
          <w:tcPr>
            <w:tcW w:w="1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2,660,004</w:t>
            </w:r>
          </w:p>
        </w:tc>
        <w:tc>
          <w:tcPr>
            <w:tcW w:w="0" w:type="dxa"/>
            <w:vAlign w:val="bottom"/>
          </w:tcPr>
          <w:p>
            <w:pPr>
              <w:spacing w:after="0"/>
              <w:rPr>
                <w:sz w:val="1"/>
                <w:szCs w:val="1"/>
                <w:color w:val="auto"/>
              </w:rPr>
            </w:pPr>
          </w:p>
        </w:tc>
      </w:tr>
      <w:tr>
        <w:trPr>
          <w:trHeight w:val="217"/>
        </w:trPr>
        <w:tc>
          <w:tcPr>
            <w:tcW w:w="780" w:type="dxa"/>
            <w:vAlign w:val="bottom"/>
            <w:tcBorders>
              <w:bottom w:val="single" w:sz="8" w:color="00497F"/>
            </w:tcBorders>
          </w:tcPr>
          <w:p>
            <w:pPr>
              <w:jc w:val="center"/>
              <w:ind w:left="23"/>
              <w:spacing w:after="0"/>
              <w:rPr>
                <w:sz w:val="20"/>
                <w:szCs w:val="20"/>
                <w:color w:val="auto"/>
              </w:rPr>
            </w:pPr>
            <w:r>
              <w:rPr>
                <w:rFonts w:ascii="Arial" w:cs="Arial" w:eastAsia="Arial" w:hAnsi="Arial"/>
                <w:sz w:val="16"/>
                <w:szCs w:val="16"/>
                <w:color w:val="auto"/>
              </w:rPr>
              <w:t>2020</w:t>
            </w:r>
          </w:p>
        </w:tc>
        <w:tc>
          <w:tcPr>
            <w:tcW w:w="1240" w:type="dxa"/>
            <w:vAlign w:val="bottom"/>
            <w:tcBorders>
              <w:bottom w:val="single" w:sz="8" w:color="00497F"/>
            </w:tcBorders>
          </w:tcPr>
          <w:p>
            <w:pPr>
              <w:jc w:val="right"/>
              <w:ind w:right="26"/>
              <w:spacing w:after="0"/>
              <w:rPr>
                <w:sz w:val="20"/>
                <w:szCs w:val="20"/>
                <w:color w:val="auto"/>
              </w:rPr>
            </w:pPr>
            <w:r>
              <w:rPr>
                <w:rFonts w:ascii="Arial" w:cs="Arial" w:eastAsia="Arial" w:hAnsi="Arial"/>
                <w:sz w:val="16"/>
                <w:szCs w:val="16"/>
                <w:color w:val="auto"/>
              </w:rPr>
              <w:t>1,049,696</w:t>
            </w:r>
          </w:p>
        </w:tc>
        <w:tc>
          <w:tcPr>
            <w:tcW w:w="200" w:type="dxa"/>
            <w:vAlign w:val="bottom"/>
            <w:tcBorders>
              <w:bottom w:val="single" w:sz="8" w:color="00497F"/>
            </w:tcBorders>
          </w:tcPr>
          <w:p>
            <w:pPr>
              <w:spacing w:after="0"/>
              <w:rPr>
                <w:sz w:val="18"/>
                <w:szCs w:val="18"/>
                <w:color w:val="auto"/>
              </w:rPr>
            </w:pPr>
          </w:p>
        </w:tc>
        <w:tc>
          <w:tcPr>
            <w:tcW w:w="1100" w:type="dxa"/>
            <w:vAlign w:val="bottom"/>
            <w:tcBorders>
              <w:bottom w:val="single" w:sz="8" w:color="00497F"/>
            </w:tcBorders>
          </w:tcPr>
          <w:p>
            <w:pPr>
              <w:jc w:val="center"/>
              <w:ind w:left="203"/>
              <w:spacing w:after="0"/>
              <w:rPr>
                <w:sz w:val="20"/>
                <w:szCs w:val="20"/>
                <w:color w:val="auto"/>
              </w:rPr>
            </w:pPr>
            <w:r>
              <w:rPr>
                <w:rFonts w:ascii="Arial" w:cs="Arial" w:eastAsia="Arial" w:hAnsi="Arial"/>
                <w:sz w:val="16"/>
                <w:szCs w:val="16"/>
                <w:color w:val="auto"/>
              </w:rPr>
              <w:t>933,240</w:t>
            </w:r>
          </w:p>
        </w:tc>
        <w:tc>
          <w:tcPr>
            <w:tcW w:w="200" w:type="dxa"/>
            <w:vAlign w:val="bottom"/>
            <w:tcBorders>
              <w:bottom w:val="single" w:sz="8" w:color="00497F"/>
            </w:tcBorders>
          </w:tcPr>
          <w:p>
            <w:pPr>
              <w:spacing w:after="0"/>
              <w:rPr>
                <w:sz w:val="18"/>
                <w:szCs w:val="18"/>
                <w:color w:val="auto"/>
              </w:rPr>
            </w:pPr>
          </w:p>
        </w:tc>
        <w:tc>
          <w:tcPr>
            <w:tcW w:w="920" w:type="dxa"/>
            <w:vAlign w:val="bottom"/>
            <w:tcBorders>
              <w:bottom w:val="single" w:sz="8" w:color="00497F"/>
            </w:tcBorders>
          </w:tcPr>
          <w:p>
            <w:pPr>
              <w:ind w:left="6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497F"/>
            </w:tcBorders>
          </w:tcPr>
          <w:p>
            <w:pPr>
              <w:spacing w:after="0"/>
              <w:rPr>
                <w:sz w:val="18"/>
                <w:szCs w:val="18"/>
                <w:color w:val="auto"/>
              </w:rPr>
            </w:pPr>
          </w:p>
        </w:tc>
        <w:tc>
          <w:tcPr>
            <w:tcW w:w="114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(84,923)</w:t>
            </w:r>
          </w:p>
        </w:tc>
        <w:tc>
          <w:tcPr>
            <w:tcW w:w="180" w:type="dxa"/>
            <w:vAlign w:val="bottom"/>
            <w:tcBorders>
              <w:bottom w:val="single" w:sz="8" w:color="00497F"/>
            </w:tcBorders>
          </w:tcPr>
          <w:p>
            <w:pPr>
              <w:spacing w:after="0"/>
              <w:rPr>
                <w:sz w:val="18"/>
                <w:szCs w:val="18"/>
                <w:color w:val="auto"/>
              </w:rPr>
            </w:pPr>
          </w:p>
        </w:tc>
        <w:tc>
          <w:tcPr>
            <w:tcW w:w="1140" w:type="dxa"/>
            <w:vAlign w:val="bottom"/>
            <w:tcBorders>
              <w:bottom w:val="single" w:sz="8" w:color="00497F"/>
            </w:tcBorders>
          </w:tcPr>
          <w:p>
            <w:pPr>
              <w:ind w:left="8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00497F"/>
            </w:tcBorders>
          </w:tcPr>
          <w:p>
            <w:pPr>
              <w:spacing w:after="0"/>
              <w:rPr>
                <w:sz w:val="18"/>
                <w:szCs w:val="18"/>
                <w:color w:val="auto"/>
              </w:rPr>
            </w:pPr>
          </w:p>
        </w:tc>
        <w:tc>
          <w:tcPr>
            <w:tcW w:w="1180" w:type="dxa"/>
            <w:vAlign w:val="bottom"/>
            <w:tcBorders>
              <w:bottom w:val="single" w:sz="8" w:color="00497F"/>
            </w:tcBorders>
          </w:tcPr>
          <w:p>
            <w:pPr>
              <w:ind w:left="9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497F"/>
            </w:tcBorders>
          </w:tcPr>
          <w:p>
            <w:pPr>
              <w:spacing w:after="0"/>
              <w:rPr>
                <w:sz w:val="18"/>
                <w:szCs w:val="18"/>
                <w:color w:val="auto"/>
              </w:rPr>
            </w:pPr>
          </w:p>
        </w:tc>
        <w:tc>
          <w:tcPr>
            <w:tcW w:w="1060" w:type="dxa"/>
            <w:vAlign w:val="bottom"/>
            <w:tcBorders>
              <w:bottom w:val="single" w:sz="8" w:color="00497F"/>
            </w:tcBorders>
          </w:tcPr>
          <w:p>
            <w:pPr>
              <w:jc w:val="right"/>
              <w:ind w:right="4"/>
              <w:spacing w:after="0"/>
              <w:rPr>
                <w:sz w:val="20"/>
                <w:szCs w:val="20"/>
                <w:color w:val="auto"/>
              </w:rPr>
            </w:pPr>
            <w:r>
              <w:rPr>
                <w:rFonts w:ascii="Arial" w:cs="Arial" w:eastAsia="Arial" w:hAnsi="Arial"/>
                <w:sz w:val="16"/>
                <w:szCs w:val="16"/>
                <w:color w:val="auto"/>
              </w:rPr>
              <w:t>1,898,013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40" w:hanging="308"/>
        <w:spacing w:after="0"/>
        <w:tabs>
          <w:tab w:leader="none" w:pos="640"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Refer to description and reconciliation of Adjusted EBITDA in Appendix B.</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below charts represent the alignment of the PEO and NEO pay to Net Income, Adjusted EBITDA, and Company and peer TSR. The graphical representation clearly demonstrates that both the PEO and NEO compensation actually paid (“CAP”) is aligned with shareholder performance. As noted, the financial metrics have increased year over year, whereas the CAP and company TSR have responded to various market conditions in a correlated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983605" cy="386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83605" cy="386588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2"/>
          <w:szCs w:val="22"/>
          <w:b w:val="1"/>
          <w:bCs w:val="1"/>
          <w:color w:val="004E7D"/>
        </w:rPr>
        <w:t>COMPENSATION ARRANGEMENTS FOR NON-EMPLOYEE DIRECTORS</w:t>
      </w:r>
    </w:p>
    <w:p>
      <w:pPr>
        <w:spacing w:after="0" w:line="11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designing and implementing compensation programs applicable to our non-employee directors, our CPC considered the advice and recommendations of Exequity. In determining its recommendation to the Board with respect to compensation for our non-employee directors for 2022, the CPC considered the external market pay practices of the same companies that comprised the peer group it considered with respect to the compensation of our executive officers for 2022 and generally looks to the median of such market data when making director compensation decisions. As a result of the external market review, the CPC recommended and the Board approved an increase of $15,000 in equity as a component of non-employee director compensation in 2022.</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For 2022, our compensation arrangements for our non-employee directors for service on our Board consisted of:</w:t>
      </w:r>
    </w:p>
    <w:p>
      <w:pPr>
        <w:spacing w:after="0" w:line="113" w:lineRule="exact"/>
        <w:rPr>
          <w:sz w:val="20"/>
          <w:szCs w:val="20"/>
          <w:color w:val="auto"/>
        </w:rPr>
      </w:pPr>
    </w:p>
    <w:p>
      <w:pPr>
        <w:ind w:left="360" w:hanging="242"/>
        <w:spacing w:after="0"/>
        <w:tabs>
          <w:tab w:leader="none" w:pos="360" w:val="left"/>
        </w:tabs>
        <w:numPr>
          <w:ilvl w:val="0"/>
          <w:numId w:val="100"/>
        </w:numPr>
        <w:rPr>
          <w:rFonts w:ascii="Arial" w:cs="Arial" w:eastAsia="Arial" w:hAnsi="Arial"/>
          <w:sz w:val="16"/>
          <w:szCs w:val="16"/>
          <w:color w:val="004E7D"/>
        </w:rPr>
      </w:pPr>
      <w:r>
        <w:rPr>
          <w:rFonts w:ascii="Arial" w:cs="Arial" w:eastAsia="Arial" w:hAnsi="Arial"/>
          <w:sz w:val="16"/>
          <w:szCs w:val="16"/>
          <w:color w:val="auto"/>
        </w:rPr>
        <w:t>an annual cash retainer of $85,000 for each non-employee director other than the Chairman and $130,000 for the Chairman;</w:t>
      </w:r>
    </w:p>
    <w:p>
      <w:pPr>
        <w:spacing w:after="0" w:line="126" w:lineRule="exact"/>
        <w:rPr>
          <w:rFonts w:ascii="Arial" w:cs="Arial" w:eastAsia="Arial" w:hAnsi="Arial"/>
          <w:sz w:val="16"/>
          <w:szCs w:val="16"/>
          <w:color w:val="004E7D"/>
        </w:rPr>
      </w:pPr>
    </w:p>
    <w:p>
      <w:pPr>
        <w:ind w:left="220" w:right="440" w:hanging="102"/>
        <w:spacing w:after="0" w:line="286" w:lineRule="auto"/>
        <w:tabs>
          <w:tab w:leader="none" w:pos="3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annual cash retainer of $25,000 for the chairs of each of the Audit Committee, Compensation Policy Committee and Nominating and Corporate Governance Committee;</w:t>
      </w:r>
    </w:p>
    <w:p>
      <w:pPr>
        <w:spacing w:after="0" w:line="47" w:lineRule="exact"/>
        <w:rPr>
          <w:rFonts w:ascii="Arial" w:cs="Arial" w:eastAsia="Arial" w:hAnsi="Arial"/>
          <w:sz w:val="16"/>
          <w:szCs w:val="16"/>
          <w:color w:val="auto"/>
        </w:rPr>
      </w:pPr>
    </w:p>
    <w:p>
      <w:pPr>
        <w:ind w:left="220" w:right="460" w:hanging="102"/>
        <w:spacing w:after="0" w:line="304" w:lineRule="auto"/>
        <w:tabs>
          <w:tab w:leader="none" w:pos="3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annual cash retainer of $10,000 for the members (other than the Chairs) of each of the Audit Committee, Compensation Policy Committee and Nominating and Corporate Governance Committee; and</w:t>
      </w:r>
    </w:p>
    <w:p>
      <w:pPr>
        <w:spacing w:after="0" w:line="33" w:lineRule="exact"/>
        <w:rPr>
          <w:rFonts w:ascii="Arial" w:cs="Arial" w:eastAsia="Arial" w:hAnsi="Arial"/>
          <w:sz w:val="16"/>
          <w:szCs w:val="16"/>
          <w:color w:val="auto"/>
        </w:rPr>
      </w:pPr>
    </w:p>
    <w:p>
      <w:pPr>
        <w:ind w:left="220" w:right="100" w:hanging="102"/>
        <w:spacing w:after="0" w:line="286" w:lineRule="auto"/>
        <w:tabs>
          <w:tab w:leader="none" w:pos="3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annual equity grant (the “Non-Employee Director Share Awards”) with a grant date value of $165,000 for each non-employee director other than the Chairman and $240,000 for the Chairman.</w:t>
      </w:r>
    </w:p>
    <w:p>
      <w:pPr>
        <w:spacing w:after="0" w:line="61" w:lineRule="exact"/>
        <w:rPr>
          <w:sz w:val="20"/>
          <w:szCs w:val="20"/>
          <w:color w:val="auto"/>
        </w:rPr>
      </w:pPr>
    </w:p>
    <w:p>
      <w:pPr>
        <w:jc w:val="both"/>
        <w:ind w:right="140"/>
        <w:spacing w:after="0" w:line="265" w:lineRule="auto"/>
        <w:rPr>
          <w:sz w:val="20"/>
          <w:szCs w:val="20"/>
          <w:color w:val="auto"/>
        </w:rPr>
      </w:pPr>
      <w:r>
        <w:rPr>
          <w:rFonts w:ascii="Arial" w:cs="Arial" w:eastAsia="Arial" w:hAnsi="Arial"/>
          <w:sz w:val="16"/>
          <w:szCs w:val="16"/>
          <w:color w:val="auto"/>
        </w:rPr>
        <w:t>The Non-Employee Director Share Awards vest immediately upon grant. Non-Employee Director Share Awards granted prior to 2016 represent the right to receive shares of the Company’s common stock upon a director’s completion of Board service. Since 2016, a non-employee director who has achieved the ownership level required by our stock ownership guidelines at such time (without giving effect to any time permitted for achievement) has been permitted to elect one of the following options with respect to each grant of Non-Employee Director Share Awards:</w:t>
      </w:r>
    </w:p>
    <w:p>
      <w:pPr>
        <w:spacing w:after="0" w:line="65" w:lineRule="exact"/>
        <w:rPr>
          <w:sz w:val="20"/>
          <w:szCs w:val="20"/>
          <w:color w:val="auto"/>
        </w:rPr>
      </w:pPr>
    </w:p>
    <w:p>
      <w:pPr>
        <w:ind w:left="220" w:right="80" w:hanging="102"/>
        <w:spacing w:after="0" w:line="275" w:lineRule="auto"/>
        <w:tabs>
          <w:tab w:leader="none" w:pos="347" w:val="left"/>
        </w:tabs>
        <w:numPr>
          <w:ilvl w:val="0"/>
          <w:numId w:val="101"/>
        </w:numPr>
        <w:rPr>
          <w:rFonts w:ascii="Arial" w:cs="Arial" w:eastAsia="Arial" w:hAnsi="Arial"/>
          <w:sz w:val="16"/>
          <w:szCs w:val="16"/>
          <w:color w:val="004E7D"/>
        </w:rPr>
      </w:pPr>
      <w:r>
        <w:rPr>
          <w:rFonts w:ascii="Arial" w:cs="Arial" w:eastAsia="Arial" w:hAnsi="Arial"/>
          <w:sz w:val="16"/>
          <w:szCs w:val="16"/>
          <w:color w:val="auto"/>
        </w:rPr>
        <w:t>to receive the Non-Employee Director Share Awards in the form of stock units with terms, including the payment of dividends, as specified in the Equity Plans, with distribution in the form of shares of the Company’s common stock to occur as elected by the non-employee director as permitted pursuant to the Equity Plans; or</w:t>
      </w:r>
    </w:p>
    <w:p>
      <w:pPr>
        <w:spacing w:after="0" w:line="69" w:lineRule="exact"/>
        <w:rPr>
          <w:rFonts w:ascii="Arial" w:cs="Arial" w:eastAsia="Arial" w:hAnsi="Arial"/>
          <w:sz w:val="16"/>
          <w:szCs w:val="16"/>
          <w:color w:val="004E7D"/>
        </w:rPr>
      </w:pPr>
    </w:p>
    <w:p>
      <w:pPr>
        <w:ind w:left="220" w:right="60" w:hanging="102"/>
        <w:spacing w:after="0" w:line="286" w:lineRule="auto"/>
        <w:tabs>
          <w:tab w:leader="none" w:pos="2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receive the Non-Employee Director Share Awards in the form of shares of the Company’s common stock, to be issued as soon as practicable following the grant date.</w:t>
      </w:r>
    </w:p>
    <w:p>
      <w:pPr>
        <w:spacing w:after="0" w:line="4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If no election is made, Non-Employee Director Share Awards will represent the right to receive shares of the Company’s common stock upon a director’s completion of Board service. When the Company pays a cash dividend, a corresponding dividend equivalent payment is paid in cash with respect to the Non-Employee Director Share Awards. Non-Employee Director Share Awards cannot be transferred or assigned, and the director has no voting rights in the shares of common stock underlying the awards until such time as such shares are distributed to the non-employee director.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compensation paid to our non-employee directors during the fiscal year ended December 31,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700" w:type="dxa"/>
            <w:vAlign w:val="bottom"/>
            <w:vMerge w:val="restart"/>
          </w:tcPr>
          <w:p>
            <w:pPr>
              <w:jc w:val="center"/>
              <w:ind w:left="961"/>
              <w:spacing w:after="0"/>
              <w:rPr>
                <w:sz w:val="20"/>
                <w:szCs w:val="20"/>
                <w:color w:val="auto"/>
              </w:rPr>
            </w:pPr>
            <w:r>
              <w:rPr>
                <w:rFonts w:ascii="Arial" w:cs="Arial" w:eastAsia="Arial" w:hAnsi="Arial"/>
                <w:sz w:val="14"/>
                <w:szCs w:val="14"/>
                <w:b w:val="1"/>
                <w:bCs w:val="1"/>
                <w:color w:val="004E7D"/>
              </w:rPr>
              <w:t>Fees Earned</w:t>
            </w:r>
          </w:p>
        </w:tc>
        <w:tc>
          <w:tcPr>
            <w:tcW w:w="164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004E7D"/>
              </w:rPr>
              <w:t>Change in Pension</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16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004E7D"/>
              </w:rPr>
              <w:t>Stock</w:t>
            </w:r>
          </w:p>
        </w:tc>
        <w:tc>
          <w:tcPr>
            <w:tcW w:w="22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4E7D"/>
              </w:rPr>
              <w:t>Value and Non-qualified</w:t>
            </w: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Name</w:t>
            </w:r>
          </w:p>
        </w:tc>
        <w:tc>
          <w:tcPr>
            <w:tcW w:w="2700" w:type="dxa"/>
            <w:vAlign w:val="bottom"/>
          </w:tcPr>
          <w:p>
            <w:pPr>
              <w:jc w:val="center"/>
              <w:ind w:left="961"/>
              <w:spacing w:after="0" w:line="149" w:lineRule="exact"/>
              <w:rPr>
                <w:sz w:val="20"/>
                <w:szCs w:val="20"/>
                <w:color w:val="auto"/>
              </w:rPr>
            </w:pPr>
            <w:r>
              <w:rPr>
                <w:rFonts w:ascii="Arial" w:cs="Arial" w:eastAsia="Arial" w:hAnsi="Arial"/>
                <w:sz w:val="14"/>
                <w:szCs w:val="14"/>
                <w:b w:val="1"/>
                <w:bCs w:val="1"/>
                <w:color w:val="004E7D"/>
              </w:rPr>
              <w:t>or Paid in</w:t>
            </w:r>
          </w:p>
        </w:tc>
        <w:tc>
          <w:tcPr>
            <w:tcW w:w="1640" w:type="dxa"/>
            <w:vAlign w:val="bottom"/>
            <w:vMerge w:val="continue"/>
          </w:tcPr>
          <w:p>
            <w:pPr>
              <w:spacing w:after="0"/>
              <w:rPr>
                <w:sz w:val="12"/>
                <w:szCs w:val="12"/>
                <w:color w:val="auto"/>
              </w:rPr>
            </w:pPr>
          </w:p>
        </w:tc>
        <w:tc>
          <w:tcPr>
            <w:tcW w:w="2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Deferred Compensation</w:t>
            </w:r>
          </w:p>
        </w:tc>
        <w:tc>
          <w:tcPr>
            <w:tcW w:w="500" w:type="dxa"/>
            <w:vAlign w:val="bottom"/>
          </w:tcPr>
          <w:p>
            <w:pPr>
              <w:spacing w:after="0"/>
              <w:rPr>
                <w:sz w:val="12"/>
                <w:szCs w:val="12"/>
                <w:color w:val="auto"/>
              </w:rPr>
            </w:pPr>
          </w:p>
        </w:tc>
        <w:tc>
          <w:tcPr>
            <w:tcW w:w="100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004E7D"/>
              </w:rPr>
              <w:t>Total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4987"/>
            </w:tcBorders>
            <w:vMerge w:val="continue"/>
          </w:tcPr>
          <w:p>
            <w:pPr>
              <w:spacing w:after="0"/>
              <w:rPr>
                <w:sz w:val="17"/>
                <w:szCs w:val="17"/>
                <w:color w:val="auto"/>
              </w:rPr>
            </w:pPr>
          </w:p>
        </w:tc>
        <w:tc>
          <w:tcPr>
            <w:tcW w:w="2700" w:type="dxa"/>
            <w:vAlign w:val="bottom"/>
            <w:tcBorders>
              <w:bottom w:val="single" w:sz="8" w:color="004987"/>
            </w:tcBorders>
          </w:tcPr>
          <w:p>
            <w:pPr>
              <w:jc w:val="center"/>
              <w:ind w:left="981"/>
              <w:spacing w:after="0" w:line="189" w:lineRule="exact"/>
              <w:rPr>
                <w:sz w:val="20"/>
                <w:szCs w:val="20"/>
                <w:color w:val="auto"/>
              </w:rPr>
            </w:pPr>
            <w:r>
              <w:rPr>
                <w:rFonts w:ascii="Arial" w:cs="Arial" w:eastAsia="Arial" w:hAnsi="Arial"/>
                <w:sz w:val="14"/>
                <w:szCs w:val="14"/>
                <w:b w:val="1"/>
                <w:bCs w:val="1"/>
                <w:color w:val="004E7D"/>
                <w:w w:val="94"/>
              </w:rPr>
              <w:t>Cash</w:t>
            </w:r>
            <w:r>
              <w:rPr>
                <w:rFonts w:ascii="Arial" w:cs="Arial" w:eastAsia="Arial" w:hAnsi="Arial"/>
                <w:sz w:val="18"/>
                <w:szCs w:val="18"/>
                <w:b w:val="1"/>
                <w:bCs w:val="1"/>
                <w:color w:val="004E7D"/>
                <w:w w:val="94"/>
                <w:vertAlign w:val="superscript"/>
              </w:rPr>
              <w:t>1,2</w:t>
            </w:r>
          </w:p>
        </w:tc>
        <w:tc>
          <w:tcPr>
            <w:tcW w:w="1640" w:type="dxa"/>
            <w:vAlign w:val="bottom"/>
            <w:tcBorders>
              <w:bottom w:val="single" w:sz="8" w:color="004987"/>
            </w:tcBorders>
          </w:tcPr>
          <w:p>
            <w:pPr>
              <w:jc w:val="right"/>
              <w:ind w:right="381"/>
              <w:spacing w:after="0" w:line="189" w:lineRule="exact"/>
              <w:rPr>
                <w:sz w:val="20"/>
                <w:szCs w:val="20"/>
                <w:color w:val="auto"/>
              </w:rPr>
            </w:pPr>
            <w:r>
              <w:rPr>
                <w:rFonts w:ascii="Arial" w:cs="Arial" w:eastAsia="Arial" w:hAnsi="Arial"/>
                <w:sz w:val="14"/>
                <w:szCs w:val="14"/>
                <w:b w:val="1"/>
                <w:bCs w:val="1"/>
                <w:color w:val="004E7D"/>
              </w:rPr>
              <w:t>Awards</w:t>
            </w:r>
            <w:r>
              <w:rPr>
                <w:rFonts w:ascii="Arial" w:cs="Arial" w:eastAsia="Arial" w:hAnsi="Arial"/>
                <w:sz w:val="18"/>
                <w:szCs w:val="18"/>
                <w:b w:val="1"/>
                <w:bCs w:val="1"/>
                <w:color w:val="004E7D"/>
                <w:vertAlign w:val="superscript"/>
              </w:rPr>
              <w:t>3</w:t>
            </w:r>
          </w:p>
        </w:tc>
        <w:tc>
          <w:tcPr>
            <w:tcW w:w="740" w:type="dxa"/>
            <w:vAlign w:val="bottom"/>
            <w:tcBorders>
              <w:bottom w:val="single" w:sz="8" w:color="004987"/>
            </w:tcBorders>
          </w:tcPr>
          <w:p>
            <w:pPr>
              <w:spacing w:after="0"/>
              <w:rPr>
                <w:sz w:val="17"/>
                <w:szCs w:val="17"/>
                <w:color w:val="auto"/>
              </w:rPr>
            </w:pPr>
          </w:p>
        </w:tc>
        <w:tc>
          <w:tcPr>
            <w:tcW w:w="1500" w:type="dxa"/>
            <w:vAlign w:val="bottom"/>
            <w:tcBorders>
              <w:bottom w:val="single" w:sz="8" w:color="004987"/>
            </w:tcBorders>
          </w:tcPr>
          <w:p>
            <w:pPr>
              <w:jc w:val="center"/>
              <w:ind w:right="680"/>
              <w:spacing w:after="0"/>
              <w:rPr>
                <w:sz w:val="20"/>
                <w:szCs w:val="20"/>
                <w:color w:val="auto"/>
              </w:rPr>
            </w:pPr>
            <w:r>
              <w:rPr>
                <w:rFonts w:ascii="Arial" w:cs="Arial" w:eastAsia="Arial" w:hAnsi="Arial"/>
                <w:sz w:val="14"/>
                <w:szCs w:val="14"/>
                <w:b w:val="1"/>
                <w:bCs w:val="1"/>
                <w:color w:val="004E7D"/>
              </w:rPr>
              <w:t>Earnings</w:t>
            </w:r>
            <w:r>
              <w:rPr>
                <w:rFonts w:ascii="Arial" w:cs="Arial" w:eastAsia="Arial" w:hAnsi="Arial"/>
                <w:sz w:val="9"/>
                <w:szCs w:val="9"/>
                <w:b w:val="1"/>
                <w:bCs w:val="1"/>
                <w:color w:val="004E7D"/>
              </w:rPr>
              <w:t>4</w:t>
            </w:r>
          </w:p>
        </w:tc>
        <w:tc>
          <w:tcPr>
            <w:tcW w:w="500" w:type="dxa"/>
            <w:vAlign w:val="bottom"/>
            <w:tcBorders>
              <w:bottom w:val="single" w:sz="8" w:color="004987"/>
            </w:tcBorders>
          </w:tcPr>
          <w:p>
            <w:pPr>
              <w:spacing w:after="0"/>
              <w:rPr>
                <w:sz w:val="17"/>
                <w:szCs w:val="17"/>
                <w:color w:val="auto"/>
              </w:rPr>
            </w:pPr>
          </w:p>
        </w:tc>
        <w:tc>
          <w:tcPr>
            <w:tcW w:w="1000" w:type="dxa"/>
            <w:vAlign w:val="bottom"/>
            <w:tcBorders>
              <w:bottom w:val="single" w:sz="8" w:color="00498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William J. Shaw</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   130,000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   240,050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370,050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C.E. Andrews</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120,000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166,491</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286,491</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Lizanne Galbreath</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105,000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166,491</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271,491</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Raymond L. Gellein, Jr.</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105,000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164,947</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269,947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Thomas J. Hutchison III</w:t>
            </w:r>
            <w:r>
              <w:rPr>
                <w:rFonts w:ascii="Arial" w:cs="Arial" w:eastAsia="Arial" w:hAnsi="Arial"/>
                <w:sz w:val="21"/>
                <w:szCs w:val="21"/>
                <w:color w:val="auto"/>
                <w:vertAlign w:val="superscript"/>
              </w:rPr>
              <w:t>5</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26,250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26,250</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Melquiades R. Martinez</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110,000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164,947</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274,947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William W. McCarten</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105,000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164,947</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269,947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Dianna F. Morgan</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120,000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166,491</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286,491</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Stephen R. Quazzo</w:t>
            </w:r>
          </w:p>
        </w:tc>
        <w:tc>
          <w:tcPr>
            <w:tcW w:w="27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105,000</w:t>
            </w: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164,947</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269,947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Jonice G. Tucker</w:t>
            </w:r>
          </w:p>
        </w:tc>
        <w:tc>
          <w:tcPr>
            <w:tcW w:w="2700" w:type="dxa"/>
            <w:vAlign w:val="bottom"/>
            <w:tcBorders>
              <w:bottom w:val="single" w:sz="8" w:color="00497F"/>
            </w:tcBorders>
          </w:tcPr>
          <w:p>
            <w:pPr>
              <w:jc w:val="right"/>
              <w:ind w:right="301"/>
              <w:spacing w:after="0"/>
              <w:rPr>
                <w:sz w:val="20"/>
                <w:szCs w:val="20"/>
                <w:color w:val="auto"/>
              </w:rPr>
            </w:pPr>
            <w:r>
              <w:rPr>
                <w:rFonts w:ascii="Arial" w:cs="Arial" w:eastAsia="Arial" w:hAnsi="Arial"/>
                <w:sz w:val="16"/>
                <w:szCs w:val="16"/>
                <w:color w:val="auto"/>
              </w:rPr>
              <w:t>105,000</w:t>
            </w:r>
          </w:p>
        </w:tc>
        <w:tc>
          <w:tcPr>
            <w:tcW w:w="1640" w:type="dxa"/>
            <w:vAlign w:val="bottom"/>
            <w:tcBorders>
              <w:bottom w:val="single" w:sz="8" w:color="00497F"/>
            </w:tcBorders>
          </w:tcPr>
          <w:p>
            <w:pPr>
              <w:jc w:val="right"/>
              <w:ind w:right="221"/>
              <w:spacing w:after="0"/>
              <w:rPr>
                <w:sz w:val="20"/>
                <w:szCs w:val="20"/>
                <w:color w:val="auto"/>
              </w:rPr>
            </w:pPr>
            <w:r>
              <w:rPr>
                <w:rFonts w:ascii="Arial" w:cs="Arial" w:eastAsia="Arial" w:hAnsi="Arial"/>
                <w:sz w:val="16"/>
                <w:szCs w:val="16"/>
                <w:color w:val="auto"/>
              </w:rPr>
              <w:t>166,491</w:t>
            </w:r>
          </w:p>
        </w:tc>
        <w:tc>
          <w:tcPr>
            <w:tcW w:w="740" w:type="dxa"/>
            <w:vAlign w:val="bottom"/>
            <w:tcBorders>
              <w:bottom w:val="single" w:sz="8" w:color="00497F"/>
            </w:tcBorders>
          </w:tcPr>
          <w:p>
            <w:pPr>
              <w:spacing w:after="0"/>
              <w:rPr>
                <w:sz w:val="18"/>
                <w:szCs w:val="18"/>
                <w:color w:val="auto"/>
              </w:rPr>
            </w:pPr>
          </w:p>
        </w:tc>
        <w:tc>
          <w:tcPr>
            <w:tcW w:w="1500" w:type="dxa"/>
            <w:vAlign w:val="bottom"/>
            <w:tcBorders>
              <w:bottom w:val="single" w:sz="8" w:color="00497F"/>
            </w:tcBorders>
          </w:tcPr>
          <w:p>
            <w:pPr>
              <w:ind w:left="8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00497F"/>
            </w:tcBorders>
          </w:tcPr>
          <w:p>
            <w:pPr>
              <w:spacing w:after="0"/>
              <w:rPr>
                <w:sz w:val="18"/>
                <w:szCs w:val="18"/>
                <w:color w:val="auto"/>
              </w:rPr>
            </w:pPr>
          </w:p>
        </w:tc>
        <w:tc>
          <w:tcPr>
            <w:tcW w:w="1000" w:type="dxa"/>
            <w:vAlign w:val="bottom"/>
            <w:tcBorders>
              <w:bottom w:val="single" w:sz="8" w:color="00497F"/>
            </w:tcBorders>
          </w:tcPr>
          <w:p>
            <w:pPr>
              <w:jc w:val="right"/>
              <w:ind w:right="120"/>
              <w:spacing w:after="0"/>
              <w:rPr>
                <w:sz w:val="20"/>
                <w:szCs w:val="20"/>
                <w:color w:val="auto"/>
              </w:rPr>
            </w:pPr>
            <w:r>
              <w:rPr>
                <w:rFonts w:ascii="Arial" w:cs="Arial" w:eastAsia="Arial" w:hAnsi="Arial"/>
                <w:sz w:val="16"/>
                <w:szCs w:val="16"/>
                <w:color w:val="auto"/>
              </w:rPr>
              <w:t>271,491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right="180" w:hanging="172"/>
        <w:spacing w:after="0" w:line="227" w:lineRule="auto"/>
        <w:tabs>
          <w:tab w:leader="none" w:pos="302"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Directors may elect to defer their cash retainer and committee fees pursuant to the MVW Deferred Compensation Plan. Includes $120,000 deferred by Mr. Andrews under the MVW Deferred Compensation Plan.</w:t>
      </w:r>
    </w:p>
    <w:p>
      <w:pPr>
        <w:spacing w:after="0" w:line="97" w:lineRule="exact"/>
        <w:rPr>
          <w:sz w:val="20"/>
          <w:szCs w:val="20"/>
          <w:color w:val="auto"/>
        </w:rPr>
      </w:pPr>
    </w:p>
    <w:p>
      <w:pPr>
        <w:ind w:left="180" w:right="260" w:hanging="172"/>
        <w:spacing w:after="0" w:line="227" w:lineRule="auto"/>
        <w:tabs>
          <w:tab w:leader="none" w:pos="302"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Directors may elect to receive their cash retainer and committee fees in the form of equity awards. Mr. Gellein and Ms. Tucker elected equity in lieu of their cash retainer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54</w:t>
            </w:r>
          </w:p>
        </w:tc>
      </w:tr>
      <w:tr>
        <w:trPr>
          <w:trHeight w:val="196"/>
        </w:trPr>
        <w:tc>
          <w:tcPr>
            <w:tcW w:w="7200" w:type="dxa"/>
            <w:vAlign w:val="bottom"/>
            <w:tcBorders>
              <w:bottom w:val="single" w:sz="8" w:color="9A9A9A"/>
            </w:tcBorders>
          </w:tcPr>
          <w:p>
            <w:pPr>
              <w:spacing w:after="0"/>
              <w:rPr>
                <w:sz w:val="17"/>
                <w:szCs w:val="17"/>
                <w:color w:val="auto"/>
              </w:rPr>
            </w:pPr>
          </w:p>
        </w:tc>
        <w:tc>
          <w:tcPr>
            <w:tcW w:w="40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59" w:name="page60"/>
    <w:bookmarkEnd w:id="59"/>
    <w:p>
      <w:pPr>
        <w:ind w:left="280" w:hanging="272"/>
        <w:spacing w:after="0"/>
        <w:tabs>
          <w:tab w:leader="none" w:pos="280"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The following table indicates the number of outstanding equity awards held by each non-employee director as of December 31, 2022.</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004E7D"/>
              </w:rPr>
              <w:t>Number of Securities</w:t>
            </w:r>
          </w:p>
        </w:tc>
        <w:tc>
          <w:tcPr>
            <w:tcW w:w="2040" w:type="dxa"/>
            <w:vAlign w:val="bottom"/>
          </w:tcPr>
          <w:p>
            <w:pPr>
              <w:jc w:val="center"/>
              <w:ind w:left="121"/>
              <w:spacing w:after="0"/>
              <w:rPr>
                <w:sz w:val="20"/>
                <w:szCs w:val="20"/>
                <w:color w:val="auto"/>
              </w:rPr>
            </w:pPr>
            <w:r>
              <w:rPr>
                <w:rFonts w:ascii="Arial" w:cs="Arial" w:eastAsia="Arial" w:hAnsi="Arial"/>
                <w:sz w:val="14"/>
                <w:szCs w:val="14"/>
                <w:b w:val="1"/>
                <w:bCs w:val="1"/>
                <w:color w:val="004E7D"/>
              </w:rPr>
              <w:t>Number of</w:t>
            </w:r>
          </w:p>
        </w:tc>
        <w:tc>
          <w:tcPr>
            <w:tcW w:w="1600" w:type="dxa"/>
            <w:vAlign w:val="bottom"/>
          </w:tcPr>
          <w:p>
            <w:pPr>
              <w:jc w:val="center"/>
              <w:ind w:left="81"/>
              <w:spacing w:after="0"/>
              <w:rPr>
                <w:sz w:val="20"/>
                <w:szCs w:val="20"/>
                <w:color w:val="auto"/>
              </w:rPr>
            </w:pPr>
            <w:r>
              <w:rPr>
                <w:rFonts w:ascii="Arial" w:cs="Arial" w:eastAsia="Arial" w:hAnsi="Arial"/>
                <w:sz w:val="14"/>
                <w:szCs w:val="14"/>
                <w:b w:val="1"/>
                <w:bCs w:val="1"/>
                <w:color w:val="004E7D"/>
              </w:rPr>
              <w:t>Number of</w:t>
            </w:r>
          </w:p>
        </w:tc>
      </w:tr>
      <w:tr>
        <w:trPr>
          <w:trHeight w:val="135"/>
        </w:trPr>
        <w:tc>
          <w:tcPr>
            <w:tcW w:w="19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Underlying Unexercised</w:t>
            </w:r>
          </w:p>
        </w:tc>
        <w:tc>
          <w:tcPr>
            <w:tcW w:w="2040" w:type="dxa"/>
            <w:vAlign w:val="bottom"/>
          </w:tcPr>
          <w:p>
            <w:pPr>
              <w:jc w:val="center"/>
              <w:ind w:left="101"/>
              <w:spacing w:after="0" w:line="135" w:lineRule="exact"/>
              <w:rPr>
                <w:sz w:val="20"/>
                <w:szCs w:val="20"/>
                <w:color w:val="auto"/>
              </w:rPr>
            </w:pPr>
            <w:r>
              <w:rPr>
                <w:rFonts w:ascii="Arial" w:cs="Arial" w:eastAsia="Arial" w:hAnsi="Arial"/>
                <w:sz w:val="14"/>
                <w:szCs w:val="14"/>
                <w:b w:val="1"/>
                <w:bCs w:val="1"/>
                <w:color w:val="004E7D"/>
              </w:rPr>
              <w:t>Shares or Units</w:t>
            </w:r>
          </w:p>
        </w:tc>
        <w:tc>
          <w:tcPr>
            <w:tcW w:w="1600" w:type="dxa"/>
            <w:vAlign w:val="bottom"/>
          </w:tcPr>
          <w:p>
            <w:pPr>
              <w:jc w:val="center"/>
              <w:ind w:left="101"/>
              <w:spacing w:after="0" w:line="135" w:lineRule="exact"/>
              <w:rPr>
                <w:sz w:val="20"/>
                <w:szCs w:val="20"/>
                <w:color w:val="auto"/>
              </w:rPr>
            </w:pPr>
            <w:r>
              <w:rPr>
                <w:rFonts w:ascii="Arial" w:cs="Arial" w:eastAsia="Arial" w:hAnsi="Arial"/>
                <w:sz w:val="14"/>
                <w:szCs w:val="14"/>
                <w:b w:val="1"/>
                <w:bCs w:val="1"/>
                <w:color w:val="004E7D"/>
              </w:rPr>
              <w:t>Shares or Units</w:t>
            </w:r>
          </w:p>
        </w:tc>
      </w:t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40" w:type="dxa"/>
            <w:vAlign w:val="bottom"/>
            <w:tcBorders>
              <w:bottom w:val="single" w:sz="8" w:color="004987"/>
            </w:tcBorders>
          </w:tcPr>
          <w:p>
            <w:pPr>
              <w:spacing w:after="0"/>
              <w:rPr>
                <w:sz w:val="14"/>
                <w:szCs w:val="14"/>
                <w:color w:val="auto"/>
              </w:rPr>
            </w:pPr>
          </w:p>
        </w:tc>
        <w:tc>
          <w:tcPr>
            <w:tcW w:w="1920" w:type="dxa"/>
            <w:vAlign w:val="bottom"/>
            <w:tcBorders>
              <w:bottom w:val="single" w:sz="8" w:color="004987"/>
            </w:tcBorders>
          </w:tcPr>
          <w:p>
            <w:pPr>
              <w:jc w:val="center"/>
              <w:ind w:right="860"/>
              <w:spacing w:after="0"/>
              <w:rPr>
                <w:sz w:val="20"/>
                <w:szCs w:val="20"/>
                <w:color w:val="auto"/>
              </w:rPr>
            </w:pPr>
            <w:r>
              <w:rPr>
                <w:rFonts w:ascii="Arial" w:cs="Arial" w:eastAsia="Arial" w:hAnsi="Arial"/>
                <w:sz w:val="14"/>
                <w:szCs w:val="14"/>
                <w:b w:val="1"/>
                <w:bCs w:val="1"/>
                <w:color w:val="004E7D"/>
              </w:rPr>
              <w:t>Options/SARs</w:t>
            </w:r>
          </w:p>
        </w:tc>
        <w:tc>
          <w:tcPr>
            <w:tcW w:w="2040" w:type="dxa"/>
            <w:vAlign w:val="bottom"/>
          </w:tcPr>
          <w:p>
            <w:pPr>
              <w:jc w:val="center"/>
              <w:ind w:left="101"/>
              <w:spacing w:after="0"/>
              <w:rPr>
                <w:sz w:val="20"/>
                <w:szCs w:val="20"/>
                <w:color w:val="auto"/>
              </w:rPr>
            </w:pPr>
            <w:r>
              <w:rPr>
                <w:rFonts w:ascii="Arial" w:cs="Arial" w:eastAsia="Arial" w:hAnsi="Arial"/>
                <w:sz w:val="14"/>
                <w:szCs w:val="14"/>
                <w:b w:val="1"/>
                <w:bCs w:val="1"/>
                <w:color w:val="004E7D"/>
              </w:rPr>
              <w:t>of Stock That</w:t>
            </w:r>
          </w:p>
        </w:tc>
        <w:tc>
          <w:tcPr>
            <w:tcW w:w="1600" w:type="dxa"/>
            <w:vAlign w:val="bottom"/>
          </w:tcPr>
          <w:p>
            <w:pPr>
              <w:jc w:val="center"/>
              <w:ind w:left="101"/>
              <w:spacing w:after="0"/>
              <w:rPr>
                <w:sz w:val="20"/>
                <w:szCs w:val="20"/>
                <w:color w:val="auto"/>
              </w:rPr>
            </w:pPr>
            <w:r>
              <w:rPr>
                <w:rFonts w:ascii="Arial" w:cs="Arial" w:eastAsia="Arial" w:hAnsi="Arial"/>
                <w:sz w:val="14"/>
                <w:szCs w:val="14"/>
                <w:b w:val="1"/>
                <w:bCs w:val="1"/>
                <w:color w:val="004E7D"/>
              </w:rPr>
              <w:t>of Stock That</w:t>
            </w:r>
          </w:p>
        </w:tc>
      </w:tr>
      <w:tr>
        <w:trPr>
          <w:trHeight w:val="203"/>
        </w:trPr>
        <w:tc>
          <w:tcPr>
            <w:tcW w:w="1940" w:type="dxa"/>
            <w:vAlign w:val="bottom"/>
            <w:tcBorders>
              <w:bottom w:val="single" w:sz="8" w:color="004987"/>
            </w:tcBorders>
          </w:tcPr>
          <w:p>
            <w:pPr>
              <w:ind w:left="20"/>
              <w:spacing w:after="0"/>
              <w:rPr>
                <w:sz w:val="20"/>
                <w:szCs w:val="20"/>
                <w:color w:val="auto"/>
              </w:rPr>
            </w:pPr>
            <w:r>
              <w:rPr>
                <w:rFonts w:ascii="Arial" w:cs="Arial" w:eastAsia="Arial" w:hAnsi="Arial"/>
                <w:sz w:val="14"/>
                <w:szCs w:val="14"/>
                <w:b w:val="1"/>
                <w:bCs w:val="1"/>
                <w:color w:val="004E7D"/>
              </w:rPr>
              <w:t>Name</w:t>
            </w:r>
          </w:p>
        </w:tc>
        <w:tc>
          <w:tcPr>
            <w:tcW w:w="2460" w:type="dxa"/>
            <w:vAlign w:val="bottom"/>
            <w:tcBorders>
              <w:bottom w:val="single" w:sz="8" w:color="004987"/>
            </w:tcBorders>
          </w:tcPr>
          <w:p>
            <w:pPr>
              <w:ind w:left="220"/>
              <w:spacing w:after="0"/>
              <w:rPr>
                <w:sz w:val="20"/>
                <w:szCs w:val="20"/>
                <w:color w:val="auto"/>
              </w:rPr>
            </w:pPr>
            <w:r>
              <w:rPr>
                <w:rFonts w:ascii="Arial" w:cs="Arial" w:eastAsia="Arial" w:hAnsi="Arial"/>
                <w:sz w:val="14"/>
                <w:szCs w:val="14"/>
                <w:b w:val="1"/>
                <w:bCs w:val="1"/>
                <w:color w:val="004E7D"/>
              </w:rPr>
              <w:t>Award Type</w:t>
            </w:r>
          </w:p>
        </w:tc>
        <w:tc>
          <w:tcPr>
            <w:tcW w:w="940" w:type="dxa"/>
            <w:vAlign w:val="bottom"/>
            <w:tcBorders>
              <w:bottom w:val="single" w:sz="8" w:color="004987"/>
            </w:tcBorders>
          </w:tcPr>
          <w:p>
            <w:pPr>
              <w:ind w:left="140"/>
              <w:spacing w:after="0"/>
              <w:rPr>
                <w:sz w:val="20"/>
                <w:szCs w:val="20"/>
                <w:color w:val="auto"/>
              </w:rPr>
            </w:pPr>
            <w:r>
              <w:rPr>
                <w:rFonts w:ascii="Arial" w:cs="Arial" w:eastAsia="Arial" w:hAnsi="Arial"/>
                <w:sz w:val="14"/>
                <w:szCs w:val="14"/>
                <w:b w:val="1"/>
                <w:bCs w:val="1"/>
                <w:color w:val="004E7D"/>
              </w:rPr>
              <w:t>Exercisable</w:t>
            </w:r>
          </w:p>
        </w:tc>
        <w:tc>
          <w:tcPr>
            <w:tcW w:w="1920" w:type="dxa"/>
            <w:vAlign w:val="bottom"/>
            <w:tcBorders>
              <w:bottom w:val="single" w:sz="8" w:color="004987"/>
            </w:tcBorders>
          </w:tcPr>
          <w:p>
            <w:pPr>
              <w:ind w:left="780"/>
              <w:spacing w:after="0"/>
              <w:rPr>
                <w:sz w:val="20"/>
                <w:szCs w:val="20"/>
                <w:color w:val="auto"/>
              </w:rPr>
            </w:pPr>
            <w:r>
              <w:rPr>
                <w:rFonts w:ascii="Arial" w:cs="Arial" w:eastAsia="Arial" w:hAnsi="Arial"/>
                <w:sz w:val="14"/>
                <w:szCs w:val="14"/>
                <w:b w:val="1"/>
                <w:bCs w:val="1"/>
                <w:color w:val="004E7D"/>
              </w:rPr>
              <w:t>Unexercisable</w:t>
            </w:r>
          </w:p>
        </w:tc>
        <w:tc>
          <w:tcPr>
            <w:tcW w:w="2040" w:type="dxa"/>
            <w:vAlign w:val="bottom"/>
            <w:tcBorders>
              <w:bottom w:val="single" w:sz="8" w:color="004987"/>
            </w:tcBorders>
          </w:tcPr>
          <w:p>
            <w:pPr>
              <w:jc w:val="center"/>
              <w:ind w:left="101"/>
              <w:spacing w:after="0"/>
              <w:rPr>
                <w:sz w:val="20"/>
                <w:szCs w:val="20"/>
                <w:color w:val="auto"/>
              </w:rPr>
            </w:pPr>
            <w:r>
              <w:rPr>
                <w:rFonts w:ascii="Arial" w:cs="Arial" w:eastAsia="Arial" w:hAnsi="Arial"/>
                <w:sz w:val="14"/>
                <w:szCs w:val="14"/>
                <w:b w:val="1"/>
                <w:bCs w:val="1"/>
                <w:color w:val="004E7D"/>
              </w:rPr>
              <w:t>Have Not Vested</w:t>
            </w:r>
          </w:p>
        </w:tc>
        <w:tc>
          <w:tcPr>
            <w:tcW w:w="1600" w:type="dxa"/>
            <w:vAlign w:val="bottom"/>
            <w:tcBorders>
              <w:bottom w:val="single" w:sz="8" w:color="004987"/>
            </w:tcBorders>
          </w:tcPr>
          <w:p>
            <w:pPr>
              <w:jc w:val="center"/>
              <w:ind w:left="101"/>
              <w:spacing w:after="0"/>
              <w:rPr>
                <w:sz w:val="20"/>
                <w:szCs w:val="20"/>
                <w:color w:val="auto"/>
              </w:rPr>
            </w:pPr>
            <w:r>
              <w:rPr>
                <w:rFonts w:ascii="Arial" w:cs="Arial" w:eastAsia="Arial" w:hAnsi="Arial"/>
                <w:sz w:val="14"/>
                <w:szCs w:val="14"/>
                <w:b w:val="1"/>
                <w:bCs w:val="1"/>
                <w:color w:val="004E7D"/>
              </w:rPr>
              <w:t>Have Vested</w:t>
            </w:r>
          </w:p>
        </w:tc>
      </w:tr>
      <w:tr>
        <w:trPr>
          <w:trHeight w:val="215"/>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William J. Shaw</w:t>
            </w: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33,263</w:t>
            </w:r>
          </w:p>
        </w:tc>
      </w:tr>
      <w:tr>
        <w:trPr>
          <w:trHeight w:val="210"/>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C.E. Andrews</w:t>
            </w: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15,821</w:t>
            </w:r>
          </w:p>
        </w:tc>
      </w:tr>
      <w:tr>
        <w:trPr>
          <w:trHeight w:val="209"/>
        </w:trPr>
        <w:tc>
          <w:tcPr>
            <w:tcW w:w="1940" w:type="dxa"/>
            <w:vAlign w:val="bottom"/>
          </w:tcPr>
          <w:p>
            <w:pPr>
              <w:ind w:left="20"/>
              <w:spacing w:after="0"/>
              <w:rPr>
                <w:sz w:val="20"/>
                <w:szCs w:val="20"/>
                <w:color w:val="auto"/>
              </w:rPr>
            </w:pPr>
            <w:r>
              <w:rPr>
                <w:rFonts w:ascii="Arial" w:cs="Arial" w:eastAsia="Arial" w:hAnsi="Arial"/>
                <w:sz w:val="16"/>
                <w:szCs w:val="16"/>
                <w:color w:val="auto"/>
              </w:rPr>
              <w:t>Lizanne Galbreath</w:t>
            </w:r>
          </w:p>
        </w:tc>
        <w:tc>
          <w:tcPr>
            <w:tcW w:w="2460" w:type="dxa"/>
            <w:vAlign w:val="bottom"/>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w:t>
            </w:r>
          </w:p>
        </w:tc>
        <w:tc>
          <w:tcPr>
            <w:tcW w:w="2040" w:type="dxa"/>
            <w:vAlign w:val="bottom"/>
          </w:tcPr>
          <w:p>
            <w:pPr>
              <w:ind w:left="1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1"/>
              <w:spacing w:after="0"/>
              <w:rPr>
                <w:sz w:val="20"/>
                <w:szCs w:val="20"/>
                <w:color w:val="auto"/>
              </w:rPr>
            </w:pPr>
            <w:r>
              <w:rPr>
                <w:rFonts w:ascii="Arial" w:cs="Arial" w:eastAsia="Arial" w:hAnsi="Arial"/>
                <w:sz w:val="16"/>
                <w:szCs w:val="16"/>
                <w:color w:val="auto"/>
              </w:rPr>
              <w:t>5,668</w:t>
            </w:r>
          </w:p>
        </w:tc>
      </w:tr>
      <w:tr>
        <w:trPr>
          <w:trHeight w:val="216"/>
        </w:trPr>
        <w:tc>
          <w:tcPr>
            <w:tcW w:w="19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Stock Units</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2,690</w:t>
            </w:r>
          </w:p>
        </w:tc>
      </w:tr>
      <w:tr>
        <w:trPr>
          <w:trHeight w:val="209"/>
        </w:trPr>
        <w:tc>
          <w:tcPr>
            <w:tcW w:w="1940" w:type="dxa"/>
            <w:vAlign w:val="bottom"/>
          </w:tcPr>
          <w:p>
            <w:pPr>
              <w:ind w:left="20"/>
              <w:spacing w:after="0"/>
              <w:rPr>
                <w:sz w:val="20"/>
                <w:szCs w:val="20"/>
                <w:color w:val="auto"/>
              </w:rPr>
            </w:pPr>
            <w:r>
              <w:rPr>
                <w:rFonts w:ascii="Arial" w:cs="Arial" w:eastAsia="Arial" w:hAnsi="Arial"/>
                <w:sz w:val="16"/>
                <w:szCs w:val="16"/>
                <w:color w:val="auto"/>
              </w:rPr>
              <w:t>Raymond L. Gellein, Jr.</w:t>
            </w:r>
          </w:p>
        </w:tc>
        <w:tc>
          <w:tcPr>
            <w:tcW w:w="2460" w:type="dxa"/>
            <w:vAlign w:val="bottom"/>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w:t>
            </w:r>
          </w:p>
        </w:tc>
        <w:tc>
          <w:tcPr>
            <w:tcW w:w="2040" w:type="dxa"/>
            <w:vAlign w:val="bottom"/>
          </w:tcPr>
          <w:p>
            <w:pPr>
              <w:ind w:left="1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1"/>
              <w:spacing w:after="0"/>
              <w:rPr>
                <w:sz w:val="20"/>
                <w:szCs w:val="20"/>
                <w:color w:val="auto"/>
              </w:rPr>
            </w:pPr>
            <w:r>
              <w:rPr>
                <w:rFonts w:ascii="Arial" w:cs="Arial" w:eastAsia="Arial" w:hAnsi="Arial"/>
                <w:sz w:val="16"/>
                <w:szCs w:val="16"/>
                <w:color w:val="auto"/>
              </w:rPr>
              <w:t>19,007</w:t>
            </w:r>
          </w:p>
        </w:tc>
      </w:tr>
      <w:tr>
        <w:trPr>
          <w:trHeight w:val="216"/>
        </w:trPr>
        <w:tc>
          <w:tcPr>
            <w:tcW w:w="19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Stock Units</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3,519</w:t>
            </w:r>
          </w:p>
        </w:tc>
      </w:tr>
      <w:tr>
        <w:trPr>
          <w:trHeight w:val="209"/>
        </w:trPr>
        <w:tc>
          <w:tcPr>
            <w:tcW w:w="1940" w:type="dxa"/>
            <w:vAlign w:val="bottom"/>
          </w:tcPr>
          <w:p>
            <w:pPr>
              <w:ind w:left="20"/>
              <w:spacing w:after="0"/>
              <w:rPr>
                <w:sz w:val="20"/>
                <w:szCs w:val="20"/>
                <w:color w:val="auto"/>
              </w:rPr>
            </w:pPr>
            <w:r>
              <w:rPr>
                <w:rFonts w:ascii="Arial" w:cs="Arial" w:eastAsia="Arial" w:hAnsi="Arial"/>
                <w:sz w:val="16"/>
                <w:szCs w:val="16"/>
                <w:color w:val="auto"/>
              </w:rPr>
              <w:t>Thomas J. Hutchison III</w:t>
            </w:r>
          </w:p>
        </w:tc>
        <w:tc>
          <w:tcPr>
            <w:tcW w:w="2460" w:type="dxa"/>
            <w:vAlign w:val="bottom"/>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w:t>
            </w:r>
          </w:p>
        </w:tc>
        <w:tc>
          <w:tcPr>
            <w:tcW w:w="2040" w:type="dxa"/>
            <w:vAlign w:val="bottom"/>
          </w:tcPr>
          <w:p>
            <w:pPr>
              <w:ind w:left="1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216"/>
        </w:trPr>
        <w:tc>
          <w:tcPr>
            <w:tcW w:w="19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Stock Units</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r>
      <w:tr>
        <w:trPr>
          <w:trHeight w:val="209"/>
        </w:trPr>
        <w:tc>
          <w:tcPr>
            <w:tcW w:w="1940" w:type="dxa"/>
            <w:vAlign w:val="bottom"/>
          </w:tcPr>
          <w:p>
            <w:pPr>
              <w:ind w:left="20"/>
              <w:spacing w:after="0"/>
              <w:rPr>
                <w:sz w:val="20"/>
                <w:szCs w:val="20"/>
                <w:color w:val="auto"/>
              </w:rPr>
            </w:pPr>
            <w:r>
              <w:rPr>
                <w:rFonts w:ascii="Arial" w:cs="Arial" w:eastAsia="Arial" w:hAnsi="Arial"/>
                <w:sz w:val="16"/>
                <w:szCs w:val="16"/>
                <w:color w:val="auto"/>
              </w:rPr>
              <w:t>Melquiades R. Martinez</w:t>
            </w:r>
          </w:p>
        </w:tc>
        <w:tc>
          <w:tcPr>
            <w:tcW w:w="2460" w:type="dxa"/>
            <w:vAlign w:val="bottom"/>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w:t>
            </w:r>
          </w:p>
        </w:tc>
        <w:tc>
          <w:tcPr>
            <w:tcW w:w="2040" w:type="dxa"/>
            <w:vAlign w:val="bottom"/>
          </w:tcPr>
          <w:p>
            <w:pPr>
              <w:ind w:left="1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1"/>
              <w:spacing w:after="0"/>
              <w:rPr>
                <w:sz w:val="20"/>
                <w:szCs w:val="20"/>
                <w:color w:val="auto"/>
              </w:rPr>
            </w:pPr>
            <w:r>
              <w:rPr>
                <w:rFonts w:ascii="Arial" w:cs="Arial" w:eastAsia="Arial" w:hAnsi="Arial"/>
                <w:sz w:val="16"/>
                <w:szCs w:val="16"/>
                <w:color w:val="auto"/>
              </w:rPr>
              <w:t>12,837</w:t>
            </w:r>
          </w:p>
        </w:tc>
      </w:tr>
      <w:tr>
        <w:trPr>
          <w:trHeight w:val="216"/>
        </w:trPr>
        <w:tc>
          <w:tcPr>
            <w:tcW w:w="19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Stock Units</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1,064</w:t>
            </w:r>
          </w:p>
        </w:tc>
      </w:tr>
      <w:tr>
        <w:trPr>
          <w:trHeight w:val="210"/>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William W. McCarten</w:t>
            </w: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20,926</w:t>
            </w:r>
          </w:p>
        </w:tc>
      </w:tr>
      <w:tr>
        <w:trPr>
          <w:trHeight w:val="209"/>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Dianna F. Morgan</w:t>
            </w: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13,258</w:t>
            </w:r>
          </w:p>
        </w:tc>
      </w:tr>
      <w:tr>
        <w:trPr>
          <w:trHeight w:val="209"/>
        </w:trPr>
        <w:tc>
          <w:tcPr>
            <w:tcW w:w="1940" w:type="dxa"/>
            <w:vAlign w:val="bottom"/>
          </w:tcPr>
          <w:p>
            <w:pPr>
              <w:ind w:left="20"/>
              <w:spacing w:after="0"/>
              <w:rPr>
                <w:sz w:val="20"/>
                <w:szCs w:val="20"/>
                <w:color w:val="auto"/>
              </w:rPr>
            </w:pPr>
            <w:r>
              <w:rPr>
                <w:rFonts w:ascii="Arial" w:cs="Arial" w:eastAsia="Arial" w:hAnsi="Arial"/>
                <w:sz w:val="16"/>
                <w:szCs w:val="16"/>
                <w:color w:val="auto"/>
              </w:rPr>
              <w:t>Stephen R. Quazzo</w:t>
            </w:r>
          </w:p>
        </w:tc>
        <w:tc>
          <w:tcPr>
            <w:tcW w:w="2460" w:type="dxa"/>
            <w:vAlign w:val="bottom"/>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w:t>
            </w:r>
          </w:p>
        </w:tc>
        <w:tc>
          <w:tcPr>
            <w:tcW w:w="2040" w:type="dxa"/>
            <w:vAlign w:val="bottom"/>
          </w:tcPr>
          <w:p>
            <w:pPr>
              <w:ind w:left="1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1"/>
              <w:spacing w:after="0"/>
              <w:rPr>
                <w:sz w:val="20"/>
                <w:szCs w:val="20"/>
                <w:color w:val="auto"/>
              </w:rPr>
            </w:pPr>
            <w:r>
              <w:rPr>
                <w:rFonts w:ascii="Arial" w:cs="Arial" w:eastAsia="Arial" w:hAnsi="Arial"/>
                <w:sz w:val="16"/>
                <w:szCs w:val="16"/>
                <w:color w:val="auto"/>
              </w:rPr>
              <w:t>1,641</w:t>
            </w:r>
          </w:p>
        </w:tc>
      </w:tr>
      <w:tr>
        <w:trPr>
          <w:trHeight w:val="216"/>
        </w:trPr>
        <w:tc>
          <w:tcPr>
            <w:tcW w:w="19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Stock Units</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997</w:t>
            </w:r>
          </w:p>
        </w:tc>
      </w:tr>
      <w:tr>
        <w:trPr>
          <w:trHeight w:val="209"/>
        </w:trPr>
        <w:tc>
          <w:tcPr>
            <w:tcW w:w="1940" w:type="dxa"/>
            <w:vAlign w:val="bottom"/>
          </w:tcPr>
          <w:p>
            <w:pPr>
              <w:ind w:left="20"/>
              <w:spacing w:after="0"/>
              <w:rPr>
                <w:sz w:val="20"/>
                <w:szCs w:val="20"/>
                <w:color w:val="auto"/>
              </w:rPr>
            </w:pPr>
            <w:r>
              <w:rPr>
                <w:rFonts w:ascii="Arial" w:cs="Arial" w:eastAsia="Arial" w:hAnsi="Arial"/>
                <w:sz w:val="16"/>
                <w:szCs w:val="16"/>
                <w:color w:val="auto"/>
              </w:rPr>
              <w:t>Jonice G. Tucker</w:t>
            </w:r>
          </w:p>
        </w:tc>
        <w:tc>
          <w:tcPr>
            <w:tcW w:w="2460" w:type="dxa"/>
            <w:vAlign w:val="bottom"/>
          </w:tcPr>
          <w:p>
            <w:pPr>
              <w:ind w:left="220"/>
              <w:spacing w:after="0"/>
              <w:rPr>
                <w:sz w:val="20"/>
                <w:szCs w:val="20"/>
                <w:color w:val="auto"/>
              </w:rPr>
            </w:pPr>
            <w:r>
              <w:rPr>
                <w:rFonts w:ascii="Arial" w:cs="Arial" w:eastAsia="Arial" w:hAnsi="Arial"/>
                <w:sz w:val="16"/>
                <w:szCs w:val="16"/>
                <w:color w:val="auto"/>
              </w:rPr>
              <w:t>Non-Employee Director</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w:t>
            </w:r>
          </w:p>
        </w:tc>
        <w:tc>
          <w:tcPr>
            <w:tcW w:w="2040" w:type="dxa"/>
            <w:vAlign w:val="bottom"/>
          </w:tcPr>
          <w:p>
            <w:pPr>
              <w:ind w:left="1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1"/>
              <w:spacing w:after="0"/>
              <w:rPr>
                <w:sz w:val="20"/>
                <w:szCs w:val="20"/>
                <w:color w:val="auto"/>
              </w:rPr>
            </w:pPr>
            <w:r>
              <w:rPr>
                <w:rFonts w:ascii="Arial" w:cs="Arial" w:eastAsia="Arial" w:hAnsi="Arial"/>
                <w:sz w:val="16"/>
                <w:szCs w:val="16"/>
                <w:color w:val="auto"/>
              </w:rPr>
              <w:t>1,186</w:t>
            </w:r>
          </w:p>
        </w:tc>
      </w:tr>
      <w:tr>
        <w:trPr>
          <w:trHeight w:val="216"/>
        </w:trPr>
        <w:tc>
          <w:tcPr>
            <w:tcW w:w="1940" w:type="dxa"/>
            <w:vAlign w:val="bottom"/>
            <w:tcBorders>
              <w:bottom w:val="single" w:sz="8" w:color="00497F"/>
            </w:tcBorders>
          </w:tcPr>
          <w:p>
            <w:pPr>
              <w:spacing w:after="0"/>
              <w:rPr>
                <w:sz w:val="18"/>
                <w:szCs w:val="18"/>
                <w:color w:val="auto"/>
              </w:rPr>
            </w:pPr>
          </w:p>
        </w:tc>
        <w:tc>
          <w:tcPr>
            <w:tcW w:w="2460" w:type="dxa"/>
            <w:vAlign w:val="bottom"/>
            <w:tcBorders>
              <w:bottom w:val="single" w:sz="8" w:color="00497F"/>
            </w:tcBorders>
          </w:tcPr>
          <w:p>
            <w:pPr>
              <w:ind w:left="220"/>
              <w:spacing w:after="0"/>
              <w:rPr>
                <w:sz w:val="20"/>
                <w:szCs w:val="20"/>
                <w:color w:val="auto"/>
              </w:rPr>
            </w:pPr>
            <w:r>
              <w:rPr>
                <w:rFonts w:ascii="Arial" w:cs="Arial" w:eastAsia="Arial" w:hAnsi="Arial"/>
                <w:sz w:val="16"/>
                <w:szCs w:val="16"/>
                <w:color w:val="auto"/>
              </w:rPr>
              <w:t>Stock Units</w:t>
            </w:r>
          </w:p>
        </w:tc>
        <w:tc>
          <w:tcPr>
            <w:tcW w:w="940" w:type="dxa"/>
            <w:vAlign w:val="bottom"/>
            <w:tcBorders>
              <w:bottom w:val="single" w:sz="8" w:color="00497F"/>
            </w:tcBorders>
          </w:tcPr>
          <w:p>
            <w:pPr>
              <w:ind w:left="5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00497F"/>
            </w:tcBorders>
          </w:tcPr>
          <w:p>
            <w:pPr>
              <w:ind w:left="14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00497F"/>
            </w:tcBorders>
          </w:tcPr>
          <w:p>
            <w:pPr>
              <w:ind w:left="1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00497F"/>
            </w:tcBorders>
          </w:tcPr>
          <w:p>
            <w:pPr>
              <w:jc w:val="right"/>
              <w:ind w:right="141"/>
              <w:spacing w:after="0"/>
              <w:rPr>
                <w:sz w:val="20"/>
                <w:szCs w:val="20"/>
                <w:color w:val="auto"/>
              </w:rPr>
            </w:pPr>
            <w:r>
              <w:rPr>
                <w:rFonts w:ascii="Arial" w:cs="Arial" w:eastAsia="Arial" w:hAnsi="Arial"/>
                <w:sz w:val="16"/>
                <w:szCs w:val="16"/>
                <w:color w:val="auto"/>
              </w:rPr>
              <w:t>734</w:t>
            </w:r>
          </w:p>
        </w:tc>
      </w:tr>
    </w:tbl>
    <w:p>
      <w:pPr>
        <w:spacing w:after="0" w:line="188" w:lineRule="exact"/>
        <w:rPr>
          <w:sz w:val="20"/>
          <w:szCs w:val="20"/>
          <w:color w:val="auto"/>
        </w:rPr>
      </w:pPr>
    </w:p>
    <w:p>
      <w:pPr>
        <w:ind w:left="180" w:right="840" w:hanging="172"/>
        <w:spacing w:after="0" w:line="227" w:lineRule="auto"/>
        <w:tabs>
          <w:tab w:leader="none" w:pos="299"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The values reported equal the excess of the return on amounts credited to accounts in the MVW Deferred Compensation Plan at the annually designated rate of return over 120% of the applicable federal long-term rate.</w:t>
      </w:r>
    </w:p>
    <w:p>
      <w:pPr>
        <w:spacing w:after="0" w:line="57" w:lineRule="exact"/>
        <w:rPr>
          <w:sz w:val="20"/>
          <w:szCs w:val="20"/>
          <w:color w:val="auto"/>
        </w:rPr>
      </w:pPr>
    </w:p>
    <w:p>
      <w:pPr>
        <w:ind w:left="120" w:hanging="112"/>
        <w:spacing w:after="0"/>
        <w:tabs>
          <w:tab w:leader="none" w:pos="120"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Mr. Hutchison’s term expired at the 2022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w:t>
      </w:r>
    </w:p>
    <w:p>
      <w:pPr>
        <w:spacing w:after="0" w:line="11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Our non-employee directors are eligible to participate in the MVW Deferred Compensation Plan. A non-employee director may defer receipt of all or part of any non-employee director fees until such future date as he or she elects in accordance with the terms of the MVW Deferred Compensation Plan. A non-employee director may elect to receive his or her deferred amounts in a lump sum or in installments over five, ten, fifteen or twenty years at either a separation from service or upon any of the first five anniversaries of a separation from service. Alternatively, he or she may elect to receive his or her deferred amounts in a lump sum in January of a specified year.</w:t>
      </w: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2022, participants were able to select a fixed rate of return of 3.5% or a rate of return based on various market-based investment alternatives, such as mutual funds with various investment profiles, and were also able to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of which the Company is the grantor. For 2022, participants may select a rate of return based on market-based investment alternatives for up to 100% of their contributions and existing balances. Earnings under the MVW Deferred Compensation Plan that were credited at a fixed rate of interest in excess of 120% of the applicable federal long-term rate are reported in the Change in Pension Value and Nonqualified Deferred Compensation Earnings column.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Clawbacks</w:t>
      </w:r>
    </w:p>
    <w:p>
      <w:pPr>
        <w:spacing w:after="0" w:line="13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our clawback policy, the Board may recoup any compensation received by a director who has engaged in conduct that violates our Business Conduct Guide or in willful misconduct or fraud that causes harm to the Company. Compensation received up to three years prior to the willful misconduct or fraud and after the date of the adoption of the policy is subject to potential recoupment under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55</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Stock Ownership Guidelines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Under our stock ownership guidelines, non-employee directors are required to own shares of our stock with a value equal to five times their Board cash retainer for the fiscal year for which compliance is being evaluated. For purposes of determining compliance with the guidelines, the following are considered shares owned by the director: shares owned by the director and his or her spouse; shares held by a trust if any beneficiaries of which are the director or his or her family members; shares held jointly with others; restricted stock awards; restricted stock unit awards; Non-Employee Director Share Awards; and share equivalents deferred in accordance with our plans. Shares underlying options and SARs are not considered owned by the director. The CPC receives an annual report of the ownership achieved by each director as of the end of the fiscal year, with the achievement level determined by reference to the average of the closing prices of our common stock for the 20 trading days ending on the last trading day of the fiscal year. As of the end of 2022, all directors had achieved the required ownership levels with the exception of a director who was newly appointed in November 2021, who has until the end of 2026 to become compliant.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Pledging, Hedging, and Derivative Transactions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Employees, officers and directors are prohibited from including the Company’s stock or other securities in a margin account or pledging such securities as collateral for a loan or shorting the sale of our stock or securities. These persons are further prohibited from buying, selling, writing or otherwise entering into any other “derivative” transaction related to our stock or securities, including options, warrants, puts, calls, and similar rights that have an exercise or conversion privilege that is related to the price of our securities, or similar securities with a value derived from the value of our securities (in each case, other than the receipt or exercise of employee stock options or other derivative securities that we issue to employees, officers or directors pursuant to Company compensation plans). This prohibition of derivative transactions extends to any transactions designed to hedge or offset, or that have the effect of hedging or offsetting, any decrease in the market value of our securities. As such, employees, officers and directors may not utilize financial instruments, such as prepaid variable forwards, equity swaps, collars or exchange funds.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004E7D"/>
        </w:rPr>
        <w:t>SECURITIES AUTHORIZED FOR ISSUANCE UNDER 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the securities authorized for issuance under our equity compensation plans as of December 31,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60" w:type="dxa"/>
            <w:vAlign w:val="bottom"/>
          </w:tcPr>
          <w:p>
            <w:pPr>
              <w:jc w:val="center"/>
              <w:ind w:left="25"/>
              <w:spacing w:after="0"/>
              <w:rPr>
                <w:sz w:val="20"/>
                <w:szCs w:val="20"/>
                <w:color w:val="auto"/>
              </w:rPr>
            </w:pPr>
            <w:r>
              <w:rPr>
                <w:rFonts w:ascii="Arial" w:cs="Arial" w:eastAsia="Arial" w:hAnsi="Arial"/>
                <w:sz w:val="14"/>
                <w:szCs w:val="14"/>
                <w:b w:val="1"/>
                <w:bCs w:val="1"/>
                <w:color w:val="004E7D"/>
              </w:rPr>
              <w:t>Number of Securities</w:t>
            </w:r>
          </w:p>
        </w:tc>
        <w:tc>
          <w:tcPr>
            <w:tcW w:w="2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4E7D"/>
              </w:rPr>
              <w:t>Weighted Average</w:t>
            </w:r>
          </w:p>
        </w:tc>
        <w:tc>
          <w:tcPr>
            <w:tcW w:w="2220" w:type="dxa"/>
            <w:vAlign w:val="bottom"/>
            <w:gridSpan w:val="3"/>
          </w:tcPr>
          <w:p>
            <w:pPr>
              <w:jc w:val="center"/>
              <w:ind w:left="65"/>
              <w:spacing w:after="0"/>
              <w:rPr>
                <w:sz w:val="20"/>
                <w:szCs w:val="20"/>
                <w:color w:val="auto"/>
              </w:rPr>
            </w:pPr>
            <w:r>
              <w:rPr>
                <w:rFonts w:ascii="Arial" w:cs="Arial" w:eastAsia="Arial" w:hAnsi="Arial"/>
                <w:sz w:val="14"/>
                <w:szCs w:val="14"/>
                <w:b w:val="1"/>
                <w:bCs w:val="1"/>
                <w:color w:val="004E7D"/>
              </w:rPr>
              <w:t>Number of Securities</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2260" w:type="dxa"/>
            <w:vAlign w:val="bottom"/>
          </w:tcPr>
          <w:p>
            <w:pPr>
              <w:jc w:val="center"/>
              <w:ind w:left="25"/>
              <w:spacing w:after="0" w:line="145" w:lineRule="exact"/>
              <w:rPr>
                <w:sz w:val="20"/>
                <w:szCs w:val="20"/>
                <w:color w:val="auto"/>
              </w:rPr>
            </w:pPr>
            <w:r>
              <w:rPr>
                <w:rFonts w:ascii="Arial" w:cs="Arial" w:eastAsia="Arial" w:hAnsi="Arial"/>
                <w:sz w:val="14"/>
                <w:szCs w:val="14"/>
                <w:b w:val="1"/>
                <w:bCs w:val="1"/>
                <w:color w:val="004E7D"/>
              </w:rPr>
              <w:t>to be Issued Upon</w:t>
            </w:r>
          </w:p>
        </w:tc>
        <w:tc>
          <w:tcPr>
            <w:tcW w:w="2200" w:type="dxa"/>
            <w:vAlign w:val="bottom"/>
            <w:gridSpan w:val="2"/>
            <w:vMerge w:val="continue"/>
          </w:tcPr>
          <w:p>
            <w:pPr>
              <w:spacing w:after="0"/>
              <w:rPr>
                <w:sz w:val="12"/>
                <w:szCs w:val="12"/>
                <w:color w:val="auto"/>
              </w:rPr>
            </w:pPr>
          </w:p>
        </w:tc>
        <w:tc>
          <w:tcPr>
            <w:tcW w:w="2220" w:type="dxa"/>
            <w:vAlign w:val="bottom"/>
            <w:gridSpan w:val="3"/>
          </w:tcPr>
          <w:p>
            <w:pPr>
              <w:jc w:val="center"/>
              <w:ind w:left="45"/>
              <w:spacing w:after="0" w:line="145" w:lineRule="exact"/>
              <w:rPr>
                <w:sz w:val="20"/>
                <w:szCs w:val="20"/>
                <w:color w:val="auto"/>
              </w:rPr>
            </w:pPr>
            <w:r>
              <w:rPr>
                <w:rFonts w:ascii="Arial" w:cs="Arial" w:eastAsia="Arial" w:hAnsi="Arial"/>
                <w:sz w:val="14"/>
                <w:szCs w:val="14"/>
                <w:b w:val="1"/>
                <w:bCs w:val="1"/>
                <w:color w:val="004E7D"/>
              </w:rPr>
              <w:t>Remaining Available for</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2260" w:type="dxa"/>
            <w:vAlign w:val="bottom"/>
          </w:tcPr>
          <w:p>
            <w:pPr>
              <w:jc w:val="center"/>
              <w:ind w:left="25"/>
              <w:spacing w:after="0" w:line="135" w:lineRule="exact"/>
              <w:rPr>
                <w:sz w:val="20"/>
                <w:szCs w:val="20"/>
                <w:color w:val="auto"/>
              </w:rPr>
            </w:pPr>
            <w:r>
              <w:rPr>
                <w:rFonts w:ascii="Arial" w:cs="Arial" w:eastAsia="Arial" w:hAnsi="Arial"/>
                <w:sz w:val="14"/>
                <w:szCs w:val="14"/>
                <w:b w:val="1"/>
                <w:bCs w:val="1"/>
                <w:color w:val="004E7D"/>
              </w:rPr>
              <w:t>Exercise of</w:t>
            </w:r>
          </w:p>
        </w:tc>
        <w:tc>
          <w:tcPr>
            <w:tcW w:w="2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4E7D"/>
              </w:rPr>
              <w:t>Exercise Price of</w:t>
            </w:r>
          </w:p>
        </w:tc>
        <w:tc>
          <w:tcPr>
            <w:tcW w:w="1880" w:type="dxa"/>
            <w:vAlign w:val="bottom"/>
            <w:gridSpan w:val="2"/>
          </w:tcPr>
          <w:p>
            <w:pPr>
              <w:jc w:val="center"/>
              <w:ind w:left="385"/>
              <w:spacing w:after="0" w:line="135" w:lineRule="exact"/>
              <w:rPr>
                <w:sz w:val="20"/>
                <w:szCs w:val="20"/>
                <w:color w:val="auto"/>
              </w:rPr>
            </w:pPr>
            <w:r>
              <w:rPr>
                <w:rFonts w:ascii="Arial" w:cs="Arial" w:eastAsia="Arial" w:hAnsi="Arial"/>
                <w:sz w:val="14"/>
                <w:szCs w:val="14"/>
                <w:b w:val="1"/>
                <w:bCs w:val="1"/>
                <w:color w:val="004E7D"/>
              </w:rPr>
              <w:t>Future Issuance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Plan Category</w:t>
            </w:r>
          </w:p>
        </w:tc>
        <w:tc>
          <w:tcPr>
            <w:tcW w:w="226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004E7D"/>
              </w:rPr>
              <w:t>Outstanding Options,</w:t>
            </w:r>
          </w:p>
        </w:tc>
        <w:tc>
          <w:tcPr>
            <w:tcW w:w="2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4E7D"/>
              </w:rPr>
              <w:t>Outstanding Options,</w:t>
            </w:r>
          </w:p>
        </w:tc>
        <w:tc>
          <w:tcPr>
            <w:tcW w:w="720" w:type="dxa"/>
            <w:vAlign w:val="bottom"/>
          </w:tcPr>
          <w:p>
            <w:pPr>
              <w:spacing w:after="0"/>
              <w:rPr>
                <w:sz w:val="12"/>
                <w:szCs w:val="12"/>
                <w:color w:val="auto"/>
              </w:rPr>
            </w:pPr>
          </w:p>
        </w:tc>
        <w:tc>
          <w:tcPr>
            <w:tcW w:w="11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004E7D"/>
              </w:rPr>
              <w:t>Under Equity</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004987"/>
            </w:tcBorders>
            <w:vMerge w:val="continue"/>
          </w:tcPr>
          <w:p>
            <w:pPr>
              <w:spacing w:after="0"/>
              <w:rPr>
                <w:sz w:val="17"/>
                <w:szCs w:val="17"/>
                <w:color w:val="auto"/>
              </w:rPr>
            </w:pPr>
          </w:p>
        </w:tc>
        <w:tc>
          <w:tcPr>
            <w:tcW w:w="2260" w:type="dxa"/>
            <w:vAlign w:val="bottom"/>
            <w:tcBorders>
              <w:bottom w:val="single" w:sz="8" w:color="004987"/>
            </w:tcBorders>
          </w:tcPr>
          <w:p>
            <w:pPr>
              <w:jc w:val="center"/>
              <w:ind w:left="25"/>
              <w:spacing w:after="0"/>
              <w:rPr>
                <w:sz w:val="20"/>
                <w:szCs w:val="20"/>
                <w:color w:val="auto"/>
              </w:rPr>
            </w:pPr>
            <w:r>
              <w:rPr>
                <w:rFonts w:ascii="Arial" w:cs="Arial" w:eastAsia="Arial" w:hAnsi="Arial"/>
                <w:sz w:val="14"/>
                <w:szCs w:val="14"/>
                <w:b w:val="1"/>
                <w:bCs w:val="1"/>
                <w:color w:val="004E7D"/>
              </w:rPr>
              <w:t>Warrants and Rights</w:t>
            </w:r>
          </w:p>
        </w:tc>
        <w:tc>
          <w:tcPr>
            <w:tcW w:w="2200" w:type="dxa"/>
            <w:vAlign w:val="bottom"/>
            <w:tcBorders>
              <w:bottom w:val="single" w:sz="8" w:color="004987"/>
            </w:tcBorders>
            <w:gridSpan w:val="2"/>
          </w:tcPr>
          <w:p>
            <w:pPr>
              <w:jc w:val="center"/>
              <w:spacing w:after="0"/>
              <w:rPr>
                <w:sz w:val="20"/>
                <w:szCs w:val="20"/>
                <w:color w:val="auto"/>
              </w:rPr>
            </w:pPr>
            <w:r>
              <w:rPr>
                <w:rFonts w:ascii="Arial" w:cs="Arial" w:eastAsia="Arial" w:hAnsi="Arial"/>
                <w:sz w:val="14"/>
                <w:szCs w:val="14"/>
                <w:b w:val="1"/>
                <w:bCs w:val="1"/>
                <w:color w:val="004E7D"/>
              </w:rPr>
              <w:t>Warrants and Rights</w:t>
            </w:r>
          </w:p>
        </w:tc>
        <w:tc>
          <w:tcPr>
            <w:tcW w:w="1880" w:type="dxa"/>
            <w:vAlign w:val="bottom"/>
            <w:tcBorders>
              <w:bottom w:val="single" w:sz="8" w:color="004987"/>
            </w:tcBorders>
            <w:gridSpan w:val="2"/>
          </w:tcPr>
          <w:p>
            <w:pPr>
              <w:jc w:val="center"/>
              <w:ind w:left="385"/>
              <w:spacing w:after="0"/>
              <w:rPr>
                <w:sz w:val="20"/>
                <w:szCs w:val="20"/>
                <w:color w:val="auto"/>
              </w:rPr>
            </w:pPr>
            <w:r>
              <w:rPr>
                <w:rFonts w:ascii="Arial" w:cs="Arial" w:eastAsia="Arial" w:hAnsi="Arial"/>
                <w:sz w:val="14"/>
                <w:szCs w:val="14"/>
                <w:b w:val="1"/>
                <w:bCs w:val="1"/>
                <w:color w:val="004E7D"/>
              </w:rPr>
              <w:t>Compensation Plans</w:t>
            </w:r>
          </w:p>
        </w:tc>
        <w:tc>
          <w:tcPr>
            <w:tcW w:w="340" w:type="dxa"/>
            <w:vAlign w:val="bottom"/>
            <w:tcBorders>
              <w:bottom w:val="single" w:sz="8" w:color="00498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2260" w:type="dxa"/>
            <w:vAlign w:val="bottom"/>
            <w:tcBorders>
              <w:bottom w:val="single" w:sz="8" w:color="auto"/>
            </w:tcBorders>
          </w:tcPr>
          <w:p>
            <w:pPr>
              <w:jc w:val="right"/>
              <w:ind w:right="265"/>
              <w:spacing w:after="0" w:line="216" w:lineRule="exact"/>
              <w:rPr>
                <w:sz w:val="20"/>
                <w:szCs w:val="20"/>
                <w:color w:val="auto"/>
              </w:rPr>
            </w:pPr>
            <w:r>
              <w:rPr>
                <w:rFonts w:ascii="Arial" w:cs="Arial" w:eastAsia="Arial" w:hAnsi="Arial"/>
                <w:sz w:val="16"/>
                <w:szCs w:val="16"/>
                <w:color w:val="auto"/>
              </w:rPr>
              <w:t xml:space="preserve">1,710,019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114.32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1,326,282</w:t>
            </w: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2</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compensation plans not approved by stockholders</w:t>
            </w:r>
          </w:p>
        </w:tc>
        <w:tc>
          <w:tcPr>
            <w:tcW w:w="226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00497F"/>
            </w:tcBorders>
          </w:tcPr>
          <w:p>
            <w:pPr>
              <w:ind w:left="20"/>
              <w:spacing w:after="0"/>
              <w:rPr>
                <w:sz w:val="20"/>
                <w:szCs w:val="20"/>
                <w:color w:val="auto"/>
              </w:rPr>
            </w:pPr>
            <w:r>
              <w:rPr>
                <w:rFonts w:ascii="Arial" w:cs="Arial" w:eastAsia="Arial" w:hAnsi="Arial"/>
                <w:sz w:val="16"/>
                <w:szCs w:val="16"/>
                <w:b w:val="1"/>
                <w:bCs w:val="1"/>
                <w:color w:val="auto"/>
              </w:rPr>
              <w:t>Total</w:t>
            </w:r>
          </w:p>
        </w:tc>
        <w:tc>
          <w:tcPr>
            <w:tcW w:w="2260" w:type="dxa"/>
            <w:vAlign w:val="bottom"/>
            <w:tcBorders>
              <w:bottom w:val="single" w:sz="8" w:color="00497F"/>
            </w:tcBorders>
          </w:tcPr>
          <w:p>
            <w:pPr>
              <w:jc w:val="right"/>
              <w:ind w:right="425"/>
              <w:spacing w:after="0"/>
              <w:rPr>
                <w:sz w:val="20"/>
                <w:szCs w:val="20"/>
                <w:color w:val="auto"/>
              </w:rPr>
            </w:pPr>
            <w:r>
              <w:rPr>
                <w:rFonts w:ascii="Arial" w:cs="Arial" w:eastAsia="Arial" w:hAnsi="Arial"/>
                <w:sz w:val="16"/>
                <w:szCs w:val="16"/>
                <w:b w:val="1"/>
                <w:bCs w:val="1"/>
                <w:color w:val="auto"/>
              </w:rPr>
              <w:t>1,710,019</w:t>
            </w:r>
          </w:p>
        </w:tc>
        <w:tc>
          <w:tcPr>
            <w:tcW w:w="980" w:type="dxa"/>
            <w:vAlign w:val="bottom"/>
            <w:tcBorders>
              <w:bottom w:val="single" w:sz="8" w:color="00497F"/>
            </w:tcBorders>
          </w:tcPr>
          <w:p>
            <w:pPr>
              <w:jc w:val="right"/>
              <w:ind w:right="145"/>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00497F"/>
            </w:tcBorders>
          </w:tcPr>
          <w:p>
            <w:pPr>
              <w:jc w:val="right"/>
              <w:ind w:right="439"/>
              <w:spacing w:after="0"/>
              <w:rPr>
                <w:sz w:val="20"/>
                <w:szCs w:val="20"/>
                <w:color w:val="auto"/>
              </w:rPr>
            </w:pPr>
            <w:r>
              <w:rPr>
                <w:rFonts w:ascii="Arial" w:cs="Arial" w:eastAsia="Arial" w:hAnsi="Arial"/>
                <w:sz w:val="16"/>
                <w:szCs w:val="16"/>
                <w:b w:val="1"/>
                <w:bCs w:val="1"/>
                <w:color w:val="auto"/>
              </w:rPr>
              <w:t>114.32</w:t>
            </w:r>
          </w:p>
        </w:tc>
        <w:tc>
          <w:tcPr>
            <w:tcW w:w="720" w:type="dxa"/>
            <w:vAlign w:val="bottom"/>
            <w:tcBorders>
              <w:bottom w:val="single" w:sz="8" w:color="00497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97F"/>
            </w:tcBorders>
          </w:tcPr>
          <w:p>
            <w:pPr>
              <w:jc w:val="right"/>
              <w:ind w:right="1"/>
              <w:spacing w:after="0"/>
              <w:rPr>
                <w:sz w:val="20"/>
                <w:szCs w:val="20"/>
                <w:color w:val="auto"/>
              </w:rPr>
            </w:pPr>
            <w:r>
              <w:rPr>
                <w:rFonts w:ascii="Arial" w:cs="Arial" w:eastAsia="Arial" w:hAnsi="Arial"/>
                <w:sz w:val="16"/>
                <w:szCs w:val="16"/>
                <w:b w:val="1"/>
                <w:bCs w:val="1"/>
                <w:color w:val="auto"/>
              </w:rPr>
              <w:t>1,326,282</w:t>
            </w:r>
          </w:p>
        </w:tc>
        <w:tc>
          <w:tcPr>
            <w:tcW w:w="340" w:type="dxa"/>
            <w:vAlign w:val="bottom"/>
            <w:tcBorders>
              <w:bottom w:val="single" w:sz="8" w:color="00497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80" w:right="260" w:hanging="172"/>
        <w:spacing w:after="0" w:line="227" w:lineRule="auto"/>
        <w:tabs>
          <w:tab w:leader="none" w:pos="302" w:val="left"/>
        </w:tabs>
        <w:numPr>
          <w:ilvl w:val="0"/>
          <w:numId w:val="107"/>
        </w:numPr>
        <w:rPr>
          <w:rFonts w:ascii="Arial" w:cs="Arial" w:eastAsia="Arial" w:hAnsi="Arial"/>
          <w:sz w:val="21"/>
          <w:szCs w:val="21"/>
          <w:color w:val="auto"/>
          <w:vertAlign w:val="superscript"/>
        </w:rPr>
      </w:pPr>
      <w:r>
        <w:rPr>
          <w:rFonts w:ascii="Arial" w:cs="Arial" w:eastAsia="Arial" w:hAnsi="Arial"/>
          <w:sz w:val="16"/>
          <w:szCs w:val="16"/>
          <w:color w:val="auto"/>
        </w:rPr>
        <w:t>Includes 1,020,513 outstanding deferred stock bonus shares and RSUs, as well as Non-Employee Director Share Awards awarded to directors under our equity compensation plans, that are not included in the calculation of the Weighted-Average Exercise Price.</w:t>
      </w:r>
    </w:p>
    <w:p>
      <w:pPr>
        <w:spacing w:after="0" w:line="3" w:lineRule="exact"/>
        <w:rPr>
          <w:sz w:val="20"/>
          <w:szCs w:val="20"/>
          <w:color w:val="auto"/>
        </w:rPr>
      </w:pPr>
    </w:p>
    <w:p>
      <w:pPr>
        <w:ind w:left="300" w:hanging="292"/>
        <w:spacing w:after="0"/>
        <w:tabs>
          <w:tab w:leader="none" w:pos="300"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Consists of 961,829 shares available for issuance under our equity compensation plans and 364,453 shares available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56</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61" w:name="page62"/>
    <w:bookmarkEnd w:id="61"/>
    <w:p>
      <w:pPr>
        <w:spacing w:after="0"/>
        <w:rPr>
          <w:sz w:val="20"/>
          <w:szCs w:val="20"/>
          <w:color w:val="auto"/>
        </w:rPr>
      </w:pPr>
      <w:r>
        <w:rPr>
          <w:sz w:val="1"/>
          <w:szCs w:val="1"/>
          <w:color w:val="auto"/>
        </w:rPr>
        <w:drawing>
          <wp:inline distT="0" distB="0" distL="0" distR="0">
            <wp:extent cx="68580" cy="43688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STOCK OWNERSHIP</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STOCK OWNERSHIP OF OUR DIRECTORS, EXECUTIVE OFFICERS AND CERTAIN BENEFICIAL OWNERS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sets forth the beneficial ownership of the Company’s common stock as of February 28, 2023 (unless otherwise noted) by:</w:t>
      </w:r>
    </w:p>
    <w:p>
      <w:pPr>
        <w:spacing w:after="0" w:line="127" w:lineRule="exact"/>
        <w:rPr>
          <w:sz w:val="20"/>
          <w:szCs w:val="20"/>
          <w:color w:val="auto"/>
        </w:rPr>
      </w:pPr>
    </w:p>
    <w:p>
      <w:pPr>
        <w:ind w:left="380" w:right="100" w:hanging="170"/>
        <w:spacing w:after="0" w:line="286" w:lineRule="auto"/>
        <w:tabs>
          <w:tab w:leader="none" w:pos="455" w:val="left"/>
        </w:tabs>
        <w:numPr>
          <w:ilvl w:val="0"/>
          <w:numId w:val="109"/>
        </w:numPr>
        <w:rPr>
          <w:rFonts w:ascii="Arial" w:cs="Arial" w:eastAsia="Arial" w:hAnsi="Arial"/>
          <w:sz w:val="16"/>
          <w:szCs w:val="16"/>
          <w:color w:val="004E7D"/>
        </w:rPr>
      </w:pPr>
      <w:r>
        <w:rPr>
          <w:rFonts w:ascii="Arial" w:cs="Arial" w:eastAsia="Arial" w:hAnsi="Arial"/>
          <w:sz w:val="16"/>
          <w:szCs w:val="16"/>
          <w:color w:val="auto"/>
        </w:rPr>
        <w:t>those persons or entities (or group of affiliated persons or entities) known by management to beneficially own more than 5% of the outstanding shares of the Company’s common stock;</w:t>
      </w:r>
    </w:p>
    <w:p>
      <w:pPr>
        <w:spacing w:after="0" w:line="61" w:lineRule="exact"/>
        <w:rPr>
          <w:rFonts w:ascii="Arial" w:cs="Arial" w:eastAsia="Arial" w:hAnsi="Arial"/>
          <w:sz w:val="16"/>
          <w:szCs w:val="16"/>
          <w:color w:val="004E7D"/>
        </w:rPr>
      </w:pPr>
    </w:p>
    <w:p>
      <w:pPr>
        <w:ind w:left="440" w:hanging="230"/>
        <w:spacing w:after="0"/>
        <w:tabs>
          <w:tab w:leader="none" w:pos="440" w:val="left"/>
        </w:tabs>
        <w:numPr>
          <w:ilvl w:val="0"/>
          <w:numId w:val="109"/>
        </w:numPr>
        <w:rPr>
          <w:rFonts w:ascii="Arial" w:cs="Arial" w:eastAsia="Arial" w:hAnsi="Arial"/>
          <w:sz w:val="16"/>
          <w:szCs w:val="16"/>
          <w:color w:val="004E7D"/>
        </w:rPr>
      </w:pPr>
      <w:r>
        <w:rPr>
          <w:rFonts w:ascii="Arial" w:cs="Arial" w:eastAsia="Arial" w:hAnsi="Arial"/>
          <w:sz w:val="16"/>
          <w:szCs w:val="16"/>
          <w:color w:val="auto"/>
        </w:rPr>
        <w:t>each director and director nominee of the Company;</w:t>
      </w:r>
    </w:p>
    <w:p>
      <w:pPr>
        <w:spacing w:after="0" w:line="113" w:lineRule="exact"/>
        <w:rPr>
          <w:rFonts w:ascii="Arial" w:cs="Arial" w:eastAsia="Arial" w:hAnsi="Arial"/>
          <w:sz w:val="16"/>
          <w:szCs w:val="16"/>
          <w:color w:val="004E7D"/>
        </w:rPr>
      </w:pPr>
    </w:p>
    <w:p>
      <w:pPr>
        <w:ind w:left="440" w:hanging="230"/>
        <w:spacing w:after="0"/>
        <w:tabs>
          <w:tab w:leader="none" w:pos="440" w:val="left"/>
        </w:tabs>
        <w:numPr>
          <w:ilvl w:val="0"/>
          <w:numId w:val="109"/>
        </w:numPr>
        <w:rPr>
          <w:rFonts w:ascii="Arial" w:cs="Arial" w:eastAsia="Arial" w:hAnsi="Arial"/>
          <w:sz w:val="16"/>
          <w:szCs w:val="16"/>
          <w:color w:val="004E7D"/>
        </w:rPr>
      </w:pPr>
      <w:r>
        <w:rPr>
          <w:rFonts w:ascii="Arial" w:cs="Arial" w:eastAsia="Arial" w:hAnsi="Arial"/>
          <w:sz w:val="16"/>
          <w:szCs w:val="16"/>
          <w:color w:val="auto"/>
        </w:rPr>
        <w:t>each named executive officer of the Company; and</w:t>
      </w:r>
    </w:p>
    <w:p>
      <w:pPr>
        <w:spacing w:after="0" w:line="113" w:lineRule="exact"/>
        <w:rPr>
          <w:rFonts w:ascii="Arial" w:cs="Arial" w:eastAsia="Arial" w:hAnsi="Arial"/>
          <w:sz w:val="16"/>
          <w:szCs w:val="16"/>
          <w:color w:val="004E7D"/>
        </w:rPr>
      </w:pPr>
    </w:p>
    <w:p>
      <w:pPr>
        <w:ind w:left="440" w:hanging="230"/>
        <w:spacing w:after="0"/>
        <w:tabs>
          <w:tab w:leader="none" w:pos="440" w:val="left"/>
        </w:tabs>
        <w:numPr>
          <w:ilvl w:val="0"/>
          <w:numId w:val="109"/>
        </w:numPr>
        <w:rPr>
          <w:rFonts w:ascii="Arial" w:cs="Arial" w:eastAsia="Arial" w:hAnsi="Arial"/>
          <w:sz w:val="16"/>
          <w:szCs w:val="16"/>
          <w:color w:val="004E7D"/>
        </w:rPr>
      </w:pPr>
      <w:r>
        <w:rPr>
          <w:rFonts w:ascii="Arial" w:cs="Arial" w:eastAsia="Arial" w:hAnsi="Arial"/>
          <w:sz w:val="16"/>
          <w:szCs w:val="16"/>
          <w:color w:val="auto"/>
        </w:rPr>
        <w:t>all of the current executive officers and directors of the Company as a group.</w:t>
      </w:r>
    </w:p>
    <w:p>
      <w:pPr>
        <w:spacing w:after="0" w:line="127" w:lineRule="exact"/>
        <w:rPr>
          <w:sz w:val="20"/>
          <w:szCs w:val="20"/>
          <w:color w:val="auto"/>
        </w:rPr>
      </w:pPr>
    </w:p>
    <w:p>
      <w:pPr>
        <w:ind w:left="40" w:right="540"/>
        <w:spacing w:after="0" w:line="286" w:lineRule="auto"/>
        <w:rPr>
          <w:sz w:val="20"/>
          <w:szCs w:val="20"/>
          <w:color w:val="auto"/>
        </w:rPr>
      </w:pPr>
      <w:r>
        <w:rPr>
          <w:rFonts w:ascii="Arial" w:cs="Arial" w:eastAsia="Arial" w:hAnsi="Arial"/>
          <w:sz w:val="16"/>
          <w:szCs w:val="16"/>
          <w:color w:val="auto"/>
        </w:rPr>
        <w:t>Ownership consists of sole voting and sole investment power, except as indicated in the notes below, and except for shares registered in the name of children sharing the same household or subject to any community property laws.</w:t>
      </w:r>
    </w:p>
    <w:p>
      <w:pPr>
        <w:spacing w:after="0" w:line="61" w:lineRule="exact"/>
        <w:rPr>
          <w:sz w:val="20"/>
          <w:szCs w:val="20"/>
          <w:color w:val="auto"/>
        </w:rPr>
      </w:pPr>
    </w:p>
    <w:p>
      <w:pPr>
        <w:ind w:left="40" w:right="100"/>
        <w:spacing w:after="0" w:line="260"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the Company’s common stock that such person has the right to acquire within 60 days of the applicable date, including through the exercise of SARs, are deemed outstanding for such person. Such shares, however, are not deemed outstanding for the purpose of computing the percentage ownership of any other person. Percentage ownership is based upon 37,161,184 shares of the Company’s common stock outstanding on February 28, 2023.</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Stock Ownership of Certain Beneficial Owners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320" w:type="dxa"/>
            <w:vAlign w:val="bottom"/>
          </w:tcPr>
          <w:p>
            <w:pPr>
              <w:jc w:val="center"/>
              <w:ind w:left="3108"/>
              <w:spacing w:after="0"/>
              <w:rPr>
                <w:sz w:val="20"/>
                <w:szCs w:val="20"/>
                <w:color w:val="auto"/>
              </w:rPr>
            </w:pPr>
            <w:r>
              <w:rPr>
                <w:rFonts w:ascii="Arial" w:cs="Arial" w:eastAsia="Arial" w:hAnsi="Arial"/>
                <w:sz w:val="14"/>
                <w:szCs w:val="14"/>
                <w:b w:val="1"/>
                <w:bCs w:val="1"/>
                <w:color w:val="004E7D"/>
              </w:rPr>
              <w:t>Amount and Nature</w:t>
            </w:r>
          </w:p>
        </w:tc>
        <w:tc>
          <w:tcPr>
            <w:tcW w:w="12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004E7D"/>
              </w:rPr>
              <w:t>Percent of</w:t>
            </w:r>
          </w:p>
        </w:tc>
        <w:tc>
          <w:tcPr>
            <w:tcW w:w="0" w:type="dxa"/>
            <w:vAlign w:val="bottom"/>
          </w:tcPr>
          <w:p>
            <w:pPr>
              <w:spacing w:after="0"/>
              <w:rPr>
                <w:sz w:val="1"/>
                <w:szCs w:val="1"/>
                <w:color w:val="auto"/>
              </w:rPr>
            </w:pPr>
          </w:p>
        </w:tc>
      </w:tr>
      <w:tr>
        <w:trPr>
          <w:trHeight w:val="149"/>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004E7D"/>
              </w:rPr>
              <w:t>Name</w:t>
            </w:r>
          </w:p>
        </w:tc>
        <w:tc>
          <w:tcPr>
            <w:tcW w:w="5320" w:type="dxa"/>
            <w:vAlign w:val="bottom"/>
          </w:tcPr>
          <w:p>
            <w:pPr>
              <w:jc w:val="center"/>
              <w:ind w:left="3108"/>
              <w:spacing w:after="0" w:line="149" w:lineRule="exact"/>
              <w:rPr>
                <w:sz w:val="20"/>
                <w:szCs w:val="20"/>
                <w:color w:val="auto"/>
              </w:rPr>
            </w:pPr>
            <w:r>
              <w:rPr>
                <w:rFonts w:ascii="Arial" w:cs="Arial" w:eastAsia="Arial" w:hAnsi="Arial"/>
                <w:sz w:val="14"/>
                <w:szCs w:val="14"/>
                <w:b w:val="1"/>
                <w:bCs w:val="1"/>
                <w:color w:val="004E7D"/>
              </w:rPr>
              <w:t>of Beneficial</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004987"/>
            </w:tcBorders>
            <w:vMerge w:val="continue"/>
          </w:tcPr>
          <w:p>
            <w:pPr>
              <w:spacing w:after="0"/>
              <w:rPr>
                <w:sz w:val="16"/>
                <w:szCs w:val="16"/>
                <w:color w:val="auto"/>
              </w:rPr>
            </w:pPr>
          </w:p>
        </w:tc>
        <w:tc>
          <w:tcPr>
            <w:tcW w:w="5320" w:type="dxa"/>
            <w:vAlign w:val="bottom"/>
            <w:tcBorders>
              <w:bottom w:val="single" w:sz="8" w:color="004987"/>
            </w:tcBorders>
          </w:tcPr>
          <w:p>
            <w:pPr>
              <w:jc w:val="center"/>
              <w:ind w:left="3108"/>
              <w:spacing w:after="0"/>
              <w:rPr>
                <w:sz w:val="20"/>
                <w:szCs w:val="20"/>
                <w:color w:val="auto"/>
              </w:rPr>
            </w:pPr>
            <w:r>
              <w:rPr>
                <w:rFonts w:ascii="Arial" w:cs="Arial" w:eastAsia="Arial" w:hAnsi="Arial"/>
                <w:sz w:val="14"/>
                <w:szCs w:val="14"/>
                <w:b w:val="1"/>
                <w:bCs w:val="1"/>
                <w:color w:val="004E7D"/>
              </w:rPr>
              <w:t>Ownership</w:t>
            </w:r>
          </w:p>
        </w:tc>
        <w:tc>
          <w:tcPr>
            <w:tcW w:w="1220" w:type="dxa"/>
            <w:vAlign w:val="bottom"/>
            <w:tcBorders>
              <w:bottom w:val="single" w:sz="8" w:color="004987"/>
            </w:tcBorders>
          </w:tcPr>
          <w:p>
            <w:pPr>
              <w:jc w:val="center"/>
              <w:ind w:left="248"/>
              <w:spacing w:after="0"/>
              <w:rPr>
                <w:sz w:val="20"/>
                <w:szCs w:val="20"/>
                <w:color w:val="auto"/>
              </w:rPr>
            </w:pPr>
            <w:r>
              <w:rPr>
                <w:rFonts w:ascii="Arial" w:cs="Arial" w:eastAsia="Arial" w:hAnsi="Arial"/>
                <w:sz w:val="14"/>
                <w:szCs w:val="14"/>
                <w:b w:val="1"/>
                <w:bCs w:val="1"/>
                <w:color w:val="004E7D"/>
              </w:rPr>
              <w:t>Class</w:t>
            </w:r>
            <w:r>
              <w:rPr>
                <w:rFonts w:ascii="Arial" w:cs="Arial" w:eastAsia="Arial" w:hAnsi="Arial"/>
                <w:sz w:val="8"/>
                <w:szCs w:val="8"/>
                <w:b w:val="1"/>
                <w:bCs w:val="1"/>
                <w:color w:val="004E7D"/>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280" w:top="1416" w:right="359" w:bottom="1440" w:gutter="0" w:footer="0" w:header="0"/>
        </w:sectPr>
      </w:pPr>
    </w:p>
    <w:tbl>
      <w:tblPr>
        <w:tblLayout w:type="fixed"/>
        <w:tblInd w:w="60" w:type="dxa"/>
        <w:tblCellMar>
          <w:top w:w="0" w:type="dxa"/>
          <w:left w:w="0" w:type="dxa"/>
          <w:bottom w:w="0" w:type="dxa"/>
          <w:right w:w="0" w:type="dxa"/>
        </w:tblCellMar>
      </w:tblPr>
      <w:tr>
        <w:trPr>
          <w:trHeight w:val="215"/>
        </w:trPr>
        <w:tc>
          <w:tcPr>
            <w:tcW w:w="6120" w:type="dxa"/>
            <w:vAlign w:val="bottom"/>
          </w:tcPr>
          <w:p>
            <w:pPr>
              <w:spacing w:after="0"/>
              <w:rPr>
                <w:sz w:val="20"/>
                <w:szCs w:val="20"/>
                <w:color w:val="auto"/>
              </w:rPr>
            </w:pPr>
            <w:r>
              <w:rPr>
                <w:rFonts w:ascii="Arial" w:cs="Arial" w:eastAsia="Arial" w:hAnsi="Arial"/>
                <w:sz w:val="16"/>
                <w:szCs w:val="16"/>
                <w:b w:val="1"/>
                <w:bCs w:val="1"/>
                <w:color w:val="auto"/>
              </w:rPr>
              <w:t>Directors and Nominees</w:t>
            </w:r>
          </w:p>
        </w:tc>
        <w:tc>
          <w:tcPr>
            <w:tcW w:w="2560" w:type="dxa"/>
            <w:vAlign w:val="bottom"/>
          </w:tcPr>
          <w:p>
            <w:pPr>
              <w:spacing w:after="0"/>
              <w:rPr>
                <w:sz w:val="18"/>
                <w:szCs w:val="18"/>
                <w:color w:val="auto"/>
              </w:rPr>
            </w:pPr>
          </w:p>
        </w:tc>
      </w:tr>
      <w:tr>
        <w:trPr>
          <w:trHeight w:val="215"/>
        </w:trPr>
        <w:tc>
          <w:tcPr>
            <w:tcW w:w="6120" w:type="dxa"/>
            <w:vAlign w:val="bottom"/>
          </w:tcPr>
          <w:p>
            <w:pPr>
              <w:ind w:left="220"/>
              <w:spacing w:after="0"/>
              <w:rPr>
                <w:sz w:val="20"/>
                <w:szCs w:val="20"/>
                <w:color w:val="auto"/>
              </w:rPr>
            </w:pPr>
            <w:r>
              <w:rPr>
                <w:rFonts w:ascii="Arial" w:cs="Arial" w:eastAsia="Arial" w:hAnsi="Arial"/>
                <w:sz w:val="16"/>
                <w:szCs w:val="16"/>
                <w:color w:val="auto"/>
              </w:rPr>
              <w:t>C.E. Andrews</w:t>
            </w:r>
          </w:p>
        </w:tc>
        <w:tc>
          <w:tcPr>
            <w:tcW w:w="2560" w:type="dxa"/>
            <w:vAlign w:val="bottom"/>
          </w:tcPr>
          <w:p>
            <w:pPr>
              <w:jc w:val="right"/>
              <w:spacing w:after="0"/>
              <w:rPr>
                <w:sz w:val="20"/>
                <w:szCs w:val="20"/>
                <w:color w:val="auto"/>
              </w:rPr>
            </w:pPr>
            <w:r>
              <w:rPr>
                <w:rFonts w:ascii="Arial" w:cs="Arial" w:eastAsia="Arial" w:hAnsi="Arial"/>
                <w:sz w:val="16"/>
                <w:szCs w:val="16"/>
                <w:color w:val="auto"/>
              </w:rPr>
              <w:t>22,802</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Lizanne Galbreath</w:t>
            </w:r>
          </w:p>
        </w:tc>
        <w:tc>
          <w:tcPr>
            <w:tcW w:w="2560" w:type="dxa"/>
            <w:vAlign w:val="bottom"/>
          </w:tcPr>
          <w:p>
            <w:pPr>
              <w:jc w:val="right"/>
              <w:spacing w:after="0"/>
              <w:rPr>
                <w:sz w:val="20"/>
                <w:szCs w:val="20"/>
                <w:color w:val="auto"/>
              </w:rPr>
            </w:pPr>
            <w:r>
              <w:rPr>
                <w:rFonts w:ascii="Arial" w:cs="Arial" w:eastAsia="Arial" w:hAnsi="Arial"/>
                <w:sz w:val="16"/>
                <w:szCs w:val="16"/>
                <w:color w:val="auto"/>
              </w:rPr>
              <w:t>13,222</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Raymond L. Gellein, Jr.</w:t>
            </w:r>
          </w:p>
        </w:tc>
        <w:tc>
          <w:tcPr>
            <w:tcW w:w="2560" w:type="dxa"/>
            <w:vAlign w:val="bottom"/>
          </w:tcPr>
          <w:p>
            <w:pPr>
              <w:jc w:val="right"/>
              <w:spacing w:after="0"/>
              <w:rPr>
                <w:sz w:val="20"/>
                <w:szCs w:val="20"/>
                <w:color w:val="auto"/>
              </w:rPr>
            </w:pPr>
            <w:r>
              <w:rPr>
                <w:rFonts w:ascii="Arial" w:cs="Arial" w:eastAsia="Arial" w:hAnsi="Arial"/>
                <w:sz w:val="16"/>
                <w:szCs w:val="16"/>
                <w:color w:val="auto"/>
              </w:rPr>
              <w:t>26,513</w:t>
            </w:r>
          </w:p>
        </w:tc>
      </w:tr>
      <w:tr>
        <w:trPr>
          <w:trHeight w:val="216"/>
        </w:trPr>
        <w:tc>
          <w:tcPr>
            <w:tcW w:w="6120" w:type="dxa"/>
            <w:vAlign w:val="bottom"/>
          </w:tcPr>
          <w:p>
            <w:pPr>
              <w:ind w:left="200"/>
              <w:spacing w:after="0"/>
              <w:rPr>
                <w:sz w:val="20"/>
                <w:szCs w:val="20"/>
                <w:color w:val="auto"/>
              </w:rPr>
            </w:pPr>
            <w:r>
              <w:rPr>
                <w:rFonts w:ascii="Arial" w:cs="Arial" w:eastAsia="Arial" w:hAnsi="Arial"/>
                <w:sz w:val="16"/>
                <w:szCs w:val="16"/>
                <w:color w:val="auto"/>
              </w:rPr>
              <w:t>John E. Geller, Jr.</w:t>
            </w:r>
          </w:p>
        </w:tc>
        <w:tc>
          <w:tcPr>
            <w:tcW w:w="2560" w:type="dxa"/>
            <w:vAlign w:val="bottom"/>
          </w:tcPr>
          <w:p>
            <w:pPr>
              <w:jc w:val="right"/>
              <w:spacing w:after="0"/>
              <w:rPr>
                <w:sz w:val="20"/>
                <w:szCs w:val="20"/>
                <w:color w:val="auto"/>
              </w:rPr>
            </w:pPr>
            <w:r>
              <w:rPr>
                <w:rFonts w:ascii="Arial" w:cs="Arial" w:eastAsia="Arial" w:hAnsi="Arial"/>
                <w:sz w:val="16"/>
                <w:szCs w:val="16"/>
                <w:color w:val="auto"/>
              </w:rPr>
              <w:t>114,852</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Melquiades R. Martinez</w:t>
            </w:r>
          </w:p>
        </w:tc>
        <w:tc>
          <w:tcPr>
            <w:tcW w:w="2560" w:type="dxa"/>
            <w:vAlign w:val="bottom"/>
          </w:tcPr>
          <w:p>
            <w:pPr>
              <w:jc w:val="right"/>
              <w:spacing w:after="0"/>
              <w:rPr>
                <w:sz w:val="20"/>
                <w:szCs w:val="20"/>
                <w:color w:val="auto"/>
              </w:rPr>
            </w:pPr>
            <w:r>
              <w:rPr>
                <w:rFonts w:ascii="Arial" w:cs="Arial" w:eastAsia="Arial" w:hAnsi="Arial"/>
                <w:sz w:val="16"/>
                <w:szCs w:val="16"/>
                <w:color w:val="auto"/>
              </w:rPr>
              <w:t>17,869</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William W. McCarten</w:t>
            </w:r>
          </w:p>
        </w:tc>
        <w:tc>
          <w:tcPr>
            <w:tcW w:w="2560" w:type="dxa"/>
            <w:vAlign w:val="bottom"/>
          </w:tcPr>
          <w:p>
            <w:pPr>
              <w:jc w:val="right"/>
              <w:spacing w:after="0"/>
              <w:rPr>
                <w:sz w:val="20"/>
                <w:szCs w:val="20"/>
                <w:color w:val="auto"/>
              </w:rPr>
            </w:pPr>
            <w:r>
              <w:rPr>
                <w:rFonts w:ascii="Arial" w:cs="Arial" w:eastAsia="Arial" w:hAnsi="Arial"/>
                <w:sz w:val="16"/>
                <w:szCs w:val="16"/>
                <w:color w:val="auto"/>
              </w:rPr>
              <w:t>25,444</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Dianna F. Morgan</w:t>
            </w:r>
          </w:p>
        </w:tc>
        <w:tc>
          <w:tcPr>
            <w:tcW w:w="2560" w:type="dxa"/>
            <w:vAlign w:val="bottom"/>
          </w:tcPr>
          <w:p>
            <w:pPr>
              <w:jc w:val="right"/>
              <w:spacing w:after="0"/>
              <w:rPr>
                <w:sz w:val="20"/>
                <w:szCs w:val="20"/>
                <w:color w:val="auto"/>
              </w:rPr>
            </w:pPr>
            <w:r>
              <w:rPr>
                <w:rFonts w:ascii="Arial" w:cs="Arial" w:eastAsia="Arial" w:hAnsi="Arial"/>
                <w:sz w:val="16"/>
                <w:szCs w:val="16"/>
                <w:color w:val="auto"/>
              </w:rPr>
              <w:t>16,279</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Stephen R. Quazzo</w:t>
            </w:r>
          </w:p>
        </w:tc>
        <w:tc>
          <w:tcPr>
            <w:tcW w:w="2560" w:type="dxa"/>
            <w:vAlign w:val="bottom"/>
          </w:tcPr>
          <w:p>
            <w:pPr>
              <w:jc w:val="right"/>
              <w:spacing w:after="0"/>
              <w:rPr>
                <w:sz w:val="20"/>
                <w:szCs w:val="20"/>
                <w:color w:val="auto"/>
              </w:rPr>
            </w:pPr>
            <w:r>
              <w:rPr>
                <w:rFonts w:ascii="Arial" w:cs="Arial" w:eastAsia="Arial" w:hAnsi="Arial"/>
                <w:sz w:val="16"/>
                <w:szCs w:val="16"/>
                <w:color w:val="auto"/>
              </w:rPr>
              <w:t>15,777</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William J. Shaw</w:t>
            </w:r>
          </w:p>
        </w:tc>
        <w:tc>
          <w:tcPr>
            <w:tcW w:w="2560" w:type="dxa"/>
            <w:vAlign w:val="bottom"/>
          </w:tcPr>
          <w:p>
            <w:pPr>
              <w:jc w:val="right"/>
              <w:spacing w:after="0"/>
              <w:rPr>
                <w:sz w:val="20"/>
                <w:szCs w:val="20"/>
                <w:color w:val="auto"/>
              </w:rPr>
            </w:pPr>
            <w:r>
              <w:rPr>
                <w:rFonts w:ascii="Arial" w:cs="Arial" w:eastAsia="Arial" w:hAnsi="Arial"/>
                <w:sz w:val="16"/>
                <w:szCs w:val="16"/>
                <w:color w:val="auto"/>
              </w:rPr>
              <w:t>174,841</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Jonice G. Tucker</w:t>
            </w:r>
          </w:p>
        </w:tc>
        <w:tc>
          <w:tcPr>
            <w:tcW w:w="2560" w:type="dxa"/>
            <w:vAlign w:val="bottom"/>
          </w:tcPr>
          <w:p>
            <w:pPr>
              <w:jc w:val="right"/>
              <w:spacing w:after="0"/>
              <w:rPr>
                <w:sz w:val="20"/>
                <w:szCs w:val="20"/>
                <w:color w:val="auto"/>
              </w:rPr>
            </w:pPr>
            <w:r>
              <w:rPr>
                <w:rFonts w:ascii="Arial" w:cs="Arial" w:eastAsia="Arial" w:hAnsi="Arial"/>
                <w:sz w:val="16"/>
                <w:szCs w:val="16"/>
                <w:color w:val="auto"/>
              </w:rPr>
              <w:t>1,930</w:t>
            </w:r>
          </w:p>
        </w:tc>
      </w:tr>
      <w:tr>
        <w:trPr>
          <w:trHeight w:val="217"/>
        </w:trPr>
        <w:tc>
          <w:tcPr>
            <w:tcW w:w="6120" w:type="dxa"/>
            <w:vAlign w:val="bottom"/>
          </w:tcPr>
          <w:p>
            <w:pPr>
              <w:spacing w:after="0"/>
              <w:rPr>
                <w:sz w:val="20"/>
                <w:szCs w:val="20"/>
                <w:color w:val="auto"/>
              </w:rPr>
            </w:pPr>
            <w:r>
              <w:rPr>
                <w:rFonts w:ascii="Arial" w:cs="Arial" w:eastAsia="Arial" w:hAnsi="Arial"/>
                <w:sz w:val="16"/>
                <w:szCs w:val="16"/>
                <w:b w:val="1"/>
                <w:bCs w:val="1"/>
                <w:color w:val="auto"/>
              </w:rPr>
              <w:t>Named Executive Officers (other than Mr. Geller)</w:t>
            </w:r>
          </w:p>
        </w:tc>
        <w:tc>
          <w:tcPr>
            <w:tcW w:w="2560" w:type="dxa"/>
            <w:vAlign w:val="bottom"/>
          </w:tcPr>
          <w:p>
            <w:pPr>
              <w:spacing w:after="0"/>
              <w:rPr>
                <w:sz w:val="18"/>
                <w:szCs w:val="18"/>
                <w:color w:val="auto"/>
              </w:rPr>
            </w:pPr>
          </w:p>
        </w:tc>
      </w:tr>
      <w:tr>
        <w:trPr>
          <w:trHeight w:val="215"/>
        </w:trPr>
        <w:tc>
          <w:tcPr>
            <w:tcW w:w="6120" w:type="dxa"/>
            <w:vAlign w:val="bottom"/>
          </w:tcPr>
          <w:p>
            <w:pPr>
              <w:ind w:left="220"/>
              <w:spacing w:after="0"/>
              <w:rPr>
                <w:sz w:val="20"/>
                <w:szCs w:val="20"/>
                <w:color w:val="auto"/>
              </w:rPr>
            </w:pPr>
            <w:r>
              <w:rPr>
                <w:rFonts w:ascii="Arial" w:cs="Arial" w:eastAsia="Arial" w:hAnsi="Arial"/>
                <w:sz w:val="16"/>
                <w:szCs w:val="16"/>
                <w:color w:val="auto"/>
              </w:rPr>
              <w:t>Jeanette Marbert</w:t>
            </w:r>
          </w:p>
        </w:tc>
        <w:tc>
          <w:tcPr>
            <w:tcW w:w="2560" w:type="dxa"/>
            <w:vAlign w:val="bottom"/>
          </w:tcPr>
          <w:p>
            <w:pPr>
              <w:jc w:val="right"/>
              <w:spacing w:after="0"/>
              <w:rPr>
                <w:sz w:val="20"/>
                <w:szCs w:val="20"/>
                <w:color w:val="auto"/>
              </w:rPr>
            </w:pPr>
            <w:r>
              <w:rPr>
                <w:rFonts w:ascii="Arial" w:cs="Arial" w:eastAsia="Arial" w:hAnsi="Arial"/>
                <w:sz w:val="16"/>
                <w:szCs w:val="16"/>
                <w:color w:val="auto"/>
              </w:rPr>
              <w:t>102,960</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Brian E. Miller</w:t>
            </w:r>
          </w:p>
        </w:tc>
        <w:tc>
          <w:tcPr>
            <w:tcW w:w="2560" w:type="dxa"/>
            <w:vAlign w:val="bottom"/>
          </w:tcPr>
          <w:p>
            <w:pPr>
              <w:jc w:val="right"/>
              <w:spacing w:after="0"/>
              <w:rPr>
                <w:sz w:val="20"/>
                <w:szCs w:val="20"/>
                <w:color w:val="auto"/>
              </w:rPr>
            </w:pPr>
            <w:r>
              <w:rPr>
                <w:rFonts w:ascii="Arial" w:cs="Arial" w:eastAsia="Arial" w:hAnsi="Arial"/>
                <w:sz w:val="16"/>
                <w:szCs w:val="16"/>
                <w:color w:val="auto"/>
              </w:rPr>
              <w:t>26,914</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Anthony E. Terry</w:t>
            </w:r>
          </w:p>
        </w:tc>
        <w:tc>
          <w:tcPr>
            <w:tcW w:w="256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216"/>
        </w:trPr>
        <w:tc>
          <w:tcPr>
            <w:tcW w:w="6120" w:type="dxa"/>
            <w:vAlign w:val="bottom"/>
          </w:tcPr>
          <w:p>
            <w:pPr>
              <w:ind w:left="220"/>
              <w:spacing w:after="0"/>
              <w:rPr>
                <w:sz w:val="20"/>
                <w:szCs w:val="20"/>
                <w:color w:val="auto"/>
              </w:rPr>
            </w:pPr>
            <w:r>
              <w:rPr>
                <w:rFonts w:ascii="Arial" w:cs="Arial" w:eastAsia="Arial" w:hAnsi="Arial"/>
                <w:sz w:val="16"/>
                <w:szCs w:val="16"/>
                <w:color w:val="auto"/>
              </w:rPr>
              <w:t>Stephen P. Weisz</w:t>
            </w:r>
          </w:p>
        </w:tc>
        <w:tc>
          <w:tcPr>
            <w:tcW w:w="2560" w:type="dxa"/>
            <w:vAlign w:val="bottom"/>
          </w:tcPr>
          <w:p>
            <w:pPr>
              <w:jc w:val="right"/>
              <w:spacing w:after="0"/>
              <w:rPr>
                <w:sz w:val="20"/>
                <w:szCs w:val="20"/>
                <w:color w:val="auto"/>
              </w:rPr>
            </w:pPr>
            <w:r>
              <w:rPr>
                <w:rFonts w:ascii="Arial" w:cs="Arial" w:eastAsia="Arial" w:hAnsi="Arial"/>
                <w:sz w:val="16"/>
                <w:szCs w:val="16"/>
                <w:color w:val="auto"/>
              </w:rPr>
              <w:t>291,617</w:t>
            </w:r>
          </w:p>
        </w:tc>
      </w:tr>
      <w:tr>
        <w:trPr>
          <w:trHeight w:val="217"/>
        </w:trPr>
        <w:tc>
          <w:tcPr>
            <w:tcW w:w="6120" w:type="dxa"/>
            <w:vAlign w:val="bottom"/>
          </w:tcPr>
          <w:p>
            <w:pPr>
              <w:spacing w:after="0"/>
              <w:rPr>
                <w:sz w:val="20"/>
                <w:szCs w:val="20"/>
                <w:color w:val="auto"/>
              </w:rPr>
            </w:pPr>
            <w:r>
              <w:rPr>
                <w:rFonts w:ascii="Arial" w:cs="Arial" w:eastAsia="Arial" w:hAnsi="Arial"/>
                <w:sz w:val="16"/>
                <w:szCs w:val="16"/>
                <w:b w:val="1"/>
                <w:bCs w:val="1"/>
                <w:color w:val="auto"/>
              </w:rPr>
              <w:t>All Directors and Current Executive Officers as a Group</w:t>
            </w:r>
          </w:p>
        </w:tc>
        <w:tc>
          <w:tcPr>
            <w:tcW w:w="2560" w:type="dxa"/>
            <w:vAlign w:val="bottom"/>
          </w:tcPr>
          <w:p>
            <w:pPr>
              <w:spacing w:after="0"/>
              <w:rPr>
                <w:sz w:val="18"/>
                <w:szCs w:val="18"/>
                <w:color w:val="auto"/>
              </w:rPr>
            </w:pPr>
          </w:p>
        </w:tc>
      </w:tr>
      <w:tr>
        <w:trPr>
          <w:trHeight w:val="215"/>
        </w:trPr>
        <w:tc>
          <w:tcPr>
            <w:tcW w:w="6120" w:type="dxa"/>
            <w:vAlign w:val="bottom"/>
          </w:tcPr>
          <w:p>
            <w:pPr>
              <w:ind w:left="220"/>
              <w:spacing w:after="0"/>
              <w:rPr>
                <w:sz w:val="20"/>
                <w:szCs w:val="20"/>
                <w:color w:val="auto"/>
              </w:rPr>
            </w:pPr>
            <w:r>
              <w:rPr>
                <w:rFonts w:ascii="Arial" w:cs="Arial" w:eastAsia="Arial" w:hAnsi="Arial"/>
                <w:sz w:val="16"/>
                <w:szCs w:val="16"/>
                <w:color w:val="auto"/>
              </w:rPr>
              <w:t>(18 persons)</w:t>
            </w:r>
          </w:p>
        </w:tc>
        <w:tc>
          <w:tcPr>
            <w:tcW w:w="2560" w:type="dxa"/>
            <w:vAlign w:val="bottom"/>
          </w:tcPr>
          <w:p>
            <w:pPr>
              <w:jc w:val="right"/>
              <w:spacing w:after="0"/>
              <w:rPr>
                <w:sz w:val="20"/>
                <w:szCs w:val="20"/>
                <w:color w:val="auto"/>
              </w:rPr>
            </w:pPr>
            <w:r>
              <w:rPr>
                <w:rFonts w:ascii="Arial" w:cs="Arial" w:eastAsia="Arial" w:hAnsi="Arial"/>
                <w:sz w:val="16"/>
                <w:szCs w:val="16"/>
                <w:color w:val="auto"/>
              </w:rPr>
              <w:t>642,333</w:t>
            </w:r>
          </w:p>
        </w:tc>
      </w:tr>
      <w:tr>
        <w:trPr>
          <w:trHeight w:val="217"/>
        </w:trPr>
        <w:tc>
          <w:tcPr>
            <w:tcW w:w="6120" w:type="dxa"/>
            <w:vAlign w:val="bottom"/>
          </w:tcPr>
          <w:p>
            <w:pPr>
              <w:spacing w:after="0"/>
              <w:rPr>
                <w:sz w:val="20"/>
                <w:szCs w:val="20"/>
                <w:color w:val="auto"/>
              </w:rPr>
            </w:pPr>
            <w:r>
              <w:rPr>
                <w:rFonts w:ascii="Arial" w:cs="Arial" w:eastAsia="Arial" w:hAnsi="Arial"/>
                <w:sz w:val="16"/>
                <w:szCs w:val="16"/>
                <w:b w:val="1"/>
                <w:bCs w:val="1"/>
                <w:color w:val="auto"/>
              </w:rPr>
              <w:t>Five Percent Beneficial Owners</w:t>
            </w:r>
          </w:p>
        </w:tc>
        <w:tc>
          <w:tcPr>
            <w:tcW w:w="2560" w:type="dxa"/>
            <w:vAlign w:val="bottom"/>
          </w:tcPr>
          <w:p>
            <w:pPr>
              <w:spacing w:after="0"/>
              <w:rPr>
                <w:sz w:val="18"/>
                <w:szCs w:val="18"/>
                <w:color w:val="auto"/>
              </w:rPr>
            </w:pPr>
          </w:p>
        </w:tc>
      </w:tr>
      <w:tr>
        <w:trPr>
          <w:trHeight w:val="215"/>
        </w:trPr>
        <w:tc>
          <w:tcPr>
            <w:tcW w:w="6120" w:type="dxa"/>
            <w:vAlign w:val="bottom"/>
          </w:tcPr>
          <w:p>
            <w:pPr>
              <w:ind w:left="160"/>
              <w:spacing w:after="0"/>
              <w:rPr>
                <w:sz w:val="20"/>
                <w:szCs w:val="20"/>
                <w:color w:val="auto"/>
              </w:rPr>
            </w:pPr>
            <w:r>
              <w:rPr>
                <w:rFonts w:ascii="Arial" w:cs="Arial" w:eastAsia="Arial" w:hAnsi="Arial"/>
                <w:sz w:val="16"/>
                <w:szCs w:val="16"/>
                <w:color w:val="auto"/>
              </w:rPr>
              <w:t>The Vanguard Group, Inc.</w:t>
            </w:r>
          </w:p>
        </w:tc>
        <w:tc>
          <w:tcPr>
            <w:tcW w:w="2560" w:type="dxa"/>
            <w:vAlign w:val="bottom"/>
          </w:tcPr>
          <w:p>
            <w:pPr>
              <w:jc w:val="right"/>
              <w:spacing w:after="0"/>
              <w:rPr>
                <w:sz w:val="20"/>
                <w:szCs w:val="20"/>
                <w:color w:val="auto"/>
              </w:rPr>
            </w:pPr>
            <w:r>
              <w:rPr>
                <w:rFonts w:ascii="Arial" w:cs="Arial" w:eastAsia="Arial" w:hAnsi="Arial"/>
                <w:sz w:val="16"/>
                <w:szCs w:val="16"/>
                <w:color w:val="auto"/>
              </w:rPr>
              <w:t>3,435,585</w:t>
            </w:r>
          </w:p>
        </w:tc>
      </w:tr>
      <w:tr>
        <w:trPr>
          <w:trHeight w:val="216"/>
        </w:trPr>
        <w:tc>
          <w:tcPr>
            <w:tcW w:w="612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2560" w:type="dxa"/>
            <w:vAlign w:val="bottom"/>
          </w:tcPr>
          <w:p>
            <w:pPr>
              <w:jc w:val="right"/>
              <w:spacing w:after="0"/>
              <w:rPr>
                <w:sz w:val="20"/>
                <w:szCs w:val="20"/>
                <w:color w:val="auto"/>
              </w:rPr>
            </w:pPr>
            <w:r>
              <w:rPr>
                <w:rFonts w:ascii="Arial" w:cs="Arial" w:eastAsia="Arial" w:hAnsi="Arial"/>
                <w:sz w:val="16"/>
                <w:szCs w:val="16"/>
                <w:color w:val="auto"/>
              </w:rPr>
              <w:t>3,335,932</w:t>
            </w:r>
          </w:p>
        </w:tc>
      </w:tr>
      <w:tr>
        <w:trPr>
          <w:trHeight w:val="216"/>
        </w:trPr>
        <w:tc>
          <w:tcPr>
            <w:tcW w:w="6120" w:type="dxa"/>
            <w:vAlign w:val="bottom"/>
          </w:tcPr>
          <w:p>
            <w:pPr>
              <w:ind w:left="160"/>
              <w:spacing w:after="0"/>
              <w:rPr>
                <w:sz w:val="20"/>
                <w:szCs w:val="20"/>
                <w:color w:val="auto"/>
              </w:rPr>
            </w:pPr>
            <w:r>
              <w:rPr>
                <w:rFonts w:ascii="Arial" w:cs="Arial" w:eastAsia="Arial" w:hAnsi="Arial"/>
                <w:sz w:val="16"/>
                <w:szCs w:val="16"/>
                <w:color w:val="auto"/>
              </w:rPr>
              <w:t>BAMCO, Inc.</w:t>
            </w:r>
          </w:p>
        </w:tc>
        <w:tc>
          <w:tcPr>
            <w:tcW w:w="2560" w:type="dxa"/>
            <w:vAlign w:val="bottom"/>
          </w:tcPr>
          <w:p>
            <w:pPr>
              <w:jc w:val="right"/>
              <w:spacing w:after="0"/>
              <w:rPr>
                <w:sz w:val="20"/>
                <w:szCs w:val="20"/>
                <w:color w:val="auto"/>
              </w:rPr>
            </w:pPr>
            <w:r>
              <w:rPr>
                <w:rFonts w:ascii="Arial" w:cs="Arial" w:eastAsia="Arial" w:hAnsi="Arial"/>
                <w:sz w:val="16"/>
                <w:szCs w:val="16"/>
                <w:color w:val="auto"/>
              </w:rPr>
              <w:t>2,683,891</w:t>
            </w:r>
          </w:p>
        </w:tc>
      </w:tr>
      <w:tr>
        <w:trPr>
          <w:trHeight w:val="216"/>
        </w:trPr>
        <w:tc>
          <w:tcPr>
            <w:tcW w:w="6120" w:type="dxa"/>
            <w:vAlign w:val="bottom"/>
          </w:tcPr>
          <w:p>
            <w:pPr>
              <w:ind w:left="160"/>
              <w:spacing w:after="0"/>
              <w:rPr>
                <w:sz w:val="20"/>
                <w:szCs w:val="20"/>
                <w:color w:val="auto"/>
              </w:rPr>
            </w:pPr>
            <w:r>
              <w:rPr>
                <w:rFonts w:ascii="Arial" w:cs="Arial" w:eastAsia="Arial" w:hAnsi="Arial"/>
                <w:sz w:val="16"/>
                <w:szCs w:val="16"/>
                <w:color w:val="auto"/>
              </w:rPr>
              <w:t>Senvest Management, LLC</w:t>
            </w:r>
          </w:p>
        </w:tc>
        <w:tc>
          <w:tcPr>
            <w:tcW w:w="2560" w:type="dxa"/>
            <w:vAlign w:val="bottom"/>
          </w:tcPr>
          <w:p>
            <w:pPr>
              <w:jc w:val="right"/>
              <w:spacing w:after="0"/>
              <w:rPr>
                <w:sz w:val="20"/>
                <w:szCs w:val="20"/>
                <w:color w:val="auto"/>
              </w:rPr>
            </w:pPr>
            <w:r>
              <w:rPr>
                <w:rFonts w:ascii="Arial" w:cs="Arial" w:eastAsia="Arial" w:hAnsi="Arial"/>
                <w:sz w:val="16"/>
                <w:szCs w:val="16"/>
                <w:color w:val="auto"/>
              </w:rPr>
              <w:t>2,101,412</w:t>
            </w:r>
          </w:p>
        </w:tc>
      </w:tr>
      <w:tr>
        <w:trPr>
          <w:trHeight w:val="216"/>
        </w:trPr>
        <w:tc>
          <w:tcPr>
            <w:tcW w:w="6120" w:type="dxa"/>
            <w:vAlign w:val="bottom"/>
          </w:tcPr>
          <w:p>
            <w:pPr>
              <w:ind w:left="160"/>
              <w:spacing w:after="0"/>
              <w:rPr>
                <w:sz w:val="20"/>
                <w:szCs w:val="20"/>
                <w:color w:val="auto"/>
              </w:rPr>
            </w:pPr>
            <w:r>
              <w:rPr>
                <w:rFonts w:ascii="Arial" w:cs="Arial" w:eastAsia="Arial" w:hAnsi="Arial"/>
                <w:sz w:val="16"/>
                <w:szCs w:val="16"/>
                <w:color w:val="auto"/>
              </w:rPr>
              <w:t>JWM Family Enterprises</w:t>
            </w:r>
          </w:p>
        </w:tc>
        <w:tc>
          <w:tcPr>
            <w:tcW w:w="2560" w:type="dxa"/>
            <w:vAlign w:val="bottom"/>
          </w:tcPr>
          <w:p>
            <w:pPr>
              <w:jc w:val="right"/>
              <w:spacing w:after="0"/>
              <w:rPr>
                <w:sz w:val="20"/>
                <w:szCs w:val="20"/>
                <w:color w:val="auto"/>
              </w:rPr>
            </w:pPr>
            <w:r>
              <w:rPr>
                <w:rFonts w:ascii="Arial" w:cs="Arial" w:eastAsia="Arial" w:hAnsi="Arial"/>
                <w:sz w:val="16"/>
                <w:szCs w:val="16"/>
                <w:color w:val="auto"/>
              </w:rPr>
              <w:t>2,002,797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wp:posOffset>
            </wp:positionV>
            <wp:extent cx="66948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00" w:hanging="1293"/>
        <w:spacing w:after="0"/>
        <w:tabs>
          <w:tab w:leader="none" w:pos="1300" w:val="left"/>
        </w:tabs>
        <w:numPr>
          <w:ilvl w:val="0"/>
          <w:numId w:val="110"/>
        </w:numPr>
        <w:rPr>
          <w:rFonts w:ascii="Arial" w:cs="Arial" w:eastAsia="Arial" w:hAnsi="Arial"/>
          <w:sz w:val="11"/>
          <w:szCs w:val="11"/>
          <w:color w:val="auto"/>
        </w:rPr>
      </w:pPr>
      <w:r>
        <w:rPr>
          <w:rFonts w:ascii="Arial" w:cs="Arial" w:eastAsia="Arial" w:hAnsi="Arial"/>
          <w:sz w:val="32"/>
          <w:szCs w:val="32"/>
          <w:color w:val="auto"/>
          <w:vertAlign w:val="subscript"/>
        </w:rPr>
        <w:t>*</w:t>
      </w:r>
    </w:p>
    <w:p>
      <w:pPr>
        <w:spacing w:after="0" w:line="62" w:lineRule="exact"/>
        <w:rPr>
          <w:rFonts w:ascii="Arial" w:cs="Arial" w:eastAsia="Arial" w:hAnsi="Arial"/>
          <w:sz w:val="11"/>
          <w:szCs w:val="11"/>
          <w:color w:val="auto"/>
        </w:rPr>
      </w:pPr>
    </w:p>
    <w:p>
      <w:pPr>
        <w:ind w:left="1300" w:hanging="1293"/>
        <w:spacing w:after="0" w:line="180" w:lineRule="auto"/>
        <w:tabs>
          <w:tab w:leader="none" w:pos="1300" w:val="left"/>
        </w:tabs>
        <w:numPr>
          <w:ilvl w:val="0"/>
          <w:numId w:val="110"/>
        </w:numPr>
        <w:rPr>
          <w:rFonts w:ascii="Arial" w:cs="Arial" w:eastAsia="Arial" w:hAnsi="Arial"/>
          <w:sz w:val="9"/>
          <w:szCs w:val="9"/>
          <w:color w:val="auto"/>
        </w:rPr>
      </w:pPr>
      <w:r>
        <w:rPr>
          <w:rFonts w:ascii="Arial" w:cs="Arial" w:eastAsia="Arial" w:hAnsi="Arial"/>
          <w:sz w:val="25"/>
          <w:szCs w:val="25"/>
          <w:color w:val="auto"/>
          <w:vertAlign w:val="subscript"/>
        </w:rPr>
        <w:t>*</w:t>
      </w:r>
    </w:p>
    <w:p>
      <w:pPr>
        <w:ind w:left="1300" w:hanging="1293"/>
        <w:spacing w:after="0" w:line="214" w:lineRule="auto"/>
        <w:tabs>
          <w:tab w:leader="none" w:pos="1300" w:val="left"/>
        </w:tabs>
        <w:numPr>
          <w:ilvl w:val="0"/>
          <w:numId w:val="110"/>
        </w:numPr>
        <w:rPr>
          <w:rFonts w:ascii="Arial" w:cs="Arial" w:eastAsia="Arial" w:hAnsi="Arial"/>
          <w:sz w:val="21"/>
          <w:szCs w:val="21"/>
          <w:color w:val="auto"/>
          <w:vertAlign w:val="superscript"/>
        </w:rPr>
      </w:pPr>
      <w:r>
        <w:rPr>
          <w:rFonts w:ascii="Arial" w:cs="Arial" w:eastAsia="Arial" w:hAnsi="Arial"/>
          <w:sz w:val="16"/>
          <w:szCs w:val="16"/>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40" w:type="dxa"/>
            <w:vAlign w:val="bottom"/>
          </w:tcPr>
          <w:p>
            <w:pPr>
              <w:jc w:val="right"/>
              <w:ind w:right="507"/>
              <w:spacing w:after="0"/>
              <w:rPr>
                <w:sz w:val="20"/>
                <w:szCs w:val="20"/>
                <w:color w:val="auto"/>
              </w:rPr>
            </w:pPr>
            <w:r>
              <w:rPr>
                <w:rFonts w:ascii="Arial" w:cs="Arial" w:eastAsia="Arial" w:hAnsi="Arial"/>
                <w:sz w:val="11"/>
                <w:szCs w:val="11"/>
                <w:color w:val="auto"/>
                <w:w w:val="86"/>
              </w:rPr>
              <w:t>5, 6</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300" w:hanging="1293"/>
        <w:spacing w:after="0" w:line="183" w:lineRule="auto"/>
        <w:tabs>
          <w:tab w:leader="none" w:pos="1300" w:val="left"/>
        </w:tabs>
        <w:numPr>
          <w:ilvl w:val="0"/>
          <w:numId w:val="111"/>
        </w:numPr>
        <w:rPr>
          <w:rFonts w:ascii="Arial" w:cs="Arial" w:eastAsia="Arial" w:hAnsi="Arial"/>
          <w:sz w:val="9"/>
          <w:szCs w:val="9"/>
          <w:color w:val="auto"/>
        </w:rPr>
      </w:pPr>
      <w:r>
        <w:rPr>
          <w:rFonts w:ascii="Arial" w:cs="Arial" w:eastAsia="Arial" w:hAnsi="Arial"/>
          <w:sz w:val="23"/>
          <w:szCs w:val="23"/>
          <w:color w:val="auto"/>
          <w:vertAlign w:val="subscript"/>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0" w:type="dxa"/>
            <w:vAlign w:val="bottom"/>
          </w:tcPr>
          <w:p>
            <w:pPr>
              <w:jc w:val="right"/>
              <w:ind w:right="507"/>
              <w:spacing w:after="0"/>
              <w:rPr>
                <w:sz w:val="20"/>
                <w:szCs w:val="20"/>
                <w:color w:val="auto"/>
              </w:rPr>
            </w:pPr>
            <w:r>
              <w:rPr>
                <w:rFonts w:ascii="Arial" w:cs="Arial" w:eastAsia="Arial" w:hAnsi="Arial"/>
                <w:sz w:val="11"/>
                <w:szCs w:val="11"/>
                <w:color w:val="auto"/>
                <w:w w:val="86"/>
              </w:rPr>
              <w:t>2, 3</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300" w:hanging="1293"/>
        <w:spacing w:after="0" w:line="180" w:lineRule="auto"/>
        <w:tabs>
          <w:tab w:leader="none" w:pos="1300" w:val="left"/>
        </w:tabs>
        <w:numPr>
          <w:ilvl w:val="0"/>
          <w:numId w:val="112"/>
        </w:numPr>
        <w:rPr>
          <w:rFonts w:ascii="Arial" w:cs="Arial" w:eastAsia="Arial" w:hAnsi="Arial"/>
          <w:sz w:val="9"/>
          <w:szCs w:val="9"/>
          <w:color w:val="auto"/>
        </w:rPr>
      </w:pPr>
      <w:r>
        <w:rPr>
          <w:rFonts w:ascii="Arial" w:cs="Arial" w:eastAsia="Arial" w:hAnsi="Arial"/>
          <w:sz w:val="25"/>
          <w:szCs w:val="25"/>
          <w:color w:val="auto"/>
          <w:vertAlign w:val="subscript"/>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0" w:type="dxa"/>
            <w:vAlign w:val="bottom"/>
          </w:tcPr>
          <w:p>
            <w:pPr>
              <w:jc w:val="right"/>
              <w:ind w:right="507"/>
              <w:spacing w:after="0"/>
              <w:rPr>
                <w:sz w:val="20"/>
                <w:szCs w:val="20"/>
                <w:color w:val="auto"/>
              </w:rPr>
            </w:pPr>
            <w:r>
              <w:rPr>
                <w:rFonts w:ascii="Arial" w:cs="Arial" w:eastAsia="Arial" w:hAnsi="Arial"/>
                <w:sz w:val="11"/>
                <w:szCs w:val="11"/>
                <w:color w:val="auto"/>
                <w:w w:val="86"/>
              </w:rPr>
              <w:t>2, 4</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300" w:hanging="1293"/>
        <w:spacing w:after="0" w:line="214" w:lineRule="auto"/>
        <w:tabs>
          <w:tab w:leader="none" w:pos="1300" w:val="left"/>
        </w:tabs>
        <w:numPr>
          <w:ilvl w:val="0"/>
          <w:numId w:val="113"/>
        </w:numPr>
        <w:rPr>
          <w:rFonts w:ascii="Arial" w:cs="Arial" w:eastAsia="Arial" w:hAnsi="Arial"/>
          <w:sz w:val="21"/>
          <w:szCs w:val="21"/>
          <w:color w:val="auto"/>
          <w:vertAlign w:val="superscript"/>
        </w:rPr>
      </w:pPr>
      <w:r>
        <w:rPr>
          <w:rFonts w:ascii="Arial" w:cs="Arial" w:eastAsia="Arial" w:hAnsi="Arial"/>
          <w:sz w:val="16"/>
          <w:szCs w:val="16"/>
          <w:color w:val="auto"/>
        </w:rPr>
        <w:t>*</w:t>
      </w:r>
    </w:p>
    <w:p>
      <w:pPr>
        <w:spacing w:after="0" w:line="15" w:lineRule="exact"/>
        <w:rPr>
          <w:rFonts w:ascii="Arial" w:cs="Arial" w:eastAsia="Arial" w:hAnsi="Arial"/>
          <w:sz w:val="21"/>
          <w:szCs w:val="21"/>
          <w:color w:val="auto"/>
          <w:vertAlign w:val="superscript"/>
        </w:rPr>
      </w:pPr>
    </w:p>
    <w:p>
      <w:pPr>
        <w:ind w:left="1300" w:hanging="1293"/>
        <w:spacing w:after="0" w:line="182" w:lineRule="auto"/>
        <w:tabs>
          <w:tab w:leader="none" w:pos="1300" w:val="left"/>
        </w:tabs>
        <w:numPr>
          <w:ilvl w:val="0"/>
          <w:numId w:val="113"/>
        </w:numPr>
        <w:rPr>
          <w:rFonts w:ascii="Arial" w:cs="Arial" w:eastAsia="Arial" w:hAnsi="Arial"/>
          <w:sz w:val="9"/>
          <w:szCs w:val="9"/>
          <w:color w:val="auto"/>
        </w:rPr>
      </w:pPr>
      <w:r>
        <w:rPr>
          <w:rFonts w:ascii="Arial" w:cs="Arial" w:eastAsia="Arial" w:hAnsi="Arial"/>
          <w:sz w:val="23"/>
          <w:szCs w:val="23"/>
          <w:color w:val="auto"/>
          <w:vertAlign w:val="subscript"/>
        </w:rPr>
        <w:t>*</w:t>
      </w:r>
    </w:p>
    <w:p>
      <w:pPr>
        <w:spacing w:after="0" w:line="1" w:lineRule="exact"/>
        <w:rPr>
          <w:sz w:val="20"/>
          <w:szCs w:val="20"/>
          <w:color w:val="auto"/>
        </w:rPr>
      </w:pPr>
    </w:p>
    <w:p>
      <w:pPr>
        <w:ind w:left="1300" w:hanging="1293"/>
        <w:spacing w:after="0"/>
        <w:tabs>
          <w:tab w:leader="none" w:pos="1300" w:val="left"/>
        </w:tabs>
        <w:numPr>
          <w:ilvl w:val="0"/>
          <w:numId w:val="114"/>
        </w:numPr>
        <w:rPr>
          <w:rFonts w:ascii="Arial" w:cs="Arial" w:eastAsia="Arial" w:hAnsi="Arial"/>
          <w:sz w:val="11"/>
          <w:szCs w:val="11"/>
          <w:color w:val="auto"/>
        </w:rPr>
      </w:pPr>
      <w:r>
        <w:rPr>
          <w:rFonts w:ascii="Arial" w:cs="Arial" w:eastAsia="Arial" w:hAnsi="Arial"/>
          <w:sz w:val="32"/>
          <w:szCs w:val="32"/>
          <w:color w:val="auto"/>
          <w:vertAlign w:val="subscript"/>
        </w:rPr>
        <w:t>*</w:t>
      </w:r>
    </w:p>
    <w:p>
      <w:pPr>
        <w:spacing w:after="0" w:line="64" w:lineRule="exact"/>
        <w:rPr>
          <w:rFonts w:ascii="Arial" w:cs="Arial" w:eastAsia="Arial" w:hAnsi="Arial"/>
          <w:sz w:val="11"/>
          <w:szCs w:val="11"/>
          <w:color w:val="auto"/>
        </w:rPr>
      </w:pPr>
    </w:p>
    <w:p>
      <w:pPr>
        <w:ind w:left="1300" w:hanging="1293"/>
        <w:spacing w:after="0" w:line="180" w:lineRule="auto"/>
        <w:tabs>
          <w:tab w:leader="none" w:pos="1300" w:val="left"/>
        </w:tabs>
        <w:numPr>
          <w:ilvl w:val="0"/>
          <w:numId w:val="114"/>
        </w:numPr>
        <w:rPr>
          <w:rFonts w:ascii="Arial" w:cs="Arial" w:eastAsia="Arial" w:hAnsi="Arial"/>
          <w:sz w:val="9"/>
          <w:szCs w:val="9"/>
          <w:color w:val="auto"/>
        </w:rPr>
      </w:pPr>
      <w:r>
        <w:rPr>
          <w:rFonts w:ascii="Arial" w:cs="Arial" w:eastAsia="Arial" w:hAnsi="Arial"/>
          <w:sz w:val="25"/>
          <w:szCs w:val="25"/>
          <w:color w:val="auto"/>
          <w:vertAlign w:val="subscript"/>
        </w:rPr>
        <w:t>*</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0" w:type="dxa"/>
            <w:vAlign w:val="bottom"/>
          </w:tcPr>
          <w:p>
            <w:pPr>
              <w:jc w:val="right"/>
              <w:ind w:right="507"/>
              <w:spacing w:after="0"/>
              <w:rPr>
                <w:sz w:val="20"/>
                <w:szCs w:val="20"/>
                <w:color w:val="auto"/>
              </w:rPr>
            </w:pPr>
            <w:r>
              <w:rPr>
                <w:rFonts w:ascii="Arial" w:cs="Arial" w:eastAsia="Arial" w:hAnsi="Arial"/>
                <w:sz w:val="11"/>
                <w:szCs w:val="11"/>
                <w:color w:val="auto"/>
                <w:w w:val="86"/>
              </w:rPr>
              <w:t>6, 7</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260" w:hanging="1253"/>
        <w:spacing w:after="0"/>
        <w:tabs>
          <w:tab w:leader="none" w:pos="1260"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1.7%</w:t>
      </w:r>
    </w:p>
    <w:p>
      <w:pPr>
        <w:spacing w:after="0" w:line="191" w:lineRule="exact"/>
        <w:rPr>
          <w:sz w:val="20"/>
          <w:szCs w:val="20"/>
          <w:color w:val="auto"/>
        </w:rPr>
      </w:pPr>
    </w:p>
    <w:p>
      <w:pPr>
        <w:ind w:left="1260" w:hanging="1253"/>
        <w:spacing w:after="0"/>
        <w:tabs>
          <w:tab w:leader="none" w:pos="1260"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9.2%</w:t>
      </w:r>
    </w:p>
    <w:p>
      <w:pPr>
        <w:ind w:left="1260" w:hanging="1253"/>
        <w:spacing w:after="0" w:line="214" w:lineRule="auto"/>
        <w:tabs>
          <w:tab w:leader="none" w:pos="1260"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9.0%</w:t>
      </w:r>
    </w:p>
    <w:p>
      <w:pPr>
        <w:spacing w:after="0" w:line="15" w:lineRule="exact"/>
        <w:rPr>
          <w:rFonts w:ascii="Arial" w:cs="Arial" w:eastAsia="Arial" w:hAnsi="Arial"/>
          <w:sz w:val="21"/>
          <w:szCs w:val="21"/>
          <w:color w:val="auto"/>
          <w:vertAlign w:val="superscript"/>
        </w:rPr>
      </w:pPr>
    </w:p>
    <w:p>
      <w:pPr>
        <w:ind w:left="1260" w:hanging="1253"/>
        <w:spacing w:after="0" w:line="200" w:lineRule="auto"/>
        <w:tabs>
          <w:tab w:leader="none" w:pos="1260"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7.2%</w:t>
      </w:r>
    </w:p>
    <w:p>
      <w:pPr>
        <w:spacing w:after="0" w:line="14" w:lineRule="exact"/>
        <w:rPr>
          <w:rFonts w:ascii="Arial" w:cs="Arial" w:eastAsia="Arial" w:hAnsi="Arial"/>
          <w:sz w:val="21"/>
          <w:szCs w:val="21"/>
          <w:color w:val="auto"/>
          <w:vertAlign w:val="superscript"/>
        </w:rPr>
      </w:pPr>
    </w:p>
    <w:p>
      <w:pPr>
        <w:ind w:left="1260" w:hanging="1253"/>
        <w:spacing w:after="0" w:line="200" w:lineRule="auto"/>
        <w:tabs>
          <w:tab w:leader="none" w:pos="1260"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5.6%</w:t>
      </w:r>
    </w:p>
    <w:p>
      <w:pPr>
        <w:spacing w:after="0" w:line="14" w:lineRule="exact"/>
        <w:rPr>
          <w:rFonts w:ascii="Arial" w:cs="Arial" w:eastAsia="Arial" w:hAnsi="Arial"/>
          <w:sz w:val="21"/>
          <w:szCs w:val="21"/>
          <w:color w:val="auto"/>
          <w:vertAlign w:val="superscript"/>
        </w:rPr>
      </w:pPr>
    </w:p>
    <w:p>
      <w:pPr>
        <w:ind w:left="1260" w:hanging="1253"/>
        <w:spacing w:after="0" w:line="200" w:lineRule="auto"/>
        <w:tabs>
          <w:tab w:leader="none" w:pos="1260"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5.4%</w:t>
      </w:r>
    </w:p>
    <w:p>
      <w:pPr>
        <w:spacing w:after="0" w:line="200" w:lineRule="exact"/>
        <w:rPr>
          <w:sz w:val="20"/>
          <w:szCs w:val="20"/>
          <w:color w:val="auto"/>
        </w:rPr>
      </w:pPr>
    </w:p>
    <w:p>
      <w:pPr>
        <w:sectPr>
          <w:pgSz w:w="11900" w:h="16838" w:orient="portrait"/>
          <w:cols w:equalWidth="0" w:num="2">
            <w:col w:w="8740" w:space="80"/>
            <w:col w:w="2440"/>
          </w:cols>
          <w:pgMar w:left="280" w:top="1416" w:right="359" w:bottom="1440" w:gutter="0" w:footer="0" w:header="0"/>
          <w:type w:val="continuous"/>
        </w:sectPr>
      </w:pPr>
    </w:p>
    <w:p>
      <w:pPr>
        <w:spacing w:after="0" w:line="4" w:lineRule="exact"/>
        <w:rPr>
          <w:sz w:val="20"/>
          <w:szCs w:val="20"/>
          <w:color w:val="auto"/>
        </w:rPr>
      </w:pPr>
    </w:p>
    <w:p>
      <w:pPr>
        <w:ind w:left="300" w:hanging="252"/>
        <w:spacing w:after="0"/>
        <w:tabs>
          <w:tab w:leader="none" w:pos="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Less than 1%.</w:t>
      </w:r>
    </w:p>
    <w:p>
      <w:pPr>
        <w:sectPr>
          <w:pgSz w:w="11900" w:h="16838" w:orient="portrait"/>
          <w:cols w:equalWidth="0" w:num="1">
            <w:col w:w="11260"/>
          </w:cols>
          <w:pgMar w:left="280" w:top="141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1112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146685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22225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280" w:top="1416" w:right="359" w:bottom="1440" w:gutter="0" w:footer="0" w:header="0"/>
          <w:type w:val="continuous"/>
        </w:sectPr>
      </w:pPr>
    </w:p>
    <w:bookmarkStart w:id="62" w:name="page63"/>
    <w:bookmarkEnd w:id="62"/>
    <w:p>
      <w:pPr>
        <w:ind w:left="420" w:right="20" w:hanging="250"/>
        <w:spacing w:after="0" w:line="227" w:lineRule="auto"/>
        <w:tabs>
          <w:tab w:leader="none" w:pos="411"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Based on the number of shares outstanding 37,161,184 on February 28, 2023, plus the number of shares acquirable by the specified persons within 60 days of February 28, 2023 as described below.</w:t>
      </w:r>
    </w:p>
    <w:p>
      <w:pPr>
        <w:spacing w:after="0" w:line="84" w:lineRule="exact"/>
        <w:rPr>
          <w:sz w:val="20"/>
          <w:szCs w:val="20"/>
          <w:color w:val="auto"/>
        </w:rPr>
      </w:pPr>
    </w:p>
    <w:p>
      <w:pPr>
        <w:ind w:left="420" w:right="120" w:hanging="250"/>
        <w:spacing w:after="0" w:line="249" w:lineRule="auto"/>
        <w:tabs>
          <w:tab w:leader="none" w:pos="411" w:val="left"/>
        </w:tabs>
        <w:numPr>
          <w:ilvl w:val="0"/>
          <w:numId w:val="120"/>
        </w:numPr>
        <w:rPr>
          <w:rFonts w:ascii="Arial" w:cs="Arial" w:eastAsia="Arial" w:hAnsi="Arial"/>
          <w:sz w:val="21"/>
          <w:szCs w:val="21"/>
          <w:color w:val="auto"/>
          <w:vertAlign w:val="superscript"/>
        </w:rPr>
      </w:pPr>
      <w:r>
        <w:rPr>
          <w:rFonts w:ascii="Arial" w:cs="Arial" w:eastAsia="Arial" w:hAnsi="Arial"/>
          <w:sz w:val="16"/>
          <w:szCs w:val="16"/>
          <w:color w:val="auto"/>
        </w:rPr>
        <w:t>Includes shares subject to Non-Employee Director Share Awards currently exercisable or exercisable within 60 days after February 28, 2023 as follows: Mr. Andrews, 15,858 shares; Ms. Galbreath, 8,403 shares; Mr. Gellein, Jr., 15,262 shares; Mr. Martinez, 13,907 shares; Mr. McCarten, 20,935 shares; Ms. Morgan, 13,271 shares; Mr. Quazzo, 2,652 shares; Mr. Shaw, 33,276 shares; and Ms. Tucker, 1,930 shares. Does not include additional shares to which Ms. Tucker and Mr. Gellein are entitled to receive on March 21, 2023 in lieu of the portion of their annual retainer to be paid on such date. The total number of shares to which each of them will be entitled is determined based on the average of the high and low price of our common stock on March 21, 2023. The aggregate dollar value of our common stock to which each of them is entitled is: Ms. Tucker, $21,250 and Mr. Gellein, $26,250.</w:t>
      </w:r>
    </w:p>
    <w:p>
      <w:pPr>
        <w:spacing w:after="0" w:line="76" w:lineRule="exact"/>
        <w:rPr>
          <w:sz w:val="20"/>
          <w:szCs w:val="20"/>
          <w:color w:val="auto"/>
        </w:rPr>
      </w:pPr>
    </w:p>
    <w:p>
      <w:pPr>
        <w:ind w:left="420" w:right="1020" w:hanging="250"/>
        <w:spacing w:after="0" w:line="235" w:lineRule="auto"/>
        <w:tabs>
          <w:tab w:leader="none" w:pos="411" w:val="left"/>
        </w:tabs>
        <w:numPr>
          <w:ilvl w:val="0"/>
          <w:numId w:val="121"/>
        </w:numPr>
        <w:rPr>
          <w:rFonts w:ascii="Arial" w:cs="Arial" w:eastAsia="Arial" w:hAnsi="Arial"/>
          <w:sz w:val="21"/>
          <w:szCs w:val="21"/>
          <w:color w:val="auto"/>
          <w:vertAlign w:val="superscript"/>
        </w:rPr>
      </w:pPr>
      <w:r>
        <w:rPr>
          <w:rFonts w:ascii="Arial" w:cs="Arial" w:eastAsia="Arial" w:hAnsi="Arial"/>
          <w:sz w:val="16"/>
          <w:szCs w:val="16"/>
          <w:color w:val="auto"/>
        </w:rPr>
        <w:t>Includes 6 shares held as tenants in common with Mr. McCarten’s spouse and 1,966 shares held by a limited liability corporation in which Mr. McCarten owns a 2% interest and acts as Manager.</w:t>
      </w:r>
    </w:p>
    <w:p>
      <w:pPr>
        <w:spacing w:after="0" w:line="56" w:lineRule="exact"/>
        <w:rPr>
          <w:sz w:val="20"/>
          <w:szCs w:val="20"/>
          <w:color w:val="auto"/>
        </w:rPr>
      </w:pPr>
    </w:p>
    <w:p>
      <w:pPr>
        <w:ind w:left="400" w:hanging="230"/>
        <w:spacing w:after="0"/>
        <w:tabs>
          <w:tab w:leader="none" w:pos="400"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Includes 28 shares held by trusts for the benefit of Mr. Quazzo’s spouse.</w:t>
      </w:r>
    </w:p>
    <w:p>
      <w:pPr>
        <w:spacing w:after="0" w:line="56" w:lineRule="exact"/>
        <w:rPr>
          <w:sz w:val="20"/>
          <w:szCs w:val="20"/>
          <w:color w:val="auto"/>
        </w:rPr>
      </w:pPr>
    </w:p>
    <w:p>
      <w:pPr>
        <w:ind w:left="400" w:hanging="230"/>
        <w:spacing w:after="0"/>
        <w:tabs>
          <w:tab w:leader="none" w:pos="400" w:val="left"/>
        </w:tabs>
        <w:numPr>
          <w:ilvl w:val="0"/>
          <w:numId w:val="123"/>
        </w:numPr>
        <w:rPr>
          <w:rFonts w:ascii="Arial" w:cs="Arial" w:eastAsia="Arial" w:hAnsi="Arial"/>
          <w:sz w:val="21"/>
          <w:szCs w:val="21"/>
          <w:color w:val="auto"/>
          <w:vertAlign w:val="superscript"/>
        </w:rPr>
      </w:pPr>
      <w:r>
        <w:rPr>
          <w:rFonts w:ascii="Arial" w:cs="Arial" w:eastAsia="Arial" w:hAnsi="Arial"/>
          <w:sz w:val="16"/>
          <w:szCs w:val="16"/>
          <w:color w:val="auto"/>
        </w:rPr>
        <w:t>Includes 66,214 shares held in revocable trusts by Mr. Geller and Mr. Geller’s spouse.</w:t>
      </w:r>
    </w:p>
    <w:p>
      <w:pPr>
        <w:spacing w:after="0" w:line="96" w:lineRule="exact"/>
        <w:rPr>
          <w:sz w:val="20"/>
          <w:szCs w:val="20"/>
          <w:color w:val="auto"/>
        </w:rPr>
      </w:pPr>
    </w:p>
    <w:p>
      <w:pPr>
        <w:jc w:val="both"/>
        <w:ind w:left="420" w:right="40" w:hanging="250"/>
        <w:spacing w:after="0"/>
        <w:tabs>
          <w:tab w:leader="none" w:pos="411"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Includes shares subject to SARs currently exercisable or exercisable within 60 days after February, 28 2023, as follows: Mr. Weisz, 12,824 shares; Mr. Geller, 31,117 shares; Ms. Marbert, 5,536 shares; and Mr. Miller, 3,191 shares. For purposes of determining the number of shares subject to SARs that are beneficially owned by each such person, we have calculated the number of shares that such person could obtain by exercising all vested SARs on February 28, 2023, based on the closing price of our common stock on that date $152.99.</w:t>
      </w:r>
    </w:p>
    <w:p>
      <w:pPr>
        <w:spacing w:after="0" w:line="57" w:lineRule="exact"/>
        <w:rPr>
          <w:sz w:val="20"/>
          <w:szCs w:val="20"/>
          <w:color w:val="auto"/>
        </w:rPr>
      </w:pPr>
    </w:p>
    <w:p>
      <w:pPr>
        <w:ind w:left="400" w:hanging="230"/>
        <w:spacing w:after="0"/>
        <w:tabs>
          <w:tab w:leader="none" w:pos="400" w:val="left"/>
        </w:tabs>
        <w:numPr>
          <w:ilvl w:val="0"/>
          <w:numId w:val="125"/>
        </w:numPr>
        <w:rPr>
          <w:rFonts w:ascii="Arial" w:cs="Arial" w:eastAsia="Arial" w:hAnsi="Arial"/>
          <w:sz w:val="21"/>
          <w:szCs w:val="21"/>
          <w:color w:val="auto"/>
          <w:vertAlign w:val="superscript"/>
        </w:rPr>
      </w:pPr>
      <w:r>
        <w:rPr>
          <w:rFonts w:ascii="Arial" w:cs="Arial" w:eastAsia="Arial" w:hAnsi="Arial"/>
          <w:sz w:val="16"/>
          <w:szCs w:val="16"/>
          <w:color w:val="auto"/>
        </w:rPr>
        <w:t>Includes shares held by a revocable trust of which Mr. Weisz’s spouse is the trustee and Mr. Weisz is the beneficiary 13,513 shares.</w:t>
      </w:r>
    </w:p>
    <w:p>
      <w:pPr>
        <w:spacing w:after="0" w:line="96" w:lineRule="exact"/>
        <w:rPr>
          <w:sz w:val="20"/>
          <w:szCs w:val="20"/>
          <w:color w:val="auto"/>
        </w:rPr>
      </w:pPr>
    </w:p>
    <w:p>
      <w:pPr>
        <w:ind w:left="420" w:right="400" w:hanging="250"/>
        <w:spacing w:after="0"/>
        <w:tabs>
          <w:tab w:leader="none" w:pos="411"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Includes an aggregate of shares subject to SARs, RSUs, Non-Employee Director Share Awards and Non-Employee Director Stock Units currently exercisable or exercisable within 60 days after February 28, 2023. For purposes of determining the number of shares subject to SARs that are beneficially owned, we have calculated the number of shares that such persons could obtain by exercising all vested SARs on February 28, 2023, based on the closing price of our common stock on that date $152.99.</w:t>
      </w:r>
    </w:p>
    <w:p>
      <w:pPr>
        <w:spacing w:after="0" w:line="84" w:lineRule="exact"/>
        <w:rPr>
          <w:sz w:val="20"/>
          <w:szCs w:val="20"/>
          <w:color w:val="auto"/>
        </w:rPr>
      </w:pPr>
    </w:p>
    <w:p>
      <w:pPr>
        <w:ind w:left="420" w:right="20" w:hanging="250"/>
        <w:spacing w:after="0" w:line="238" w:lineRule="auto"/>
        <w:tabs>
          <w:tab w:leader="none" w:pos="411" w:val="left"/>
        </w:tabs>
        <w:numPr>
          <w:ilvl w:val="0"/>
          <w:numId w:val="127"/>
        </w:numPr>
        <w:rPr>
          <w:rFonts w:ascii="Arial" w:cs="Arial" w:eastAsia="Arial" w:hAnsi="Arial"/>
          <w:sz w:val="21"/>
          <w:szCs w:val="21"/>
          <w:color w:val="auto"/>
          <w:vertAlign w:val="superscript"/>
        </w:rPr>
      </w:pPr>
      <w:r>
        <w:rPr>
          <w:rFonts w:ascii="Arial" w:cs="Arial" w:eastAsia="Arial" w:hAnsi="Arial"/>
          <w:sz w:val="16"/>
          <w:szCs w:val="16"/>
          <w:color w:val="auto"/>
        </w:rPr>
        <w:t>Based solely on the information contained in a Schedule 13G/A filed with the SEC on February 9, 2023 by The Vanguard Group, Inc. (“Vanguard”). Vanguard reported shared voting power as to 13,530 shares, sole dispositive power as to 3,384,625 shares, and shared dispositive power as to 50,960 shares. The address of Vanguard is 100 Vanguard Boulevard, Malvern, Pennsylvania 19355.</w:t>
      </w:r>
    </w:p>
    <w:p>
      <w:pPr>
        <w:spacing w:after="0" w:line="84" w:lineRule="exact"/>
        <w:rPr>
          <w:sz w:val="20"/>
          <w:szCs w:val="20"/>
          <w:color w:val="auto"/>
        </w:rPr>
      </w:pPr>
    </w:p>
    <w:p>
      <w:pPr>
        <w:ind w:left="420" w:right="180" w:hanging="250"/>
        <w:spacing w:after="0" w:line="238" w:lineRule="auto"/>
        <w:tabs>
          <w:tab w:leader="none" w:pos="416"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Based solely on the information contained in a Schedule 13G/A filed with the SEC on January 27, 2023 by BlackRock, Inc. (“BlackRock”). BlackRock reported sole voting power as to 3,272,570 shares and sole dispositive power as to 3,335,932 shares. The address of BlackRock is 55 East 52nd Street, New York, New York 10055.</w:t>
      </w:r>
    </w:p>
    <w:p>
      <w:pPr>
        <w:spacing w:after="0" w:line="97" w:lineRule="exact"/>
        <w:rPr>
          <w:rFonts w:ascii="Arial" w:cs="Arial" w:eastAsia="Arial" w:hAnsi="Arial"/>
          <w:sz w:val="21"/>
          <w:szCs w:val="21"/>
          <w:color w:val="auto"/>
          <w:vertAlign w:val="superscript"/>
        </w:rPr>
      </w:pPr>
    </w:p>
    <w:p>
      <w:pPr>
        <w:ind w:left="420" w:right="160" w:hanging="250"/>
        <w:spacing w:after="0" w:line="242" w:lineRule="auto"/>
        <w:tabs>
          <w:tab w:leader="none" w:pos="408"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Based solely on the information contained in a Schedule 13G/A filed with the SEC on February 14, 2023 by BAMCO, Inc. (“BAMCO”), Baron Capital Group, Inc. (“BCG”), Baron Capital Management, Inc. (“BCM”) and Ronald Baron (“Baron”). BAMCO reported shared voting power as to 2,394,234 shares and shared dispositive power as to 2,478,734 shares, BCG and Ronald Baron each reported shared voting power as to 2,599,391 shares and shared dispositive power as to 2,683,891 shares, and BCM reported shared voting and dispositive power as to 205,158 shares. The address of BAMCO, BCG, BCM and Baron is 767 Fifth Avenue, 49th Floor, New York, New York 10153.</w:t>
      </w:r>
    </w:p>
    <w:p>
      <w:pPr>
        <w:spacing w:after="0" w:line="94" w:lineRule="exact"/>
        <w:rPr>
          <w:rFonts w:ascii="Arial" w:cs="Arial" w:eastAsia="Arial" w:hAnsi="Arial"/>
          <w:sz w:val="21"/>
          <w:szCs w:val="21"/>
          <w:color w:val="auto"/>
          <w:vertAlign w:val="superscript"/>
        </w:rPr>
      </w:pPr>
    </w:p>
    <w:p>
      <w:pPr>
        <w:ind w:left="420" w:right="80" w:hanging="250"/>
        <w:spacing w:after="0"/>
        <w:tabs>
          <w:tab w:leader="none" w:pos="416"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Based solely on the information contained in a Schedule 13G/A filed with the SEC on February 10, 2023 jointly by Senvest Management LLC (“Senvest Management”) and Richard Mashaal. Senvest Management may be deemed to beneficially own 2,101,412 shares held by Senvest Master Fund, LP (“Senvest Fund”) due to its being the investment manager of Senvest Fund. Mr. Mashaal may be deemed to beneficially own all such shares due to his being the managing member of Senvest Management. Senvest Management and Mr. Mashaal have shared voting power and shared dispositive power with respect to all such shares. The address for Senvest Management and Mr. Mashaal is 540 Madison Avenue, 32nd Floor, New York, NY 10022.</w:t>
      </w:r>
    </w:p>
    <w:p>
      <w:pPr>
        <w:spacing w:after="0" w:line="291" w:lineRule="exact"/>
        <w:rPr>
          <w:rFonts w:ascii="Arial" w:cs="Arial" w:eastAsia="Arial" w:hAnsi="Arial"/>
          <w:sz w:val="21"/>
          <w:szCs w:val="21"/>
          <w:color w:val="auto"/>
          <w:vertAlign w:val="superscript"/>
        </w:rPr>
      </w:pPr>
    </w:p>
    <w:p>
      <w:pPr>
        <w:ind w:left="420" w:right="40" w:hanging="250"/>
        <w:spacing w:after="0" w:line="246" w:lineRule="auto"/>
        <w:tabs>
          <w:tab w:leader="none" w:pos="416"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Based solely on the information contained in the Schedule 13G filed with the SEC on February 14, 2023 jointly by JWM Family Enterprises, Inc. and JWM Family Enterprises, L.P. Consists of the following: (a) 919,999 shares owned by Thomas Point Ventures, L.P., a Delaware limited partnership, whose sole general partner is JWM Family Enterprises, L.P.; (b) 46,000 shares held by Penny Lane Limited Holdings, LLC, a Delaware limited liability company, whose sole member is JWM Family Enterprises, L.P.; (c) 47,500 shares owned by Anchorage Partners, L.P., a Delaware limited partnership, whose sole general partner is JWM Family Enterprises, L.P.; and (d) 989,298 shares owned by JWM Family Enterprises, L.P. JWM Family Enterprises, Inc. is the sole general partner of JWM Family Enterprises, L.P. The address of each of JWM Family Enterprises, Inc. and JWM Family Enterprises, L.P. is 540 Gaither Road, Suite 100, Rockville, MD 20850.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58</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3" w:name="page64"/>
    <w:bookmarkEnd w:id="63"/>
    <w:p>
      <w:pPr>
        <w:spacing w:after="0" w:line="32" w:lineRule="exact"/>
        <w:rPr>
          <w:sz w:val="20"/>
          <w:szCs w:val="20"/>
          <w:color w:val="auto"/>
        </w:rPr>
      </w:pPr>
    </w:p>
    <w:p>
      <w:pPr>
        <w:ind w:left="280" w:right="2480"/>
        <w:spacing w:after="0" w:line="257" w:lineRule="auto"/>
        <w:rPr>
          <w:sz w:val="20"/>
          <w:szCs w:val="20"/>
          <w:color w:val="auto"/>
        </w:rPr>
      </w:pPr>
      <w:r>
        <w:rPr>
          <w:rFonts w:ascii="Arial" w:cs="Arial" w:eastAsia="Arial" w:hAnsi="Arial"/>
          <w:sz w:val="54"/>
          <w:szCs w:val="54"/>
          <w:b w:val="1"/>
          <w:bCs w:val="1"/>
          <w:color w:val="auto"/>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-806450</wp:posOffset>
            </wp:positionV>
            <wp:extent cx="68580" cy="780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7804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ON TRANSACTIONS AND ARRANGEMENTS WITH RELATED PERSONS</w:t>
      </w:r>
    </w:p>
    <w:p>
      <w:pPr>
        <w:spacing w:after="0" w:line="112"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auto"/>
        </w:rPr>
        <w:t>We have adopted a written policy for approval of transactions and arrangements between the Company and “Related Persons,” which include our current and recent former directors, director nominees, current and recent former executive officers, greater than five percent stockholders, and immediate family members of any of the foregoing, where the amount involved exceeds, or may be expected to exceed, $120,000.</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policy provides that the Nominating and Corporate Governance Committee will conduct a reasonable prior review of, and oversee, all transactions subject to the policy for potential conflicts of interest and will prohibit a transaction if it determines it to be inconsistent with the interest of the Company and its stockholders. The Nominating and Corporate Governance Committee also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the Company than terms generally available to an unaffiliated third party under similar circumstances and the materiality of the related person’s interest in the transaction. The policy provides that transactions subject to the policy must be approved in advance, but if approval is required but not reasonably feasible, then the transaction will be considered and, if determined to be appropriate, ratified at the Nominating and Corporate Governance Committee's next regularly scheduled meeting.</w:t>
      </w:r>
    </w:p>
    <w:p>
      <w:pPr>
        <w:spacing w:after="0" w:line="8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No director, officer or associate of the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 If a transaction consists of a change to an existing transaction, the transaction will be evaluated on the basis of the terms of the overall transaction, arrangement or relationship so modified.</w:t>
      </w:r>
    </w:p>
    <w:p>
      <w:pPr>
        <w:spacing w:after="0" w:line="68" w:lineRule="exact"/>
        <w:rPr>
          <w:sz w:val="20"/>
          <w:szCs w:val="20"/>
          <w:color w:val="auto"/>
        </w:rPr>
      </w:pPr>
    </w:p>
    <w:p>
      <w:pPr>
        <w:jc w:val="both"/>
        <w:ind w:right="480"/>
        <w:spacing w:after="0" w:line="275" w:lineRule="auto"/>
        <w:rPr>
          <w:sz w:val="20"/>
          <w:szCs w:val="20"/>
          <w:color w:val="auto"/>
        </w:rPr>
      </w:pPr>
      <w:r>
        <w:rPr>
          <w:rFonts w:ascii="Arial" w:cs="Arial" w:eastAsia="Arial" w:hAnsi="Arial"/>
          <w:sz w:val="16"/>
          <w:szCs w:val="16"/>
          <w:color w:val="auto"/>
        </w:rPr>
        <w:t>The Nominating and Corporate Governance Committee has pre-approved under the policy certain transactions with related persons that meet specific criteria. A summary of certain new transactions we enter into that were pre-approved under the policy is required to be provided to the Nominating and Corporate Governance Committee at its regularly scheduled meetings. Pre-approved transactions are limited to:</w:t>
      </w:r>
    </w:p>
    <w:p>
      <w:pPr>
        <w:spacing w:after="0" w:line="56" w:lineRule="exact"/>
        <w:rPr>
          <w:sz w:val="20"/>
          <w:szCs w:val="20"/>
          <w:color w:val="auto"/>
        </w:rPr>
      </w:pPr>
    </w:p>
    <w:p>
      <w:pPr>
        <w:ind w:left="340" w:right="20" w:hanging="170"/>
        <w:spacing w:after="0" w:line="304" w:lineRule="auto"/>
        <w:tabs>
          <w:tab w:leader="none" w:pos="280"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ordinary course sales of vacation ownership, fractional or similar ownership interests with specified maximum dollar thresholds at prices that are no lower than those available under Company-wide employee discount programs;</w:t>
      </w:r>
    </w:p>
    <w:p>
      <w:pPr>
        <w:spacing w:after="0" w:line="33" w:lineRule="exact"/>
        <w:rPr>
          <w:rFonts w:ascii="Arial" w:cs="Arial" w:eastAsia="Arial" w:hAnsi="Arial"/>
          <w:sz w:val="16"/>
          <w:szCs w:val="16"/>
          <w:color w:val="004E7D"/>
        </w:rPr>
      </w:pPr>
    </w:p>
    <w:p>
      <w:pPr>
        <w:ind w:left="340" w:right="60" w:hanging="170"/>
        <w:spacing w:after="0" w:line="275" w:lineRule="auto"/>
        <w:tabs>
          <w:tab w:leader="none" w:pos="280"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rental of a time share unit, fractional unit, condominium or residence owned or controlled by a Related Person if the terms of the rental arrangement, including rental rate, are on terms that are no less favorable to the Company than terms generally available to an unaffiliated third-party under the same or similar circumstances;</w:t>
      </w:r>
    </w:p>
    <w:p>
      <w:pPr>
        <w:spacing w:after="0" w:line="56" w:lineRule="exact"/>
        <w:rPr>
          <w:rFonts w:ascii="Arial" w:cs="Arial" w:eastAsia="Arial" w:hAnsi="Arial"/>
          <w:sz w:val="16"/>
          <w:szCs w:val="16"/>
          <w:color w:val="004E7D"/>
        </w:rPr>
      </w:pPr>
    </w:p>
    <w:p>
      <w:pPr>
        <w:ind w:left="340" w:right="300" w:hanging="170"/>
        <w:spacing w:after="0" w:line="304" w:lineRule="auto"/>
        <w:tabs>
          <w:tab w:leader="none" w:pos="415"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spacing w:after="0" w:line="33" w:lineRule="exact"/>
        <w:rPr>
          <w:rFonts w:ascii="Arial" w:cs="Arial" w:eastAsia="Arial" w:hAnsi="Arial"/>
          <w:sz w:val="16"/>
          <w:szCs w:val="16"/>
          <w:color w:val="004E7D"/>
        </w:rPr>
      </w:pPr>
    </w:p>
    <w:p>
      <w:pPr>
        <w:ind w:left="340" w:right="740" w:hanging="170"/>
        <w:spacing w:after="0" w:line="286" w:lineRule="auto"/>
        <w:tabs>
          <w:tab w:leader="none" w:pos="415"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certain transactions with other companies and certain charitable contributions that satisfy the independence criteria under both our Corporate Governance Policies and the NYSE Listing Standards;</w:t>
      </w:r>
    </w:p>
    <w:p>
      <w:pPr>
        <w:spacing w:after="0" w:line="61" w:lineRule="exact"/>
        <w:rPr>
          <w:rFonts w:ascii="Arial" w:cs="Arial" w:eastAsia="Arial" w:hAnsi="Arial"/>
          <w:sz w:val="16"/>
          <w:szCs w:val="16"/>
          <w:color w:val="004E7D"/>
        </w:rPr>
      </w:pPr>
    </w:p>
    <w:p>
      <w:pPr>
        <w:ind w:left="400" w:hanging="230"/>
        <w:spacing w:after="0"/>
        <w:tabs>
          <w:tab w:leader="none" w:pos="400"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certain transactions with Marriott International in the ordinary course of business;</w:t>
      </w:r>
    </w:p>
    <w:p>
      <w:pPr>
        <w:spacing w:after="0" w:line="113" w:lineRule="exact"/>
        <w:rPr>
          <w:rFonts w:ascii="Arial" w:cs="Arial" w:eastAsia="Arial" w:hAnsi="Arial"/>
          <w:sz w:val="16"/>
          <w:szCs w:val="16"/>
          <w:color w:val="004E7D"/>
        </w:rPr>
      </w:pPr>
    </w:p>
    <w:p>
      <w:pPr>
        <w:ind w:left="340" w:hanging="170"/>
        <w:spacing w:after="0" w:line="304" w:lineRule="auto"/>
        <w:tabs>
          <w:tab w:leader="none" w:pos="415"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transactions where the related party’s interest arises solely from ownership of our common stock and all holders of our common stock receive the same benefit on a pro rata basis;</w:t>
      </w:r>
    </w:p>
    <w:p>
      <w:pPr>
        <w:spacing w:after="0" w:line="33" w:lineRule="exact"/>
        <w:rPr>
          <w:rFonts w:ascii="Arial" w:cs="Arial" w:eastAsia="Arial" w:hAnsi="Arial"/>
          <w:sz w:val="16"/>
          <w:szCs w:val="16"/>
          <w:color w:val="004E7D"/>
        </w:rPr>
      </w:pPr>
    </w:p>
    <w:p>
      <w:pPr>
        <w:ind w:left="340" w:hanging="170"/>
        <w:spacing w:after="0" w:line="259" w:lineRule="auto"/>
        <w:tabs>
          <w:tab w:leader="none" w:pos="415" w:val="left"/>
        </w:tabs>
        <w:numPr>
          <w:ilvl w:val="0"/>
          <w:numId w:val="129"/>
        </w:numPr>
        <w:rPr>
          <w:rFonts w:ascii="Arial" w:cs="Arial" w:eastAsia="Arial" w:hAnsi="Arial"/>
          <w:sz w:val="16"/>
          <w:szCs w:val="16"/>
          <w:color w:val="004E7D"/>
        </w:rPr>
      </w:pPr>
      <w:r>
        <w:rPr>
          <w:rFonts w:ascii="Arial" w:cs="Arial" w:eastAsia="Arial" w:hAnsi="Arial"/>
          <w:sz w:val="16"/>
          <w:szCs w:val="16"/>
          <w:color w:val="auto"/>
        </w:rPr>
        <w:t>certain transactions involving the employment of a Related Person by the Company or one of its subsidiaries where the amount of annual compensation involved (including salary and incentive awards) is or is expected to be less than $120,000 upon initial hire, provided that such transaction is approved by at least two members of the Corporate Growth Committee (an internal management committee whose members currently include our Chief Financial Officer, General Counsel, Chief Human Resources Officer and other executive officers) who do not have any direct or indirect interest in the transaction determine that the terms and amount of such compensation (including salary and incentive awards) are commensurate with the Related Person's qualifications and responsibilities and with the compensation of other employees holding similar positions; after initial hire, any promotion of or special award granted to such Related Person shall be submitted to the Nominating and Corporate Governance Committee for approval in accordance with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59</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ind w:left="400" w:hanging="230"/>
        <w:spacing w:after="0"/>
        <w:tabs>
          <w:tab w:leader="none" w:pos="400" w:val="left"/>
        </w:tabs>
        <w:numPr>
          <w:ilvl w:val="0"/>
          <w:numId w:val="130"/>
        </w:numPr>
        <w:rPr>
          <w:rFonts w:ascii="Arial" w:cs="Arial" w:eastAsia="Arial" w:hAnsi="Arial"/>
          <w:sz w:val="16"/>
          <w:szCs w:val="16"/>
          <w:color w:val="004E7D"/>
        </w:rPr>
      </w:pPr>
      <w:r>
        <w:rPr>
          <w:rFonts w:ascii="Arial" w:cs="Arial" w:eastAsia="Arial" w:hAnsi="Arial"/>
          <w:sz w:val="16"/>
          <w:szCs w:val="16"/>
          <w:color w:val="auto"/>
        </w:rPr>
        <w:t>transactions where the rates or charges involved are determined by competitive bids, or fixed in conformity with law or governmental authority; and</w:t>
      </w:r>
    </w:p>
    <w:p>
      <w:pPr>
        <w:spacing w:after="0" w:line="113" w:lineRule="exact"/>
        <w:rPr>
          <w:rFonts w:ascii="Arial" w:cs="Arial" w:eastAsia="Arial" w:hAnsi="Arial"/>
          <w:sz w:val="16"/>
          <w:szCs w:val="16"/>
          <w:color w:val="004E7D"/>
        </w:rPr>
      </w:pPr>
    </w:p>
    <w:p>
      <w:pPr>
        <w:ind w:left="400" w:hanging="230"/>
        <w:spacing w:after="0"/>
        <w:tabs>
          <w:tab w:leader="none" w:pos="400" w:val="left"/>
        </w:tabs>
        <w:numPr>
          <w:ilvl w:val="0"/>
          <w:numId w:val="130"/>
        </w:numPr>
        <w:rPr>
          <w:rFonts w:ascii="Arial" w:cs="Arial" w:eastAsia="Arial" w:hAnsi="Arial"/>
          <w:sz w:val="16"/>
          <w:szCs w:val="16"/>
          <w:color w:val="004E7D"/>
        </w:rPr>
      </w:pPr>
      <w:r>
        <w:rPr>
          <w:rFonts w:ascii="Arial" w:cs="Arial" w:eastAsia="Arial" w:hAnsi="Arial"/>
          <w:sz w:val="16"/>
          <w:szCs w:val="16"/>
          <w:color w:val="auto"/>
        </w:rPr>
        <w:t>transactions involving banking-related services such as transfer agent, registrar, trustee under a trust indenture or similar services.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FILINGS</w:t>
      </w:r>
    </w:p>
    <w:p>
      <w:pPr>
        <w:spacing w:after="0" w:line="12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directors, executive officers and holders of more than 10% of the Company’s common stock to file with the Securities and Exchange Commission initial reports of ownership and reports of changes in ownership of common stock and other equity securities of the Company. To our knowledge, based solely on a review of copies of Forms 3, 4 and 5 and any amendments thereto filed with the Securities and Exchange Commission and stockholder reports from our transfer agent and written representations that no other reports were required, during the fiscal year ended December 31, 2022 our officers, directors and 10% or more stockholders complied with all Section 16(a) filing requirements applicable to them except that one Form 3 for Ms. Pighini was not filed on time due to administrative error.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POTENTIAL CONFLICTS OF INTEREST</w:t>
      </w:r>
    </w:p>
    <w:p>
      <w:pPr>
        <w:spacing w:after="0" w:line="11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Since the Spin-Off, we have employed Scott Weisz, son of Stephen P. Weisz, who served as our Chief Executive Officer during 2022. Scott Weisz is employed as Senior Vice President, Global IRM (Inventory &amp; Revenue Management) and Vacation Ownership, a position he has held since August 21, 2021. In 2022, he received compensation from the Company in the aggregate amount of $502,897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6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As described in our 2022 Annual Report, The Ritz-Carlton Hotel Company manages the on-site operations for The Ritz-Carlton Destination Club and The Ritz-Carlton Residences properties in our portfolio under separate management agreements with us. Theodorus Schavemaker, who is the son-in-law of Stephen P. Weisz, who served as our Chief Executive Officer during 2022, has been employed by The Ritz-Carlton Hotel Company since October 2021 as the Vice President of Club Operations. In this capacity, Mr. Schavemaker directly oversees on-site hospitality management by The Ritz-Carlton Hotel Company of The Ritz-Carlton Destination Club and The Ritz-Carlton Residences properties in our portfolio. In 2022, he received compensation from The Ritz-Carlton Hotel Company in the aggregate amount of $307,615 (which includes base salary, bonus, and the value of stock-based awards and other compensation). We have no involvement in establishing his compensation.</w:t>
      </w:r>
    </w:p>
    <w:p>
      <w:pPr>
        <w:spacing w:after="0" w:line="8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Since the acquisition of ILG, we have employed David Marbert, son of Jeanette E. Marbert, our President, Exchange &amp; Third-Party Management. David Marbert is employed as Director, Products and Partnership, a position he has held since August 6, 2022. In 2022, he received compensation from the Company in the aggregate amount of $124,620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December 2022, R. Lee Cunningham, our former Executive Vice President and Chief Operating Officer—Vacation Ownership, entered into a rental management agreement with respect to a unit at our Marriott’s Kauai Lagoons—Kalanipu’u resort that he owns. The agreement provides for payments to Mr. Cunningham based on the number of weeks rented by the Company, which we expect could exceed $120,000 per year for up to three years. Actual payments to Mr. Cunningham will depend on rental rates and the number of weeks rented. As contemplated by our policy for approval of transactions and arrangements between the Company and Related Persons, the transaction was approved by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40" w:type="dxa"/>
            <w:vAlign w:val="bottom"/>
            <w:tcBorders>
              <w:bottom w:val="single" w:sz="8" w:color="004E7D"/>
            </w:tcBorders>
          </w:tcPr>
          <w:p>
            <w:pPr>
              <w:jc w:val="right"/>
              <w:spacing w:after="0"/>
              <w:rPr>
                <w:sz w:val="20"/>
                <w:szCs w:val="20"/>
                <w:color w:val="auto"/>
              </w:rPr>
            </w:pPr>
            <w:r>
              <w:rPr>
                <w:rFonts w:ascii="Arial" w:cs="Arial" w:eastAsia="Arial" w:hAnsi="Arial"/>
                <w:sz w:val="11"/>
                <w:szCs w:val="11"/>
                <w:b w:val="1"/>
                <w:bCs w:val="1"/>
                <w:color w:val="004E7D"/>
              </w:rPr>
              <w:t>60</w:t>
            </w:r>
          </w:p>
        </w:tc>
      </w:tr>
      <w:tr>
        <w:trPr>
          <w:trHeight w:val="210"/>
        </w:trPr>
        <w:tc>
          <w:tcPr>
            <w:tcW w:w="720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5" w:name="page66"/>
    <w:bookmarkEnd w:id="65"/>
    <w:p>
      <w:pPr>
        <w:ind w:left="320"/>
        <w:spacing w:after="0" w:line="235" w:lineRule="auto"/>
        <w:rPr>
          <w:sz w:val="20"/>
          <w:szCs w:val="20"/>
          <w:color w:val="auto"/>
        </w:rPr>
      </w:pPr>
      <w:r>
        <w:rPr>
          <w:rFonts w:ascii="Arial" w:cs="Arial" w:eastAsia="Arial" w:hAnsi="Arial"/>
          <w:sz w:val="54"/>
          <w:szCs w:val="54"/>
          <w:b w:val="1"/>
          <w:bCs w:val="1"/>
          <w:color w:val="auto"/>
        </w:rPr>
        <w:t>STOCKHOLDER PROPOSALS AND NOMINATIONS FOR DIRECTORS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68580" cy="11226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122680"/>
                    </a:xfrm>
                    <a:prstGeom prst="rect">
                      <a:avLst/>
                    </a:prstGeom>
                    <a:noFill/>
                  </pic:spPr>
                </pic:pic>
              </a:graphicData>
            </a:graphic>
          </wp:anchor>
        </w:drawing>
      </w:r>
    </w:p>
    <w:p>
      <w:pPr>
        <w:spacing w:after="0" w:line="320" w:lineRule="exact"/>
        <w:rPr>
          <w:sz w:val="20"/>
          <w:szCs w:val="20"/>
          <w:color w:val="auto"/>
        </w:rPr>
      </w:pPr>
    </w:p>
    <w:p>
      <w:pPr>
        <w:ind w:left="40"/>
        <w:spacing w:after="0" w:line="265" w:lineRule="auto"/>
        <w:rPr>
          <w:sz w:val="20"/>
          <w:szCs w:val="20"/>
          <w:color w:val="auto"/>
        </w:rPr>
      </w:pPr>
      <w:r>
        <w:rPr>
          <w:rFonts w:ascii="Arial" w:cs="Arial" w:eastAsia="Arial" w:hAnsi="Arial"/>
          <w:sz w:val="16"/>
          <w:szCs w:val="16"/>
          <w:color w:val="auto"/>
        </w:rPr>
        <w:t>Under Rule 14a-8, any stockholder proposals intended to be presented at the Company’s 2024 Annual Meeting of Stockholders (the “2024 Annual Meeting”) must be received by the Company at 9002 San Marco Court, Orlando, Florida 32819, Attn: Corporate Secretary, on or before December 1, 2023, to be eligible for inclusion in our Proxy Statement related to our 2024 Annual Meeting of Stockholders. Any such proposal will be subject to the requirement of the proxy rules adopted under the Exchange Act, and as with any stockholder proposal (regardless of whether such proposal is included in the Company’s proxy materials), our Restated Certificate of Incorporation and our Restated Bylaws and Delaware law.</w:t>
      </w:r>
    </w:p>
    <w:p>
      <w:pPr>
        <w:spacing w:after="0" w:line="64" w:lineRule="exact"/>
        <w:rPr>
          <w:sz w:val="20"/>
          <w:szCs w:val="20"/>
          <w:color w:val="auto"/>
        </w:rPr>
      </w:pPr>
    </w:p>
    <w:p>
      <w:pPr>
        <w:ind w:left="40" w:right="20"/>
        <w:spacing w:after="0" w:line="258" w:lineRule="auto"/>
        <w:rPr>
          <w:sz w:val="20"/>
          <w:szCs w:val="20"/>
          <w:color w:val="auto"/>
        </w:rPr>
      </w:pPr>
      <w:r>
        <w:rPr>
          <w:rFonts w:ascii="Arial" w:cs="Arial" w:eastAsia="Arial" w:hAnsi="Arial"/>
          <w:sz w:val="16"/>
          <w:szCs w:val="16"/>
          <w:color w:val="auto"/>
        </w:rPr>
        <w:t>For proposals or director nominations to be considered for presentation at our next annual meeting, but not for inclusion in our Proxy Statement for that meeting, proposals must be delivered to the Company’s Corporate Secretary at its principal executive office not later than the close of business on the 90th day nor earlier than the close of business on the 120th day prior to the first anniversary of the preceding year’s annual meeting. For the 2024 Annual Meeting, such nominations or proposals must be delivered to the Corporate Secretary no later than the close of business on February 12, 2024 nor earlier than the close of business on January 13, 2024. In the event that the date of the Company’s annual meeting is more than 30 days before or more than 70 days after the first anniversary of the preceding year’s annual meeting, then, to be timely, such stockholder’s notice must be submitted in writing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In addition to satisfying the deadlines above, a shareholder who intends to solicit proxies in support of director nominees must provide the notice required under Rule 14a-19 to the Company on or before March 15, 2024.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sz w:val="1"/>
          <w:szCs w:val="1"/>
          <w:color w:val="auto"/>
        </w:rPr>
        <w:drawing>
          <wp:inline distT="0" distB="0" distL="0" distR="0">
            <wp:extent cx="68580" cy="43688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OTHER INFORMATION</w:t>
      </w:r>
    </w:p>
    <w:p>
      <w:pPr>
        <w:spacing w:after="0" w:line="350" w:lineRule="exact"/>
        <w:rPr>
          <w:sz w:val="20"/>
          <w:szCs w:val="20"/>
          <w:color w:val="auto"/>
        </w:rPr>
      </w:pPr>
    </w:p>
    <w:p>
      <w:pPr>
        <w:ind w:left="40" w:right="60"/>
        <w:spacing w:after="0" w:line="260" w:lineRule="auto"/>
        <w:rPr>
          <w:sz w:val="20"/>
          <w:szCs w:val="20"/>
          <w:color w:val="auto"/>
        </w:rPr>
      </w:pPr>
      <w:r>
        <w:rPr>
          <w:rFonts w:ascii="Arial" w:cs="Arial" w:eastAsia="Arial" w:hAnsi="Arial"/>
          <w:sz w:val="16"/>
          <w:szCs w:val="16"/>
          <w:color w:val="auto"/>
        </w:rPr>
        <w:t>This Proxy is solicited on behalf of the Board. The Company will bear all expenses in connection with the Annual Meeting and this proxy solicitation. Proxies may be solicited by certain of our directors, officers and employees, without additional compensation, in person, by telephone, by mail, telegram, facsimile, or other electronic or other means. Broadridge Financial Services, Inc. will request that brokerage houses, banks and other custodians forward the proxy materials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83" w:lineRule="exact"/>
        <w:rPr>
          <w:sz w:val="20"/>
          <w:szCs w:val="20"/>
          <w:color w:val="auto"/>
        </w:rPr>
      </w:pPr>
    </w:p>
    <w:p>
      <w:pPr>
        <w:ind w:left="40" w:right="40"/>
        <w:spacing w:after="0" w:line="256" w:lineRule="auto"/>
        <w:rPr>
          <w:sz w:val="20"/>
          <w:szCs w:val="20"/>
          <w:color w:val="auto"/>
        </w:rPr>
      </w:pPr>
      <w:r>
        <w:rPr>
          <w:rFonts w:ascii="Arial" w:cs="Arial" w:eastAsia="Arial" w:hAnsi="Arial"/>
          <w:sz w:val="16"/>
          <w:szCs w:val="16"/>
          <w:color w:val="auto"/>
        </w:rPr>
        <w:t>If you and other residents at your mailing address own shares of common stock in street name, your broker or bank may have sent you a notice that your household will receive only one Notice Regarding the Availability of Proxy Materials or set of proxy materials for each company in which you hold stock through that broker or bank unless you respond with contrary instructions. This practice, known as “householding,” is designed to reduce our printing and postage costs. If you did not respond, the broker or bank will send only one copy of the notice regarding the availability of proxy materials to your address. You may revoke your consent to householding at any time by contacting Broadridge Financial Services, Inc. either by calling 1-866-540-7095 or by writing to Broadridge Householding Department, 51 Mercedes Way, Edgewood, New York 11717. In any event, if you did not receive an individual copy of the Notice Regarding the Availability of Proxy Materials, or if you wish to receive individual copies of the Notice Regarding the Availability of Proxy Materials or our proxy materials for future meetings, we will promptly send a copy to you if you write to Marriott Vacations Worldwide Corporation, 9002 San Marco Court, Orlando, Florida, 32819, Attention: Investor Relations or call Investor Relations at 1-407-206-6000. If you and other residents at your mailing address are registered stockholders and you receive more than one copy of the Notice Regarding the Availability of Proxy Materials, but you wish to receive only one copy, you must request, in writing, that the Company eliminate these duplicate mailings. To request the elimination of duplicate copies, please write to Computershare, P.O. Box 43078, Providence, Rhode Island, 02940-3078.</w:t>
      </w:r>
    </w:p>
    <w:p>
      <w:pPr>
        <w:spacing w:after="0" w:line="75" w:lineRule="exact"/>
        <w:rPr>
          <w:sz w:val="20"/>
          <w:szCs w:val="20"/>
          <w:color w:val="auto"/>
        </w:rPr>
      </w:pPr>
    </w:p>
    <w:p>
      <w:pPr>
        <w:ind w:left="40" w:right="80"/>
        <w:spacing w:after="0" w:line="275" w:lineRule="auto"/>
        <w:rPr>
          <w:sz w:val="20"/>
          <w:szCs w:val="20"/>
          <w:color w:val="auto"/>
        </w:rPr>
      </w:pPr>
      <w:r>
        <w:rPr>
          <w:rFonts w:ascii="Arial" w:cs="Arial" w:eastAsia="Arial" w:hAnsi="Arial"/>
          <w:sz w:val="16"/>
          <w:szCs w:val="16"/>
          <w:b w:val="1"/>
          <w:bCs w:val="1"/>
          <w:color w:val="auto"/>
        </w:rPr>
        <w:t>Any stockholder who would like a copy of our 2022 Annual Report may obtain one, without charge, by addressing a request to the Corporate Secretary, Marriott Vacations Worldwide Corporation, 9002 San Marco Court, Orlando, Florida, 32819. The Company’s copying costs will be charged if copies of exhibits to the 2022 Annual Report are requested. You may also obtain a copy of the 2022 Annual Report, including exhibits, from the Investor Relations portion of our website (www.marriottvacationsworldwide.com) by clicking on “Financial Information”.</w:t>
      </w:r>
    </w:p>
    <w:p>
      <w:pPr>
        <w:sectPr>
          <w:pgSz w:w="11900" w:h="16838" w:orient="portrait"/>
          <w:cols w:equalWidth="0" w:num="1">
            <w:col w:w="11260"/>
          </w:cols>
          <w:pgMar w:left="280" w:top="12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tabs>
          <w:tab w:leader="none" w:pos="1112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0"/>
          <w:szCs w:val="10"/>
          <w:b w:val="1"/>
          <w:bCs w:val="1"/>
          <w:color w:val="004E7D"/>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146685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22225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280" w:top="1282" w:right="359" w:bottom="1440" w:gutter="0" w:footer="0" w:header="0"/>
          <w:type w:val="continuous"/>
        </w:sectPr>
      </w:pPr>
    </w:p>
    <w:bookmarkStart w:id="66" w:name="page67"/>
    <w:bookmarkEnd w:id="66"/>
    <w:p>
      <w:pPr>
        <w:spacing w:after="0"/>
        <w:rPr>
          <w:sz w:val="20"/>
          <w:szCs w:val="20"/>
          <w:color w:val="auto"/>
        </w:rPr>
      </w:pPr>
      <w:r>
        <w:rPr>
          <w:sz w:val="1"/>
          <w:szCs w:val="1"/>
          <w:color w:val="auto"/>
        </w:rPr>
        <w:drawing>
          <wp:inline distT="0" distB="0" distL="0" distR="0">
            <wp:extent cx="68580" cy="43688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APPENDIX A</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PROPOSED AMENDMENTS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Classification</w:t>
      </w:r>
      <w:r>
        <w:rPr>
          <w:rFonts w:ascii="Arial" w:cs="Arial" w:eastAsia="Arial" w:hAnsi="Arial"/>
          <w:sz w:val="16"/>
          <w:szCs w:val="16"/>
          <w:color w:val="auto"/>
        </w:rPr>
        <w:t>.</w:t>
      </w:r>
    </w:p>
    <w:p>
      <w:pPr>
        <w:spacing w:after="0" w:line="113" w:lineRule="exact"/>
        <w:rPr>
          <w:sz w:val="20"/>
          <w:szCs w:val="20"/>
          <w:color w:val="auto"/>
        </w:rPr>
      </w:pPr>
    </w:p>
    <w:p>
      <w:pPr>
        <w:ind w:left="40" w:right="80" w:firstLine="8"/>
        <w:spacing w:after="0" w:line="255"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strike w:val="1"/>
        </w:rPr>
        <w:t>The Board of Directors (other than those directors elected by the holders of any series of Preferred Stock provided for or fixed pursuant to the provisions of Article IV hereof (the “Preferred Stock Directors”)) shall be divided into three classes, as nearly equal in number as possible, designated Class I, Class II and Class III. Class I directors shall initially serve until the first annual meeting of stockholders following the effectiveness of this Section 5.2; Class II directors shall initially serve until the second annual meeting of stockholders following the effectiveness of this Section 5.2; and Class III directors shall initially serve until the third annual meeting of stockholders following the effectiveness of this Section 5.2. Commencing with the first annual meeting of stockholders following the effectiveness of this Section 5.2, directors of each class the term of which shall then expire shall be elected to hold office for a three-year term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r>
        <w:rPr>
          <w:rFonts w:ascii="Arial" w:cs="Arial" w:eastAsia="Arial" w:hAnsi="Arial"/>
          <w:sz w:val="16"/>
          <w:szCs w:val="16"/>
          <w:u w:val="single" w:color="auto"/>
          <w:color w:val="auto"/>
          <w:strike w:val="1"/>
        </w:rPr>
        <w:t>Commencing with the 2024 annual meeting of stockholders of the Corporation, but subject to any provision for the election of directors by one or</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more series of Preferred Stock, the directors shall be elected by the stockholders entitled to vote thereon for terms expiring at the next succeeding annual meeting of stockholders; provided, however, that any director elected or appointed prior to the 2024 annual meeting of stockholders shall complete the term of office to which such director has been elected or appointed. The term of office for each director serving in the class elected at the 2021 annual meeting of stockholders shall expire at the 2024 annual meeting of stockholders; the term of office for each director serving in the class elected at the 2022 annual meeting of stockholders shall expire at the 2025 annual meeting of stockholders; and the term of office for each director serving in the class elected at the 2023 annual meeting of stockholders shall expire at the 2026 annual meeting of stockholders. The division of the Board of Directors into classes shall terminate at the 2026 annual meeting of stockholders. A director shall hold office until his or her successor shall be elected and shall qualify, subject, however, to prior death, resignation, retirement, disqualification or removal from office.</w:t>
      </w:r>
    </w:p>
    <w:p>
      <w:pPr>
        <w:spacing w:after="0" w:line="92" w:lineRule="exact"/>
        <w:rPr>
          <w:rFonts w:ascii="Arial" w:cs="Arial" w:eastAsia="Arial" w:hAnsi="Arial"/>
          <w:sz w:val="16"/>
          <w:szCs w:val="16"/>
          <w:color w:val="auto"/>
        </w:rPr>
      </w:pPr>
    </w:p>
    <w:p>
      <w:pPr>
        <w:ind w:left="40" w:right="20" w:firstLine="8"/>
        <w:spacing w:after="0" w:line="258"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Subject to the rights of the holders of any one or more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provided by law, be filled solely by the affirmative vote of a majority of the remaining directors then in office, even though less than a quorum of the Board of Directors. Any director so chosen shall hold office until </w:t>
      </w:r>
      <w:r>
        <w:rPr>
          <w:rFonts w:ascii="Arial" w:cs="Arial" w:eastAsia="Arial" w:hAnsi="Arial"/>
          <w:sz w:val="16"/>
          <w:szCs w:val="16"/>
          <w:color w:val="auto"/>
          <w:strike w:val="1"/>
        </w:rPr>
        <w:t>the next election of the class for which such director</w:t>
      </w:r>
      <w:r>
        <w:rPr>
          <w:rFonts w:ascii="Arial" w:cs="Arial" w:eastAsia="Arial" w:hAnsi="Arial"/>
          <w:sz w:val="16"/>
          <w:szCs w:val="16"/>
          <w:color w:val="auto"/>
        </w:rPr>
        <w:t xml:space="preserve"> </w:t>
      </w:r>
      <w:r>
        <w:rPr>
          <w:rFonts w:ascii="Arial" w:cs="Arial" w:eastAsia="Arial" w:hAnsi="Arial"/>
          <w:sz w:val="16"/>
          <w:szCs w:val="16"/>
          <w:color w:val="auto"/>
          <w:strike w:val="1"/>
        </w:rPr>
        <w:t>shall have been chosen and until his</w:t>
      </w:r>
      <w:r>
        <w:rPr>
          <w:rFonts w:ascii="Arial" w:cs="Arial" w:eastAsia="Arial" w:hAnsi="Arial"/>
          <w:sz w:val="16"/>
          <w:szCs w:val="16"/>
          <w:u w:val="single" w:color="auto"/>
          <w:color w:val="auto"/>
          <w:strike w:val="1"/>
        </w:rPr>
        <w:t>(i) in the case of any vacancy so filled prior to the 2026 annual meeting of stockholders, for the remainder of the term of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the director being replaced or, in the case of an additional director, for the remainder of the term of the class to which the director has been assigned and (ii) in the case of any vacancy so filled at or after the 2026 annual meeting of stockholders, until the next annual meeting of stockholders, and in all cases, until his or her</w:t>
      </w:r>
      <w:r>
        <w:rPr>
          <w:rFonts w:ascii="Arial" w:cs="Arial" w:eastAsia="Arial" w:hAnsi="Arial"/>
          <w:sz w:val="16"/>
          <w:szCs w:val="16"/>
          <w:color w:val="auto"/>
          <w:strike w:val="1"/>
        </w:rPr>
        <w:t xml:space="preserve"> successor shall be elected and qualified</w:t>
      </w:r>
      <w:r>
        <w:rPr>
          <w:rFonts w:ascii="Arial" w:cs="Arial" w:eastAsia="Arial" w:hAnsi="Arial"/>
          <w:sz w:val="16"/>
          <w:szCs w:val="16"/>
          <w:u w:val="single" w:color="auto"/>
          <w:color w:val="auto"/>
          <w:strike w:val="1"/>
        </w:rPr>
        <w:t>, or until his or her earlier death, resignation, retirement, disqualification or removal from office</w:t>
      </w:r>
      <w:r>
        <w:rPr>
          <w:rFonts w:ascii="Arial" w:cs="Arial" w:eastAsia="Arial" w:hAnsi="Arial"/>
          <w:sz w:val="16"/>
          <w:szCs w:val="16"/>
          <w:color w:val="auto"/>
          <w:strike w:val="1"/>
        </w:rPr>
        <w:t>. No decrease in the authorized number of directors shall shorten the term of any incumbent director.</w:t>
      </w:r>
    </w:p>
    <w:p>
      <w:pPr>
        <w:spacing w:after="0" w:line="69" w:lineRule="exact"/>
        <w:rPr>
          <w:rFonts w:ascii="Arial" w:cs="Arial" w:eastAsia="Arial" w:hAnsi="Arial"/>
          <w:sz w:val="16"/>
          <w:szCs w:val="16"/>
          <w:color w:val="auto"/>
        </w:rPr>
      </w:pPr>
    </w:p>
    <w:p>
      <w:pPr>
        <w:ind w:left="40" w:right="360" w:firstLine="8"/>
        <w:spacing w:after="0" w:line="265" w:lineRule="auto"/>
        <w:tabs>
          <w:tab w:leader="none" w:pos="274" w:val="left"/>
        </w:tabs>
        <w:numPr>
          <w:ilvl w:val="0"/>
          <w:numId w:val="131"/>
        </w:numPr>
        <w:rPr>
          <w:rFonts w:ascii="Arial" w:cs="Arial" w:eastAsia="Arial" w:hAnsi="Arial"/>
          <w:sz w:val="16"/>
          <w:szCs w:val="16"/>
          <w:color w:val="auto"/>
        </w:rPr>
      </w:pPr>
      <w:r>
        <w:rPr>
          <w:rFonts w:ascii="Arial" w:cs="Arial" w:eastAsia="Arial" w:hAnsi="Arial"/>
          <w:sz w:val="16"/>
          <w:szCs w:val="16"/>
          <w:color w:val="auto"/>
          <w:strike w:val="1"/>
        </w:rPr>
        <w:t xml:space="preserve">Except for such additional directors, if any, as are elected by the holders of any series of Preferred Stock as provided for or fixed pursuant to the provisions of Article IV hereof, any director, or the entire Board of Directors, </w:t>
      </w:r>
      <w:r>
        <w:rPr>
          <w:rFonts w:ascii="Arial" w:cs="Arial" w:eastAsia="Arial" w:hAnsi="Arial"/>
          <w:sz w:val="16"/>
          <w:szCs w:val="16"/>
          <w:u w:val="single" w:color="auto"/>
          <w:color w:val="auto"/>
          <w:strike w:val="1"/>
        </w:rPr>
        <w:t>Any directors serving in a class of directors elected for a term expiring at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third annual meeting of stockholders following the election of such class</w:t>
      </w:r>
      <w:r>
        <w:rPr>
          <w:rFonts w:ascii="Arial" w:cs="Arial" w:eastAsia="Arial" w:hAnsi="Arial"/>
          <w:sz w:val="16"/>
          <w:szCs w:val="16"/>
          <w:color w:val="auto"/>
          <w:strike w:val="1"/>
        </w:rPr>
        <w:t xml:space="preserve"> may be removed from office at any time, but only for cause and only by the affirmative vote of at least 66 2/3% of the total voting power of the outstanding shares of capital stock of the Corporation entitled to vote generally in the election of directors, voting together as a single class. </w:t>
      </w:r>
      <w:r>
        <w:rPr>
          <w:rFonts w:ascii="Arial" w:cs="Arial" w:eastAsia="Arial" w:hAnsi="Arial"/>
          <w:sz w:val="16"/>
          <w:szCs w:val="16"/>
          <w:u w:val="single" w:color="auto"/>
          <w:color w:val="auto"/>
          <w:strike w:val="1"/>
        </w:rPr>
        <w:t>All other directors may be removed either for or without cause.</w:t>
      </w:r>
    </w:p>
    <w:p>
      <w:pPr>
        <w:spacing w:after="0" w:line="64" w:lineRule="exact"/>
        <w:rPr>
          <w:rFonts w:ascii="Arial" w:cs="Arial" w:eastAsia="Arial" w:hAnsi="Arial"/>
          <w:sz w:val="16"/>
          <w:szCs w:val="16"/>
          <w:color w:val="auto"/>
        </w:rPr>
      </w:pPr>
    </w:p>
    <w:p>
      <w:pPr>
        <w:ind w:left="40" w:right="80" w:firstLine="8"/>
        <w:spacing w:after="0" w:line="258"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have the right to elect additional directors as provided for or fixed pursuant to the provisions of Article IV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860" w:type="dxa"/>
            <w:vAlign w:val="bottom"/>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380" w:type="dxa"/>
            <w:vAlign w:val="bottom"/>
            <w:gridSpan w:val="2"/>
          </w:tcPr>
          <w:p>
            <w:pPr>
              <w:ind w:left="3560"/>
              <w:spacing w:after="0"/>
              <w:rPr>
                <w:sz w:val="20"/>
                <w:szCs w:val="20"/>
                <w:color w:val="auto"/>
              </w:rPr>
            </w:pPr>
            <w:r>
              <w:rPr>
                <w:rFonts w:ascii="Arial" w:cs="Arial" w:eastAsia="Arial" w:hAnsi="Arial"/>
                <w:sz w:val="11"/>
                <w:szCs w:val="11"/>
                <w:b w:val="1"/>
                <w:bCs w:val="1"/>
                <w:color w:val="004E7D"/>
              </w:rPr>
              <w:t>A-1</w:t>
            </w:r>
          </w:p>
        </w:tc>
      </w:tr>
      <w:tr>
        <w:trPr>
          <w:trHeight w:val="210"/>
        </w:trPr>
        <w:tc>
          <w:tcPr>
            <w:tcW w:w="6860" w:type="dxa"/>
            <w:vAlign w:val="bottom"/>
            <w:tcBorders>
              <w:top w:val="single" w:sz="8" w:color="004E7D"/>
              <w:bottom w:val="single" w:sz="8" w:color="9A9A9A"/>
            </w:tcBorders>
          </w:tcPr>
          <w:p>
            <w:pPr>
              <w:spacing w:after="0"/>
              <w:rPr>
                <w:sz w:val="18"/>
                <w:szCs w:val="18"/>
                <w:color w:val="auto"/>
              </w:rPr>
            </w:pPr>
          </w:p>
        </w:tc>
        <w:tc>
          <w:tcPr>
            <w:tcW w:w="3760" w:type="dxa"/>
            <w:vAlign w:val="bottom"/>
            <w:tcBorders>
              <w:top w:val="single" w:sz="8" w:color="004E7D"/>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280" w:top="1416" w:right="339" w:bottom="1440" w:gutter="0" w:footer="0" w:header="0"/>
        </w:sectPr>
      </w:pPr>
    </w:p>
    <w:bookmarkStart w:id="67" w:name="page68"/>
    <w:bookmarkEnd w:id="67"/>
    <w:p>
      <w:pPr>
        <w:spacing w:after="0"/>
        <w:rPr>
          <w:sz w:val="20"/>
          <w:szCs w:val="20"/>
          <w:color w:val="auto"/>
        </w:rPr>
      </w:pPr>
      <w:r>
        <w:rPr>
          <w:sz w:val="1"/>
          <w:szCs w:val="1"/>
          <w:color w:val="auto"/>
        </w:rPr>
        <w:drawing>
          <wp:inline distT="0" distB="0" distL="0" distR="0">
            <wp:extent cx="68580" cy="43688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436880"/>
                    </a:xfrm>
                    <a:prstGeom prst="rect">
                      <a:avLst/>
                    </a:prstGeom>
                    <a:noFill/>
                    <a:ln>
                      <a:noFill/>
                    </a:ln>
                  </pic:spPr>
                </pic:pic>
              </a:graphicData>
            </a:graphic>
          </wp:inline>
        </w:drawing>
      </w:r>
      <w:r>
        <w:rPr>
          <w:rFonts w:ascii="Arial" w:cs="Arial" w:eastAsia="Arial" w:hAnsi="Arial"/>
          <w:sz w:val="54"/>
          <w:szCs w:val="54"/>
          <w:b w:val="1"/>
          <w:bCs w:val="1"/>
          <w:color w:val="auto"/>
        </w:rPr>
        <w:t xml:space="preserve"> APPENDIX B</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Reconciliation of Non-GAAP Measures to GAAP Measures (Unaudited)</w:t>
      </w:r>
    </w:p>
    <w:p>
      <w:pPr>
        <w:spacing w:after="0" w:line="131" w:lineRule="exact"/>
        <w:rPr>
          <w:sz w:val="20"/>
          <w:szCs w:val="20"/>
          <w:color w:val="auto"/>
        </w:rPr>
      </w:pPr>
    </w:p>
    <w:p>
      <w:pPr>
        <w:ind w:left="40" w:right="80"/>
        <w:spacing w:after="0" w:line="259" w:lineRule="auto"/>
        <w:rPr>
          <w:sz w:val="20"/>
          <w:szCs w:val="20"/>
          <w:color w:val="auto"/>
        </w:rPr>
      </w:pPr>
      <w:r>
        <w:rPr>
          <w:rFonts w:ascii="Arial" w:cs="Arial" w:eastAsia="Arial" w:hAnsi="Arial"/>
          <w:sz w:val="16"/>
          <w:szCs w:val="16"/>
          <w:color w:val="auto"/>
        </w:rPr>
        <w:t>In this Proxy Statement, we present Adjusted net income attributable to common shareholders, Adjusted diluted earnings per share, EBITDA, and Adjusted EBITDA, financial measures that are not prescribed by GAAP. The tables below reconcile these non-GAAP financial measures to the most directly comparable GAAP financial measure. We evaluate and present these non-GAAP financial measures for the reasons described below. Further, we evaluate Adjusted EBITDA in particular as a financial objective with respect to which amounts payable under the Bonus Plan may be earned by our named executive officers. Please be aware that these non-financial measures have limitations and should not be considered in isolation or as a substitute for net income or loss attributable to common shareholders or any other comparable performance measure calculated in accordance with GAAP. In addition, other companies in our industry may calculate these non-GAAP financial measures differently than we do or may not calculate them at all, limiting their usefulness as a comparative measure.</w:t>
      </w:r>
    </w:p>
    <w:p>
      <w:pPr>
        <w:spacing w:after="0" w:line="72" w:lineRule="exact"/>
        <w:rPr>
          <w:sz w:val="20"/>
          <w:szCs w:val="20"/>
          <w:color w:val="auto"/>
        </w:rPr>
      </w:pPr>
    </w:p>
    <w:p>
      <w:pPr>
        <w:ind w:left="40" w:right="80"/>
        <w:spacing w:after="0" w:line="255"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92" w:lineRule="exact"/>
        <w:rPr>
          <w:sz w:val="20"/>
          <w:szCs w:val="20"/>
          <w:color w:val="auto"/>
        </w:rPr>
      </w:pPr>
    </w:p>
    <w:p>
      <w:pPr>
        <w:ind w:left="40" w:right="40"/>
        <w:spacing w:after="0" w:line="265"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or loss attributable to common shareholders, which is the most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718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60" w:type="dxa"/>
            <w:vAlign w:val="bottom"/>
            <w:tcBorders>
              <w:bottom w:val="single" w:sz="8" w:color="004E7D"/>
            </w:tcBorders>
          </w:tcPr>
          <w:p>
            <w:pPr>
              <w:ind w:left="3860"/>
              <w:spacing w:after="0"/>
              <w:rPr>
                <w:sz w:val="20"/>
                <w:szCs w:val="20"/>
                <w:color w:val="auto"/>
              </w:rPr>
            </w:pPr>
            <w:r>
              <w:rPr>
                <w:rFonts w:ascii="Arial" w:cs="Arial" w:eastAsia="Arial" w:hAnsi="Arial"/>
                <w:sz w:val="11"/>
                <w:szCs w:val="11"/>
                <w:b w:val="1"/>
                <w:bCs w:val="1"/>
                <w:color w:val="004E7D"/>
              </w:rPr>
              <w:t>B-1</w:t>
            </w:r>
          </w:p>
        </w:tc>
      </w:tr>
      <w:tr>
        <w:trPr>
          <w:trHeight w:val="209"/>
        </w:trPr>
        <w:tc>
          <w:tcPr>
            <w:tcW w:w="7180" w:type="dxa"/>
            <w:vAlign w:val="bottom"/>
            <w:tcBorders>
              <w:bottom w:val="single" w:sz="8" w:color="9A9A9A"/>
            </w:tcBorders>
          </w:tcPr>
          <w:p>
            <w:pPr>
              <w:spacing w:after="0"/>
              <w:rPr>
                <w:sz w:val="18"/>
                <w:szCs w:val="18"/>
                <w:color w:val="auto"/>
              </w:rPr>
            </w:pPr>
          </w:p>
        </w:tc>
        <w:tc>
          <w:tcPr>
            <w:tcW w:w="4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280" w:top="1416" w:right="339" w:bottom="1440" w:gutter="0" w:footer="0" w:header="0"/>
        </w:sectPr>
      </w:pPr>
    </w:p>
    <w:bookmarkStart w:id="68" w:name="page69"/>
    <w:bookmarkEnd w:id="68"/>
    <w:p>
      <w:pPr>
        <w:ind w:right="820"/>
        <w:spacing w:after="0" w:line="286" w:lineRule="auto"/>
        <w:rPr>
          <w:sz w:val="20"/>
          <w:szCs w:val="20"/>
          <w:color w:val="auto"/>
        </w:rPr>
      </w:pPr>
      <w:r>
        <w:rPr>
          <w:rFonts w:ascii="Arial" w:cs="Arial" w:eastAsia="Arial" w:hAnsi="Arial"/>
          <w:sz w:val="16"/>
          <w:szCs w:val="16"/>
          <w:color w:val="auto"/>
        </w:rPr>
        <w:t>The table below is a reconciliation of Net income (loss) attributable to common shareholders to Adjusted net income (loss) attributable to common shareholders and Adjusted earnings (loss) per share - diluted: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004E7D"/>
              </w:rPr>
              <w:t>Fiscal Years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7"/>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4E7D"/>
              </w:rPr>
              <w:t>(in millions, except per share amounts)</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004E7D"/>
              </w:rPr>
              <w:t>2022</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004E7D"/>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004E7D"/>
              </w:rPr>
              <w:t>2020</w:t>
            </w:r>
          </w:p>
        </w:tc>
        <w:tc>
          <w:tcPr>
            <w:tcW w:w="100" w:type="dxa"/>
            <w:vAlign w:val="bottom"/>
            <w:tcBorders>
              <w:bottom w:val="single" w:sz="8" w:color="auto"/>
            </w:tcBorders>
          </w:tcPr>
          <w:p>
            <w:pPr>
              <w:spacing w:after="0"/>
              <w:rPr>
                <w:sz w:val="17"/>
                <w:szCs w:val="17"/>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r>
      <w:tr>
        <w:trPr>
          <w:trHeight w:val="216"/>
        </w:trPr>
        <w:tc>
          <w:tcPr>
            <w:tcW w:w="80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auto"/>
            </w:tcBorders>
          </w:tcPr>
          <w:p>
            <w:pPr>
              <w:spacing w:after="0"/>
              <w:rPr>
                <w:sz w:val="18"/>
                <w:szCs w:val="18"/>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Income (loss) before income taxes attributable to common shareholders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Certain items: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ILG integration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Welk acquisition and integration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I/T transformation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Other transformation initiatives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80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Other transaction costs</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Transaction and integration costs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Early redemption of senior unsecured notes</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Gain on disposition of hotel</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Gain on disposition of VRI Americas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Insurance proceeds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r>
      <w:tr>
        <w:trPr>
          <w:trHeight w:val="216"/>
        </w:trPr>
        <w:tc>
          <w:tcPr>
            <w:tcW w:w="8060" w:type="dxa"/>
            <w:vAlign w:val="bottom"/>
          </w:tcPr>
          <w:p>
            <w:pPr>
              <w:ind w:left="460"/>
              <w:spacing w:after="0"/>
              <w:rPr>
                <w:sz w:val="20"/>
                <w:szCs w:val="20"/>
                <w:color w:val="auto"/>
              </w:rPr>
            </w:pPr>
            <w:r>
              <w:rPr>
                <w:rFonts w:ascii="Arial" w:cs="Arial" w:eastAsia="Arial" w:hAnsi="Arial"/>
                <w:sz w:val="16"/>
                <w:szCs w:val="16"/>
                <w:color w:val="auto"/>
              </w:rPr>
              <w:t>Change in indemnification asset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r>
      <w:tr>
        <w:trPr>
          <w:trHeight w:val="217"/>
        </w:trPr>
        <w:tc>
          <w:tcPr>
            <w:tcW w:w="80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(Gains) losses and other (income) expense, net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Purchase accounting adjustments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Litigation charges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Early termination of VRI management contract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Eliminate impact of Consolidated Property Owners' Associations</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Change in estimate relating to pre-acquisition contingencies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COVID-19 related adjustments</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r>
      <w:tr>
        <w:trPr>
          <w:trHeight w:val="217"/>
        </w:trPr>
        <w:tc>
          <w:tcPr>
            <w:tcW w:w="80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Adjusted pretax income (loss)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r>
      <w:tr>
        <w:trPr>
          <w:trHeight w:val="21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r>
      <w:tr>
        <w:trPr>
          <w:trHeight w:val="21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net income (loss) attributable to common shareholders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Diluted shares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Adjusted earnings (loss) per share - Diluted</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10.26</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r>
    </w:tbl>
    <w:p>
      <w:pPr>
        <w:spacing w:after="0" w:line="141" w:lineRule="exact"/>
        <w:rPr>
          <w:sz w:val="20"/>
          <w:szCs w:val="20"/>
          <w:color w:val="auto"/>
        </w:rPr>
      </w:pPr>
    </w:p>
    <w:p>
      <w:pPr>
        <w:ind w:right="20" w:firstLine="8"/>
        <w:spacing w:after="0"/>
        <w:tabs>
          <w:tab w:leader="none" w:pos="140" w:val="left"/>
        </w:tabs>
        <w:numPr>
          <w:ilvl w:val="0"/>
          <w:numId w:val="132"/>
        </w:numPr>
        <w:rPr>
          <w:rFonts w:ascii="Arial" w:cs="Arial" w:eastAsia="Arial" w:hAnsi="Arial"/>
          <w:sz w:val="16"/>
          <w:szCs w:val="16"/>
          <w:color w:val="auto"/>
          <w:vertAlign w:val="superscript"/>
        </w:rPr>
      </w:pPr>
      <w:r>
        <w:rPr>
          <w:rFonts w:ascii="Arial" w:cs="Arial" w:eastAsia="Arial" w:hAnsi="Arial"/>
          <w:sz w:val="12"/>
          <w:szCs w:val="12"/>
          <w:color w:val="auto"/>
        </w:rPr>
        <w:t>Diluted shares include 4.3 million shares for the year-ended December 31, 2022 related to our convertible notes, reflecting the impact of the adoption of Accounting Standards Update 2020-06 in 2022.</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r>
        <w:rPr>
          <w:sz w:val="20"/>
          <w:szCs w:val="20"/>
          <w:color w:val="auto"/>
        </w:rPr>
        <w:tab/>
      </w:r>
      <w:r>
        <w:rPr>
          <w:rFonts w:ascii="Arial" w:cs="Arial" w:eastAsia="Arial" w:hAnsi="Arial"/>
          <w:sz w:val="11"/>
          <w:szCs w:val="11"/>
          <w:b w:val="1"/>
          <w:bCs w:val="1"/>
          <w:color w:val="004E7D"/>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color w:val="auto"/>
        </w:rPr>
        <w:t>The table below is a reconciliation of Net income (loss) attributable to common shareholders to Adjusted EBITDA: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004E7D"/>
              </w:rPr>
              <w:t>Fiscal Years</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7"/>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4E7D"/>
              </w:rPr>
              <w:t>(in millions)</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004E7D"/>
              </w:rPr>
              <w:t>2022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004E7D"/>
              </w:rPr>
              <w:t>2021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004E7D"/>
              </w:rPr>
              <w:t>2020</w:t>
            </w:r>
          </w:p>
        </w:tc>
        <w:tc>
          <w:tcPr>
            <w:tcW w:w="100" w:type="dxa"/>
            <w:vAlign w:val="bottom"/>
            <w:tcBorders>
              <w:bottom w:val="single" w:sz="8" w:color="auto"/>
            </w:tcBorders>
          </w:tcPr>
          <w:p>
            <w:pPr>
              <w:spacing w:after="0"/>
              <w:rPr>
                <w:sz w:val="17"/>
                <w:szCs w:val="17"/>
                <w:color w:val="auto"/>
              </w:rPr>
            </w:pPr>
          </w:p>
        </w:tc>
      </w:tr>
      <w:tr>
        <w:trPr>
          <w:trHeight w:val="209"/>
        </w:trPr>
        <w:tc>
          <w:tcPr>
            <w:tcW w:w="762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color w:val="auto"/>
              </w:rPr>
              <w:t>Tax provision (benefit)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r>
      <w:tr>
        <w:trPr>
          <w:trHeight w:val="217"/>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auto"/>
            </w:tcBorders>
          </w:tcPr>
          <w:p>
            <w:pPr>
              <w:spacing w:after="0"/>
              <w:rPr>
                <w:sz w:val="18"/>
                <w:szCs w:val="18"/>
                <w:color w:val="auto"/>
              </w:rPr>
            </w:pPr>
          </w:p>
        </w:tc>
      </w:tr>
      <w:tr>
        <w:trPr>
          <w:trHeight w:val="209"/>
        </w:trPr>
        <w:tc>
          <w:tcPr>
            <w:tcW w:w="7620" w:type="dxa"/>
            <w:vAlign w:val="bottom"/>
          </w:tcPr>
          <w:p>
            <w:pPr>
              <w:ind w:left="24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ILG integration</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Welk acquisition and integration</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I/T transformation</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Other transformation initiatives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76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Other transaction costs</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09"/>
        </w:trPr>
        <w:tc>
          <w:tcPr>
            <w:tcW w:w="7620" w:type="dxa"/>
            <w:vAlign w:val="bottom"/>
          </w:tcPr>
          <w:p>
            <w:pPr>
              <w:ind w:left="240"/>
              <w:spacing w:after="0"/>
              <w:rPr>
                <w:sz w:val="20"/>
                <w:szCs w:val="20"/>
                <w:color w:val="auto"/>
              </w:rPr>
            </w:pPr>
            <w:r>
              <w:rPr>
                <w:rFonts w:ascii="Arial" w:cs="Arial" w:eastAsia="Arial" w:hAnsi="Arial"/>
                <w:sz w:val="16"/>
                <w:szCs w:val="16"/>
                <w:color w:val="auto"/>
              </w:rPr>
              <w:t>Transaction and integration costs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r>
      <w:tr>
        <w:trPr>
          <w:trHeight w:val="215"/>
        </w:trPr>
        <w:tc>
          <w:tcPr>
            <w:tcW w:w="7620" w:type="dxa"/>
            <w:vAlign w:val="bottom"/>
          </w:tcPr>
          <w:p>
            <w:pPr>
              <w:ind w:left="460"/>
              <w:spacing w:after="0"/>
              <w:rPr>
                <w:sz w:val="20"/>
                <w:szCs w:val="20"/>
                <w:color w:val="auto"/>
              </w:rPr>
            </w:pPr>
            <w:r>
              <w:rPr>
                <w:rFonts w:ascii="Arial" w:cs="Arial" w:eastAsia="Arial" w:hAnsi="Arial"/>
                <w:sz w:val="16"/>
                <w:szCs w:val="16"/>
                <w:color w:val="auto"/>
              </w:rPr>
              <w:t>Early redemption of senior unsecured notes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Gain on disposition of hotel</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Gain on disposition of VRI Americas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Insurance proceeds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r>
      <w:tr>
        <w:trPr>
          <w:trHeight w:val="216"/>
        </w:trPr>
        <w:tc>
          <w:tcPr>
            <w:tcW w:w="7620" w:type="dxa"/>
            <w:vAlign w:val="bottom"/>
          </w:tcPr>
          <w:p>
            <w:pPr>
              <w:ind w:left="460"/>
              <w:spacing w:after="0"/>
              <w:rPr>
                <w:sz w:val="20"/>
                <w:szCs w:val="20"/>
                <w:color w:val="auto"/>
              </w:rPr>
            </w:pPr>
            <w:r>
              <w:rPr>
                <w:rFonts w:ascii="Arial" w:cs="Arial" w:eastAsia="Arial" w:hAnsi="Arial"/>
                <w:sz w:val="16"/>
                <w:szCs w:val="16"/>
                <w:color w:val="auto"/>
              </w:rPr>
              <w:t>Change in indemnification asset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r>
      <w:tr>
        <w:trPr>
          <w:trHeight w:val="217"/>
        </w:trPr>
        <w:tc>
          <w:tcPr>
            <w:tcW w:w="76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r>
      <w:tr>
        <w:trPr>
          <w:trHeight w:val="209"/>
        </w:trPr>
        <w:tc>
          <w:tcPr>
            <w:tcW w:w="7620" w:type="dxa"/>
            <w:vAlign w:val="bottom"/>
          </w:tcPr>
          <w:p>
            <w:pPr>
              <w:ind w:left="240"/>
              <w:spacing w:after="0"/>
              <w:rPr>
                <w:sz w:val="20"/>
                <w:szCs w:val="20"/>
                <w:color w:val="auto"/>
              </w:rPr>
            </w:pPr>
            <w:r>
              <w:rPr>
                <w:rFonts w:ascii="Arial" w:cs="Arial" w:eastAsia="Arial" w:hAnsi="Arial"/>
                <w:sz w:val="16"/>
                <w:szCs w:val="16"/>
                <w:color w:val="auto"/>
              </w:rPr>
              <w:t>(Gains) losses and other (income) expense, net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r>
      <w:tr>
        <w:trPr>
          <w:trHeight w:val="215"/>
        </w:trPr>
        <w:tc>
          <w:tcPr>
            <w:tcW w:w="7620" w:type="dxa"/>
            <w:vAlign w:val="bottom"/>
          </w:tcPr>
          <w:p>
            <w:pPr>
              <w:ind w:left="240"/>
              <w:spacing w:after="0"/>
              <w:rPr>
                <w:sz w:val="20"/>
                <w:szCs w:val="20"/>
                <w:color w:val="auto"/>
              </w:rPr>
            </w:pPr>
            <w:r>
              <w:rPr>
                <w:rFonts w:ascii="Arial" w:cs="Arial" w:eastAsia="Arial" w:hAnsi="Arial"/>
                <w:sz w:val="16"/>
                <w:szCs w:val="16"/>
                <w:color w:val="auto"/>
              </w:rPr>
              <w:t>Purchase accounting adjustments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Litigation charges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Early termination of VRI management contract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Eliminate impact of Consolidated Property Owners' Associations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Change in estimate relating to pre-acquisition contingencies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620" w:type="dxa"/>
            <w:vAlign w:val="bottom"/>
          </w:tcPr>
          <w:p>
            <w:pPr>
              <w:ind w:left="240"/>
              <w:spacing w:after="0"/>
              <w:rPr>
                <w:sz w:val="20"/>
                <w:szCs w:val="20"/>
                <w:color w:val="auto"/>
              </w:rPr>
            </w:pPr>
            <w:r>
              <w:rPr>
                <w:rFonts w:ascii="Arial" w:cs="Arial" w:eastAsia="Arial" w:hAnsi="Arial"/>
                <w:sz w:val="16"/>
                <w:szCs w:val="16"/>
                <w:color w:val="auto"/>
              </w:rPr>
              <w:t>COVID-19 related adjustments</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r>
      <w:tr>
        <w:trPr>
          <w:trHeight w:val="217"/>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r>
      <w:tr>
        <w:trPr>
          <w:trHeight w:val="210"/>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966</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80" w:type="dxa"/>
            <w:vAlign w:val="bottom"/>
            <w:tcBorders>
              <w:bottom w:val="single" w:sz="8" w:color="004E7D"/>
            </w:tcBorders>
          </w:tcPr>
          <w:p>
            <w:pPr>
              <w:ind w:left="20"/>
              <w:spacing w:after="0"/>
              <w:rPr>
                <w:sz w:val="20"/>
                <w:szCs w:val="20"/>
                <w:color w:val="auto"/>
              </w:rPr>
            </w:pPr>
            <w:r>
              <w:rPr>
                <w:rFonts w:ascii="Arial" w:cs="Arial" w:eastAsia="Arial" w:hAnsi="Arial"/>
                <w:sz w:val="11"/>
                <w:szCs w:val="11"/>
                <w:b w:val="1"/>
                <w:bCs w:val="1"/>
                <w:color w:val="004E7D"/>
              </w:rPr>
              <w:t xml:space="preserve">MARRIOTT VACATIONS WORLDWIDE </w:t>
            </w:r>
            <w:r>
              <w:rPr>
                <w:rFonts w:ascii="Arial" w:cs="Arial" w:eastAsia="Arial" w:hAnsi="Arial"/>
                <w:sz w:val="11"/>
                <w:szCs w:val="11"/>
                <w:color w:val="000000"/>
              </w:rPr>
              <w:t>2023 PROXY STATEMENT</w:t>
            </w:r>
          </w:p>
        </w:tc>
        <w:tc>
          <w:tcPr>
            <w:tcW w:w="4060" w:type="dxa"/>
            <w:vAlign w:val="bottom"/>
            <w:tcBorders>
              <w:bottom w:val="single" w:sz="8" w:color="004E7D"/>
            </w:tcBorders>
          </w:tcPr>
          <w:p>
            <w:pPr>
              <w:ind w:left="3860"/>
              <w:spacing w:after="0"/>
              <w:rPr>
                <w:sz w:val="20"/>
                <w:szCs w:val="20"/>
                <w:color w:val="auto"/>
              </w:rPr>
            </w:pPr>
            <w:r>
              <w:rPr>
                <w:rFonts w:ascii="Arial" w:cs="Arial" w:eastAsia="Arial" w:hAnsi="Arial"/>
                <w:sz w:val="11"/>
                <w:szCs w:val="11"/>
                <w:b w:val="1"/>
                <w:bCs w:val="1"/>
                <w:color w:val="004E7D"/>
              </w:rPr>
              <w:t>B-3</w:t>
            </w:r>
          </w:p>
        </w:tc>
      </w:tr>
      <w:tr>
        <w:trPr>
          <w:trHeight w:val="196"/>
        </w:trPr>
        <w:tc>
          <w:tcPr>
            <w:tcW w:w="7180" w:type="dxa"/>
            <w:vAlign w:val="bottom"/>
            <w:tcBorders>
              <w:bottom w:val="single" w:sz="8" w:color="9A9A9A"/>
            </w:tcBorders>
          </w:tcPr>
          <w:p>
            <w:pPr>
              <w:spacing w:after="0"/>
              <w:rPr>
                <w:sz w:val="17"/>
                <w:szCs w:val="17"/>
                <w:color w:val="auto"/>
              </w:rPr>
            </w:pPr>
          </w:p>
        </w:tc>
        <w:tc>
          <w:tcPr>
            <w:tcW w:w="40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9043035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774065</wp:posOffset>
            </wp:positionH>
            <wp:positionV relativeFrom="page">
              <wp:posOffset>663575</wp:posOffset>
            </wp:positionV>
            <wp:extent cx="6000750" cy="75780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578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500380</wp:posOffset>
            </wp:positionV>
            <wp:extent cx="6000750" cy="72351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2351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bullet"/>
      <w:start w:val="1"/>
    </w:lvl>
  </w:abstractNum>
  <w:abstractNum w:abstractNumId="6">
    <w:nsid w:val="15014ACB"/>
    <w:multiLevelType w:val="hybridMultilevel"/>
    <w:lvl w:ilvl="0">
      <w:lvlJc w:val="left"/>
      <w:lvlText w:val="4"/>
      <w:numFmt w:val="bullet"/>
      <w:start w:val="1"/>
    </w:lvl>
  </w:abstractNum>
  <w:abstractNum w:abstractNumId="7">
    <w:nsid w:val="5F5E7FD0"/>
    <w:multiLevelType w:val="hybridMultilevel"/>
    <w:lvl w:ilvl="0">
      <w:lvlJc w:val="left"/>
      <w:lvlText w:val="8"/>
      <w:numFmt w:val="bullet"/>
      <w:start w:val="1"/>
    </w:lvl>
  </w:abstractNum>
  <w:abstractNum w:abstractNumId="8">
    <w:nsid w:val="98A3148"/>
    <w:multiLevelType w:val="hybridMultilevel"/>
    <w:lvl w:ilvl="0">
      <w:lvlJc w:val="left"/>
      <w:lvlText w:val="8"/>
      <w:numFmt w:val="bullet"/>
      <w:start w:val="1"/>
    </w:lvl>
  </w:abstractNum>
  <w:abstractNum w:abstractNumId="9">
    <w:nsid w:val="799D0247"/>
    <w:multiLevelType w:val="hybridMultilevel"/>
    <w:lvl w:ilvl="0">
      <w:lvlJc w:val="left"/>
      <w:lvlText w:val="9"/>
      <w:numFmt w:val="bullet"/>
      <w:start w:val="1"/>
    </w:lvl>
  </w:abstractNum>
  <w:abstractNum w:abstractNumId="10">
    <w:nsid w:val="6B94764"/>
    <w:multiLevelType w:val="hybridMultilevel"/>
    <w:lvl w:ilvl="0">
      <w:lvlJc w:val="left"/>
      <w:lvlText w:val="%1"/>
      <w:numFmt w:val="decimal"/>
      <w:start w:val="10"/>
    </w:lvl>
  </w:abstractNum>
  <w:abstractNum w:abstractNumId="11">
    <w:nsid w:val="42C296BD"/>
    <w:multiLevelType w:val="hybridMultilevel"/>
    <w:lvl w:ilvl="0">
      <w:lvlJc w:val="left"/>
      <w:lvlText w:val="%1"/>
      <w:numFmt w:val="decimal"/>
      <w:start w:val="12"/>
    </w:lvl>
  </w:abstractNum>
  <w:abstractNum w:abstractNumId="12">
    <w:nsid w:val="168E121F"/>
    <w:multiLevelType w:val="hybridMultilevel"/>
    <w:lvl w:ilvl="0">
      <w:lvlJc w:val="left"/>
      <w:lvlText w:val="%1"/>
      <w:numFmt w:val="decimal"/>
      <w:start w:val="21"/>
    </w:lvl>
  </w:abstractNum>
  <w:abstractNum w:abstractNumId="13">
    <w:nsid w:val="1EBA5D23"/>
    <w:multiLevelType w:val="hybridMultilevel"/>
    <w:lvl w:ilvl="0">
      <w:lvlJc w:val="left"/>
      <w:lvlText w:val="%1"/>
      <w:numFmt w:val="decimal"/>
      <w:start w:val="21"/>
    </w:lvl>
  </w:abstractNum>
  <w:abstractNum w:abstractNumId="14">
    <w:nsid w:val="661E3F1E"/>
    <w:multiLevelType w:val="hybridMultilevel"/>
    <w:lvl w:ilvl="0">
      <w:lvlJc w:val="left"/>
      <w:lvlText w:val="%1"/>
      <w:numFmt w:val="decimal"/>
      <w:start w:val="23"/>
    </w:lvl>
  </w:abstractNum>
  <w:abstractNum w:abstractNumId="15">
    <w:nsid w:val="5DC79EA8"/>
    <w:multiLevelType w:val="hybridMultilevel"/>
    <w:lvl w:ilvl="0">
      <w:lvlJc w:val="left"/>
      <w:lvlText w:val="%1"/>
      <w:numFmt w:val="decimal"/>
      <w:start w:val="23"/>
    </w:lvl>
  </w:abstractNum>
  <w:abstractNum w:abstractNumId="16">
    <w:nsid w:val="540A471C"/>
    <w:multiLevelType w:val="hybridMultilevel"/>
    <w:lvl w:ilvl="0">
      <w:lvlJc w:val="left"/>
      <w:lvlText w:val="%1"/>
      <w:numFmt w:val="decimal"/>
      <w:start w:val="24"/>
    </w:lvl>
  </w:abstractNum>
  <w:abstractNum w:abstractNumId="17">
    <w:nsid w:val="7BD3EE7B"/>
    <w:multiLevelType w:val="hybridMultilevel"/>
    <w:lvl w:ilvl="0">
      <w:lvlJc w:val="left"/>
      <w:lvlText w:val="%1"/>
      <w:numFmt w:val="decimal"/>
      <w:start w:val="25"/>
    </w:lvl>
  </w:abstractNum>
  <w:abstractNum w:abstractNumId="18">
    <w:nsid w:val="51D9C564"/>
    <w:multiLevelType w:val="hybridMultilevel"/>
    <w:lvl w:ilvl="0">
      <w:lvlJc w:val="left"/>
      <w:lvlText w:val="%1"/>
      <w:numFmt w:val="decimal"/>
      <w:start w:val="26"/>
    </w:lvl>
  </w:abstractNum>
  <w:abstractNum w:abstractNumId="19">
    <w:nsid w:val="613EFDC5"/>
    <w:multiLevelType w:val="hybridMultilevel"/>
    <w:lvl w:ilvl="0">
      <w:lvlJc w:val="left"/>
      <w:lvlText w:val="%1"/>
      <w:numFmt w:val="decimal"/>
      <w:start w:val="29"/>
    </w:lvl>
  </w:abstractNum>
  <w:abstractNum w:abstractNumId="20">
    <w:nsid w:val="BF72B14"/>
    <w:multiLevelType w:val="hybridMultilevel"/>
    <w:lvl w:ilvl="0">
      <w:lvlJc w:val="left"/>
      <w:lvlText w:val="%1"/>
      <w:numFmt w:val="decimal"/>
      <w:start w:val="33"/>
    </w:lvl>
  </w:abstractNum>
  <w:abstractNum w:abstractNumId="21">
    <w:nsid w:val="11447B73"/>
    <w:multiLevelType w:val="hybridMultilevel"/>
    <w:lvl w:ilvl="0">
      <w:lvlJc w:val="left"/>
      <w:lvlText w:val="%1"/>
      <w:numFmt w:val="decimal"/>
      <w:start w:val="41"/>
    </w:lvl>
  </w:abstractNum>
  <w:abstractNum w:abstractNumId="22">
    <w:nsid w:val="42963E5A"/>
    <w:multiLevelType w:val="hybridMultilevel"/>
    <w:lvl w:ilvl="0">
      <w:lvlJc w:val="left"/>
      <w:lvlText w:val="%1"/>
      <w:numFmt w:val="decimal"/>
      <w:start w:val="54"/>
    </w:lvl>
  </w:abstractNum>
  <w:abstractNum w:abstractNumId="23">
    <w:nsid w:val="A0382C5"/>
    <w:multiLevelType w:val="hybridMultilevel"/>
    <w:lvl w:ilvl="0">
      <w:lvlJc w:val="left"/>
      <w:lvlText w:val="%1"/>
      <w:numFmt w:val="decimal"/>
      <w:start w:val="56"/>
    </w:lvl>
  </w:abstractNum>
  <w:abstractNum w:abstractNumId="24">
    <w:nsid w:val="8F2B15E"/>
    <w:multiLevelType w:val="hybridMultilevel"/>
    <w:lvl w:ilvl="0">
      <w:lvlJc w:val="left"/>
      <w:lvlText w:val="%1"/>
      <w:numFmt w:val="decimal"/>
      <w:start w:val="57"/>
    </w:lvl>
  </w:abstractNum>
  <w:abstractNum w:abstractNumId="25">
    <w:nsid w:val="1A32234B"/>
    <w:multiLevelType w:val="hybridMultilevel"/>
    <w:lvl w:ilvl="0">
      <w:lvlJc w:val="left"/>
      <w:lvlText w:val="%1"/>
      <w:numFmt w:val="decimal"/>
      <w:start w:val="28"/>
    </w:lvl>
  </w:abstractNum>
  <w:abstractNum w:abstractNumId="26">
    <w:nsid w:val="3B0FD379"/>
    <w:multiLevelType w:val="hybridMultilevel"/>
    <w:lvl w:ilvl="0">
      <w:lvlJc w:val="left"/>
      <w:lvlText w:val="%1"/>
      <w:numFmt w:val="decimal"/>
      <w:start w:val="28"/>
    </w:lvl>
  </w:abstractNum>
  <w:abstractNum w:abstractNumId="27">
    <w:nsid w:val="68EB2F63"/>
    <w:multiLevelType w:val="hybridMultilevel"/>
    <w:lvl w:ilvl="0">
      <w:lvlJc w:val="left"/>
      <w:lvlText w:val="%1"/>
      <w:numFmt w:val="decimal"/>
      <w:start w:val="28"/>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lvl w:ilvl="1">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1"/>
      <w:numFmt w:val="bullet"/>
      <w:start w:val="1"/>
    </w:lvl>
  </w:abstractNum>
  <w:abstractNum w:abstractNumId="32">
    <w:nsid w:val="7FFFCA11"/>
    <w:multiLevelType w:val="hybridMultilevel"/>
    <w:lvl w:ilvl="0">
      <w:lvlJc w:val="left"/>
      <w:lvlText w:val="%1."/>
      <w:numFmt w:val="decimal"/>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1"/>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1"/>
      <w:numFmt w:val="bullet"/>
      <w:start w:val="1"/>
    </w:lvl>
  </w:abstractNum>
  <w:abstractNum w:abstractNumId="53">
    <w:nsid w:val="CC1016F"/>
    <w:multiLevelType w:val="hybridMultilevel"/>
    <w:lvl w:ilvl="0">
      <w:lvlJc w:val="left"/>
      <w:lvlText w:val="1"/>
      <w:numFmt w:val="bullet"/>
      <w:start w:val="1"/>
    </w:lvl>
  </w:abstractNum>
  <w:abstractNum w:abstractNumId="54">
    <w:nsid w:val="43F18422"/>
    <w:multiLevelType w:val="hybridMultilevel"/>
    <w:lvl w:ilvl="0">
      <w:lvlJc w:val="left"/>
      <w:lvlText w:val="1"/>
      <w:numFmt w:val="bullet"/>
      <w:start w:val="1"/>
    </w:lvl>
  </w:abstractNum>
  <w:abstractNum w:abstractNumId="55">
    <w:nsid w:val="60EF0119"/>
    <w:multiLevelType w:val="hybridMultilevel"/>
    <w:lvl w:ilvl="0">
      <w:lvlJc w:val="left"/>
      <w:lvlText w:val="2"/>
      <w:numFmt w:val="bullet"/>
      <w:start w:val="1"/>
    </w:lvl>
  </w:abstractNum>
  <w:abstractNum w:abstractNumId="56">
    <w:nsid w:val="26F324BA"/>
    <w:multiLevelType w:val="hybridMultilevel"/>
    <w:lvl w:ilvl="0">
      <w:lvlJc w:val="left"/>
      <w:lvlText w:val="3"/>
      <w:numFmt w:val="bullet"/>
      <w:start w:val="1"/>
    </w:lvl>
  </w:abstractNum>
  <w:abstractNum w:abstractNumId="57">
    <w:nsid w:val="7F01579B"/>
    <w:multiLevelType w:val="hybridMultilevel"/>
    <w:lvl w:ilvl="0">
      <w:lvlJc w:val="left"/>
      <w:lvlText w:val="4"/>
      <w:numFmt w:val="bullet"/>
      <w:start w:val="1"/>
    </w:lvl>
  </w:abstractNum>
  <w:abstractNum w:abstractNumId="58">
    <w:nsid w:val="49DA307D"/>
    <w:multiLevelType w:val="hybridMultilevel"/>
    <w:lvl w:ilvl="0">
      <w:lvlJc w:val="left"/>
      <w:lvlText w:val="5"/>
      <w:numFmt w:val="bullet"/>
      <w:start w:val="1"/>
    </w:lvl>
  </w:abstractNum>
  <w:abstractNum w:abstractNumId="59">
    <w:nsid w:val="7055A5F5"/>
    <w:multiLevelType w:val="hybridMultilevel"/>
    <w:lvl w:ilvl="0">
      <w:lvlJc w:val="left"/>
      <w:lvlText w:val="1"/>
      <w:numFmt w:val="bullet"/>
      <w:start w:val="1"/>
    </w:lvl>
  </w:abstractNum>
  <w:abstractNum w:abstractNumId="60">
    <w:nsid w:val="5FB8370B"/>
    <w:multiLevelType w:val="hybridMultilevel"/>
    <w:lvl w:ilvl="0">
      <w:lvlJc w:val="left"/>
      <w:lvlText w:val="2"/>
      <w:numFmt w:val="bullet"/>
      <w:start w:val="1"/>
    </w:lvl>
  </w:abstractNum>
  <w:abstractNum w:abstractNumId="61">
    <w:nsid w:val="50801EE1"/>
    <w:multiLevelType w:val="hybridMultilevel"/>
    <w:lvl w:ilvl="0">
      <w:lvlJc w:val="left"/>
      <w:lvlText w:val="3"/>
      <w:numFmt w:val="bullet"/>
      <w:start w:val="1"/>
    </w:lvl>
  </w:abstractNum>
  <w:abstractNum w:abstractNumId="62">
    <w:nsid w:val="488AC1A"/>
    <w:multiLevelType w:val="hybridMultilevel"/>
    <w:lvl w:ilvl="0">
      <w:lvlJc w:val="left"/>
      <w:lvlText w:val="4"/>
      <w:numFmt w:val="bullet"/>
      <w:start w:val="1"/>
    </w:lvl>
  </w:abstractNum>
  <w:abstractNum w:abstractNumId="63">
    <w:nsid w:val="5FB8011C"/>
    <w:multiLevelType w:val="hybridMultilevel"/>
    <w:lvl w:ilvl="0">
      <w:lvlJc w:val="left"/>
      <w:lvlText w:val="5"/>
      <w:numFmt w:val="bullet"/>
      <w:start w:val="1"/>
    </w:lvl>
  </w:abstractNum>
  <w:abstractNum w:abstractNumId="64">
    <w:nsid w:val="6AA78F7F"/>
    <w:multiLevelType w:val="hybridMultilevel"/>
    <w:lvl w:ilvl="0">
      <w:lvlJc w:val="left"/>
      <w:lvlText w:val="1"/>
      <w:numFmt w:val="bullet"/>
      <w:start w:val="1"/>
    </w:lvl>
  </w:abstractNum>
  <w:abstractNum w:abstractNumId="65">
    <w:nsid w:val="7672BD23"/>
    <w:multiLevelType w:val="hybridMultilevel"/>
    <w:lvl w:ilvl="0">
      <w:lvlJc w:val="left"/>
      <w:lvlText w:val="2"/>
      <w:numFmt w:val="bullet"/>
      <w:start w:val="1"/>
    </w:lvl>
  </w:abstractNum>
  <w:abstractNum w:abstractNumId="66">
    <w:nsid w:val="6FC75AF8"/>
    <w:multiLevelType w:val="hybridMultilevel"/>
    <w:lvl w:ilvl="0">
      <w:lvlJc w:val="left"/>
      <w:lvlText w:val="3"/>
      <w:numFmt w:val="bullet"/>
      <w:start w:val="1"/>
    </w:lvl>
  </w:abstractNum>
  <w:abstractNum w:abstractNumId="67">
    <w:nsid w:val="6A5F7029"/>
    <w:multiLevelType w:val="hybridMultilevel"/>
    <w:lvl w:ilvl="0">
      <w:lvlJc w:val="left"/>
      <w:lvlText w:val="4"/>
      <w:numFmt w:val="bullet"/>
      <w:start w:val="1"/>
    </w:lvl>
  </w:abstractNum>
  <w:abstractNum w:abstractNumId="68">
    <w:nsid w:val="7D5E18F8"/>
    <w:multiLevelType w:val="hybridMultilevel"/>
    <w:lvl w:ilvl="0">
      <w:lvlJc w:val="left"/>
      <w:lvlText w:val="5"/>
      <w:numFmt w:val="bullet"/>
      <w:start w:val="1"/>
    </w:lvl>
  </w:abstractNum>
  <w:abstractNum w:abstractNumId="69">
    <w:nsid w:val="5F3534A4"/>
    <w:multiLevelType w:val="hybridMultilevel"/>
    <w:lvl w:ilvl="0">
      <w:lvlJc w:val="left"/>
      <w:lvlText w:val="1"/>
      <w:numFmt w:val="bullet"/>
      <w:start w:val="1"/>
    </w:lvl>
  </w:abstractNum>
  <w:abstractNum w:abstractNumId="70">
    <w:nsid w:val="73A1821B"/>
    <w:multiLevelType w:val="hybridMultilevel"/>
    <w:lvl w:ilvl="0">
      <w:lvlJc w:val="left"/>
      <w:lvlText w:val="2"/>
      <w:numFmt w:val="bullet"/>
      <w:start w:val="1"/>
    </w:lvl>
  </w:abstractNum>
  <w:abstractNum w:abstractNumId="71">
    <w:nsid w:val="7DE67713"/>
    <w:multiLevelType w:val="hybridMultilevel"/>
    <w:lvl w:ilvl="0">
      <w:lvlJc w:val="left"/>
      <w:lvlText w:val="3"/>
      <w:numFmt w:val="bullet"/>
      <w:start w:val="1"/>
    </w:lvl>
  </w:abstractNum>
  <w:abstractNum w:abstractNumId="72">
    <w:nsid w:val="555C55B5"/>
    <w:multiLevelType w:val="hybridMultilevel"/>
    <w:lvl w:ilvl="0">
      <w:lvlJc w:val="left"/>
      <w:lvlText w:val="4"/>
      <w:numFmt w:val="bullet"/>
      <w:start w:val="1"/>
    </w:lvl>
  </w:abstractNum>
  <w:abstractNum w:abstractNumId="73">
    <w:nsid w:val="3FA62ACA"/>
    <w:multiLevelType w:val="hybridMultilevel"/>
    <w:lvl w:ilvl="0">
      <w:lvlJc w:val="left"/>
      <w:lvlText w:val="1"/>
      <w:numFmt w:val="bullet"/>
      <w:start w:val="1"/>
    </w:lvl>
  </w:abstractNum>
  <w:abstractNum w:abstractNumId="74">
    <w:nsid w:val="14FCE74E"/>
    <w:multiLevelType w:val="hybridMultilevel"/>
    <w:lvl w:ilvl="0">
      <w:lvlJc w:val="left"/>
      <w:lvlText w:val="2"/>
      <w:numFmt w:val="bullet"/>
      <w:start w:val="1"/>
    </w:lvl>
  </w:abstractNum>
  <w:abstractNum w:abstractNumId="75">
    <w:nsid w:val="6A3DD3E8"/>
    <w:multiLevelType w:val="hybridMultilevel"/>
    <w:lvl w:ilvl="0">
      <w:lvlJc w:val="left"/>
      <w:lvlText w:val="3"/>
      <w:numFmt w:val="bullet"/>
      <w:start w:val="1"/>
    </w:lvl>
  </w:abstractNum>
  <w:abstractNum w:abstractNumId="76">
    <w:nsid w:val="71C91298"/>
    <w:multiLevelType w:val="hybridMultilevel"/>
    <w:lvl w:ilvl="0">
      <w:lvlJc w:val="left"/>
      <w:lvlText w:val="4"/>
      <w:numFmt w:val="bullet"/>
      <w:start w:val="1"/>
    </w:lvl>
  </w:abstractNum>
  <w:abstractNum w:abstractNumId="77">
    <w:nsid w:val="9DAF632"/>
    <w:multiLevelType w:val="hybridMultilevel"/>
    <w:lvl w:ilvl="0">
      <w:lvlJc w:val="left"/>
      <w:lvlText w:val="5"/>
      <w:numFmt w:val="bullet"/>
      <w:start w:val="1"/>
    </w:lvl>
  </w:abstractNum>
  <w:abstractNum w:abstractNumId="78">
    <w:nsid w:val="53299938"/>
    <w:multiLevelType w:val="hybridMultilevel"/>
    <w:lvl w:ilvl="0">
      <w:lvlJc w:val="left"/>
      <w:lvlText w:val="6"/>
      <w:numFmt w:val="bullet"/>
      <w:start w:val="1"/>
    </w:lvl>
  </w:abstractNum>
  <w:abstractNum w:abstractNumId="79">
    <w:nsid w:val="1FBFE8E0"/>
    <w:multiLevelType w:val="hybridMultilevel"/>
    <w:lvl w:ilvl="0">
      <w:lvlJc w:val="left"/>
      <w:lvlText w:val="7"/>
      <w:numFmt w:val="bullet"/>
      <w:start w:val="1"/>
    </w:lvl>
  </w:abstractNum>
  <w:abstractNum w:abstractNumId="80">
    <w:nsid w:val="5092CA79"/>
    <w:multiLevelType w:val="hybridMultilevel"/>
    <w:lvl w:ilvl="0">
      <w:lvlJc w:val="left"/>
      <w:lvlText w:val="1"/>
      <w:numFmt w:val="bullet"/>
      <w:start w:val="1"/>
    </w:lvl>
  </w:abstractNum>
  <w:abstractNum w:abstractNumId="81">
    <w:nsid w:val="1D545C4D"/>
    <w:multiLevelType w:val="hybridMultilevel"/>
    <w:lvl w:ilvl="0">
      <w:lvlJc w:val="left"/>
      <w:lvlText w:val="2"/>
      <w:numFmt w:val="bullet"/>
      <w:start w:val="1"/>
    </w:lvl>
  </w:abstractNum>
  <w:abstractNum w:abstractNumId="82">
    <w:nsid w:val="59ADEA3D"/>
    <w:multiLevelType w:val="hybridMultilevel"/>
    <w:lvl w:ilvl="0">
      <w:lvlJc w:val="left"/>
      <w:lvlText w:val="3"/>
      <w:numFmt w:val="bullet"/>
      <w:start w:val="1"/>
    </w:lvl>
  </w:abstractNum>
  <w:abstractNum w:abstractNumId="83">
    <w:nsid w:val="288F1A34"/>
    <w:multiLevelType w:val="hybridMultilevel"/>
    <w:lvl w:ilvl="0">
      <w:lvlJc w:val="left"/>
      <w:lvlText w:val="(%1)"/>
      <w:numFmt w:val="decimal"/>
      <w:start w:val="2"/>
    </w:lvl>
  </w:abstractNum>
  <w:abstractNum w:abstractNumId="84">
    <w:nsid w:val="2A155DBC"/>
    <w:multiLevelType w:val="hybridMultilevel"/>
    <w:lvl w:ilvl="0">
      <w:lvlJc w:val="left"/>
      <w:lvlText w:val="4"/>
      <w:numFmt w:val="bullet"/>
      <w:start w:val="1"/>
    </w:lvl>
  </w:abstractNum>
  <w:abstractNum w:abstractNumId="85">
    <w:nsid w:val="1D9F6E5F"/>
    <w:multiLevelType w:val="hybridMultilevel"/>
    <w:lvl w:ilvl="0">
      <w:lvlJc w:val="left"/>
      <w:lvlText w:val="5"/>
      <w:numFmt w:val="bullet"/>
      <w:start w:val="1"/>
    </w:lvl>
  </w:abstractNum>
  <w:abstractNum w:abstractNumId="86">
    <w:nsid w:val="97E1B4E"/>
    <w:multiLevelType w:val="hybridMultilevel"/>
    <w:lvl w:ilvl="0">
      <w:lvlJc w:val="left"/>
      <w:lvlText w:val="6"/>
      <w:numFmt w:val="bullet"/>
      <w:start w:val="1"/>
    </w:lvl>
  </w:abstractNum>
  <w:abstractNum w:abstractNumId="87">
    <w:nsid w:val="51088277"/>
    <w:multiLevelType w:val="hybridMultilevel"/>
    <w:lvl w:ilvl="0">
      <w:lvlJc w:val="left"/>
      <w:lvlText w:val="7"/>
      <w:numFmt w:val="bullet"/>
      <w:start w:val="1"/>
    </w:lvl>
  </w:abstractNum>
  <w:abstractNum w:abstractNumId="88">
    <w:nsid w:val="1CA0C5FA"/>
    <w:multiLevelType w:val="hybridMultilevel"/>
    <w:lvl w:ilvl="0">
      <w:lvlJc w:val="left"/>
      <w:lvlText w:val="(%1)"/>
      <w:numFmt w:val="lowerRoman"/>
      <w:start w:val="2"/>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1"/>
      <w:numFmt w:val="bullet"/>
      <w:start w:val="1"/>
    </w:lvl>
  </w:abstractNum>
  <w:abstractNum w:abstractNumId="91">
    <w:nsid w:val="7C58FD05"/>
    <w:multiLevelType w:val="hybridMultilevel"/>
    <w:lvl w:ilvl="0">
      <w:lvlJc w:val="left"/>
      <w:lvlText w:val="2"/>
      <w:numFmt w:val="bullet"/>
      <w:start w:val="1"/>
    </w:lvl>
  </w:abstractNum>
  <w:abstractNum w:abstractNumId="92">
    <w:nsid w:val="23D86AAC"/>
    <w:multiLevelType w:val="hybridMultilevel"/>
    <w:lvl w:ilvl="0">
      <w:lvlJc w:val="left"/>
      <w:lvlText w:val="3"/>
      <w:numFmt w:val="bullet"/>
      <w:start w:val="1"/>
    </w:lvl>
  </w:abstractNum>
  <w:abstractNum w:abstractNumId="93">
    <w:nsid w:val="45E6D486"/>
    <w:multiLevelType w:val="hybridMultilevel"/>
    <w:lvl w:ilvl="0">
      <w:lvlJc w:val="left"/>
      <w:lvlText w:val="4"/>
      <w:numFmt w:val="bullet"/>
      <w:start w:val="1"/>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5"/>
      <w:numFmt w:val="bullet"/>
      <w:start w:val="1"/>
    </w:lvl>
  </w:abstractNum>
  <w:abstractNum w:abstractNumId="96">
    <w:nsid w:val="3C5991AA"/>
    <w:multiLevelType w:val="hybridMultilevel"/>
    <w:lvl w:ilvl="0">
      <w:lvlJc w:val="left"/>
      <w:lvlText w:val="6"/>
      <w:numFmt w:val="bullet"/>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7"/>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1"/>
      <w:numFmt w:val="bullet"/>
      <w:start w:val="1"/>
    </w:lvl>
  </w:abstractNum>
  <w:abstractNum w:abstractNumId="102">
    <w:nsid w:val="379E21B5"/>
    <w:multiLevelType w:val="hybridMultilevel"/>
    <w:lvl w:ilvl="0">
      <w:lvlJc w:val="left"/>
      <w:lvlText w:val="2"/>
      <w:numFmt w:val="bullet"/>
      <w:start w:val="1"/>
    </w:lvl>
  </w:abstractNum>
  <w:abstractNum w:abstractNumId="103">
    <w:nsid w:val="69E373"/>
    <w:multiLevelType w:val="hybridMultilevel"/>
    <w:lvl w:ilvl="0">
      <w:lvlJc w:val="left"/>
      <w:lvlText w:val="3"/>
      <w:numFmt w:val="bullet"/>
      <w:start w:val="1"/>
    </w:lvl>
  </w:abstractNum>
  <w:abstractNum w:abstractNumId="104">
    <w:nsid w:val="2C27173B"/>
    <w:multiLevelType w:val="hybridMultilevel"/>
    <w:lvl w:ilvl="0">
      <w:lvlJc w:val="left"/>
      <w:lvlText w:val="4"/>
      <w:numFmt w:val="bullet"/>
      <w:start w:val="1"/>
    </w:lvl>
  </w:abstractNum>
  <w:abstractNum w:abstractNumId="105">
    <w:nsid w:val="4C9B0904"/>
    <w:multiLevelType w:val="hybridMultilevel"/>
    <w:lvl w:ilvl="0">
      <w:lvlJc w:val="left"/>
      <w:lvlText w:val="5"/>
      <w:numFmt w:val="bullet"/>
      <w:start w:val="1"/>
    </w:lvl>
  </w:abstractNum>
  <w:abstractNum w:abstractNumId="106">
    <w:nsid w:val="6AA7B75C"/>
    <w:multiLevelType w:val="hybridMultilevel"/>
    <w:lvl w:ilvl="0">
      <w:lvlJc w:val="left"/>
      <w:lvlText w:val="1"/>
      <w:numFmt w:val="bullet"/>
      <w:start w:val="1"/>
    </w:lvl>
  </w:abstractNum>
  <w:abstractNum w:abstractNumId="107">
    <w:nsid w:val="1DF029D3"/>
    <w:multiLevelType w:val="hybridMultilevel"/>
    <w:lvl w:ilvl="0">
      <w:lvlJc w:val="left"/>
      <w:lvlText w:val="2"/>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2"/>
      <w:numFmt w:val="bullet"/>
      <w:start w:val="1"/>
    </w:lvl>
  </w:abstractNum>
  <w:abstractNum w:abstractNumId="110">
    <w:nsid w:val="3DB012B3"/>
    <w:multiLevelType w:val="hybridMultilevel"/>
    <w:lvl w:ilvl="0">
      <w:lvlJc w:val="left"/>
      <w:lvlText w:val="2"/>
      <w:numFmt w:val="bullet"/>
      <w:start w:val="1"/>
    </w:lvl>
  </w:abstractNum>
  <w:abstractNum w:abstractNumId="111">
    <w:nsid w:val="2708C9AF"/>
    <w:multiLevelType w:val="hybridMultilevel"/>
    <w:lvl w:ilvl="0">
      <w:lvlJc w:val="left"/>
      <w:lvlText w:val="2"/>
      <w:numFmt w:val="bullet"/>
      <w:start w:val="1"/>
    </w:lvl>
  </w:abstractNum>
  <w:abstractNum w:abstractNumId="112">
    <w:nsid w:val="5B25ACE2"/>
    <w:multiLevelType w:val="hybridMultilevel"/>
    <w:lvl w:ilvl="0">
      <w:lvlJc w:val="left"/>
      <w:lvlText w:val="2"/>
      <w:numFmt w:val="bullet"/>
      <w:start w:val="1"/>
    </w:lvl>
  </w:abstractNum>
  <w:abstractNum w:abstractNumId="113">
    <w:nsid w:val="175DFCF0"/>
    <w:multiLevelType w:val="hybridMultilevel"/>
    <w:lvl w:ilvl="0">
      <w:lvlJc w:val="left"/>
      <w:lvlText w:val="6"/>
      <w:numFmt w:val="bullet"/>
      <w:start w:val="1"/>
    </w:lvl>
  </w:abstractNum>
  <w:abstractNum w:abstractNumId="114">
    <w:nsid w:val="4F97E3E4"/>
    <w:multiLevelType w:val="hybridMultilevel"/>
    <w:lvl w:ilvl="0">
      <w:lvlJc w:val="left"/>
      <w:lvlText w:val="8"/>
      <w:numFmt w:val="bullet"/>
      <w:start w:val="1"/>
    </w:lvl>
  </w:abstractNum>
  <w:abstractNum w:abstractNumId="115">
    <w:nsid w:val="53B0A9E"/>
    <w:multiLevelType w:val="hybridMultilevel"/>
    <w:lvl w:ilvl="0">
      <w:lvlJc w:val="left"/>
      <w:lvlText w:val="9"/>
      <w:numFmt w:val="bullet"/>
      <w:start w:val="1"/>
    </w:lvl>
  </w:abstractNum>
  <w:abstractNum w:abstractNumId="116">
    <w:nsid w:val="34FD6B4F"/>
    <w:multiLevelType w:val="hybridMultilevel"/>
    <w:lvl w:ilvl="0">
      <w:lvlJc w:val="left"/>
      <w:lvlText w:val="%1"/>
      <w:numFmt w:val="decimal"/>
      <w:start w:val="10"/>
    </w:lvl>
  </w:abstractNum>
  <w:abstractNum w:abstractNumId="117">
    <w:nsid w:val="5915FF32"/>
    <w:multiLevelType w:val="hybridMultilevel"/>
    <w:lvl w:ilvl="0">
      <w:lvlJc w:val="left"/>
      <w:lvlText w:val="*"/>
      <w:numFmt w:val="bullet"/>
      <w:start w:val="1"/>
    </w:lvl>
  </w:abstractNum>
  <w:abstractNum w:abstractNumId="118">
    <w:nsid w:val="56438D15"/>
    <w:multiLevelType w:val="hybridMultilevel"/>
    <w:lvl w:ilvl="0">
      <w:lvlJc w:val="left"/>
      <w:lvlText w:val="1"/>
      <w:numFmt w:val="bullet"/>
      <w:start w:val="1"/>
    </w:lvl>
  </w:abstractNum>
  <w:abstractNum w:abstractNumId="119">
    <w:nsid w:val="519E3149"/>
    <w:multiLevelType w:val="hybridMultilevel"/>
    <w:lvl w:ilvl="0">
      <w:lvlJc w:val="left"/>
      <w:lvlText w:val="2"/>
      <w:numFmt w:val="bullet"/>
      <w:start w:val="1"/>
    </w:lvl>
  </w:abstractNum>
  <w:abstractNum w:abstractNumId="120">
    <w:nsid w:val="2C6E4AFD"/>
    <w:multiLevelType w:val="hybridMultilevel"/>
    <w:lvl w:ilvl="0">
      <w:lvlJc w:val="left"/>
      <w:lvlText w:val="3"/>
      <w:numFmt w:val="bullet"/>
      <w:start w:val="1"/>
    </w:lvl>
  </w:abstractNum>
  <w:abstractNum w:abstractNumId="121">
    <w:nsid w:val="17A1B582"/>
    <w:multiLevelType w:val="hybridMultilevel"/>
    <w:lvl w:ilvl="0">
      <w:lvlJc w:val="left"/>
      <w:lvlText w:val="4"/>
      <w:numFmt w:val="bullet"/>
      <w:start w:val="1"/>
    </w:lvl>
  </w:abstractNum>
  <w:abstractNum w:abstractNumId="122">
    <w:nsid w:val="4DF72E4E"/>
    <w:multiLevelType w:val="hybridMultilevel"/>
    <w:lvl w:ilvl="0">
      <w:lvlJc w:val="left"/>
      <w:lvlText w:val="5"/>
      <w:numFmt w:val="bullet"/>
      <w:start w:val="1"/>
    </w:lvl>
  </w:abstractNum>
  <w:abstractNum w:abstractNumId="123">
    <w:nsid w:val="5046B5A9"/>
    <w:multiLevelType w:val="hybridMultilevel"/>
    <w:lvl w:ilvl="0">
      <w:lvlJc w:val="left"/>
      <w:lvlText w:val="6"/>
      <w:numFmt w:val="bullet"/>
      <w:start w:val="1"/>
    </w:lvl>
  </w:abstractNum>
  <w:abstractNum w:abstractNumId="124">
    <w:nsid w:val="5D888A08"/>
    <w:multiLevelType w:val="hybridMultilevel"/>
    <w:lvl w:ilvl="0">
      <w:lvlJc w:val="left"/>
      <w:lvlText w:val="7"/>
      <w:numFmt w:val="bullet"/>
      <w:start w:val="1"/>
    </w:lvl>
  </w:abstractNum>
  <w:abstractNum w:abstractNumId="125">
    <w:nsid w:val="2A082C70"/>
    <w:multiLevelType w:val="hybridMultilevel"/>
    <w:lvl w:ilvl="0">
      <w:lvlJc w:val="left"/>
      <w:lvlText w:val="8"/>
      <w:numFmt w:val="bullet"/>
      <w:start w:val="1"/>
    </w:lvl>
  </w:abstractNum>
  <w:abstractNum w:abstractNumId="126">
    <w:nsid w:val="5EC6AFD4"/>
    <w:multiLevelType w:val="hybridMultilevel"/>
    <w:lvl w:ilvl="0">
      <w:lvlJc w:val="left"/>
      <w:lvlText w:val="9"/>
      <w:numFmt w:val="bullet"/>
      <w:start w:val="1"/>
    </w:lvl>
  </w:abstractNum>
  <w:abstractNum w:abstractNumId="127">
    <w:nsid w:val="19E21BB2"/>
    <w:multiLevelType w:val="hybridMultilevel"/>
    <w:lvl w:ilvl="0">
      <w:lvlJc w:val="left"/>
      <w:lvlText w:val="%1"/>
      <w:numFmt w:val="decimal"/>
      <w:start w:val="10"/>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1)"/>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2023-03-03T14:18:35Z</dcterms:created>
  <dcterms:modified xsi:type="dcterms:W3CDTF">2023-03-03T14:18:35Z</dcterms:modified>
</cp:coreProperties>
</file>