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1"/>
          <w:szCs w:val="11"/>
          <w:color w:val="auto"/>
        </w:rPr>
        <w:t>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9"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3"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001-35219</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Marriott Vacations Worldwide Corporation</w:t>
      </w:r>
    </w:p>
    <w:p>
      <w:pPr>
        <w:spacing w:after="0" w:line="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49"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6200" w:type="dxa"/>
            <w:vAlign w:val="bottom"/>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45-2598330</w:t>
            </w:r>
          </w:p>
        </w:tc>
      </w:tr>
      <w:tr>
        <w:trPr>
          <w:trHeight w:val="178"/>
        </w:trPr>
        <w:tc>
          <w:tcPr>
            <w:tcW w:w="6200" w:type="dxa"/>
            <w:vAlign w:val="bottom"/>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00" w:type="dxa"/>
            <w:vAlign w:val="bottom"/>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3"/>
        </w:trPr>
        <w:tc>
          <w:tcPr>
            <w:tcW w:w="6200" w:type="dxa"/>
            <w:vAlign w:val="bottom"/>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6649 Westwood Blvd. Orlando, FL</w:t>
            </w:r>
          </w:p>
        </w:tc>
        <w:tc>
          <w:tcPr>
            <w:tcW w:w="1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32821</w:t>
            </w:r>
          </w:p>
        </w:tc>
      </w:tr>
      <w:tr>
        <w:trPr>
          <w:trHeight w:val="220"/>
        </w:trPr>
        <w:tc>
          <w:tcPr>
            <w:tcW w:w="6200" w:type="dxa"/>
            <w:vAlign w:val="bottom"/>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6200" w:type="dxa"/>
            <w:vAlign w:val="bottom"/>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(407) 206-6000</w:t>
            </w:r>
          </w:p>
        </w:tc>
        <w:tc>
          <w:tcPr>
            <w:tcW w:w="1460" w:type="dxa"/>
            <w:vAlign w:val="bottom"/>
          </w:tcPr>
          <w:p>
            <w:pPr>
              <w:spacing w:after="0"/>
              <w:rPr>
                <w:sz w:val="24"/>
                <w:szCs w:val="24"/>
                <w:color w:val="auto"/>
              </w:rPr>
            </w:pPr>
          </w:p>
        </w:tc>
      </w:tr>
      <w:tr>
        <w:trPr>
          <w:trHeight w:val="180"/>
        </w:trPr>
        <w:tc>
          <w:tcPr>
            <w:tcW w:w="6200" w:type="dxa"/>
            <w:vAlign w:val="bottom"/>
          </w:tcPr>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60" w:type="dxa"/>
            <w:vAlign w:val="bottom"/>
          </w:tcPr>
          <w:p>
            <w:pPr>
              <w:spacing w:after="0"/>
              <w:rPr>
                <w:sz w:val="15"/>
                <w:szCs w:val="15"/>
                <w:color w:val="auto"/>
              </w:rPr>
            </w:pPr>
          </w:p>
        </w:tc>
      </w:tr>
    </w:tbl>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4" w:lineRule="exact"/>
        <w:rPr>
          <w:sz w:val="24"/>
          <w:szCs w:val="24"/>
          <w:color w:val="auto"/>
        </w:rPr>
      </w:pPr>
    </w:p>
    <w:p>
      <w:pPr>
        <w:ind w:right="8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1"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72" w:lineRule="exact"/>
        <w:rPr>
          <w:sz w:val="24"/>
          <w:szCs w:val="24"/>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480" w:type="dxa"/>
        <w:tblCellMar>
          <w:top w:w="0" w:type="dxa"/>
          <w:left w:w="0" w:type="dxa"/>
          <w:bottom w:w="0" w:type="dxa"/>
          <w:right w:w="0" w:type="dxa"/>
        </w:tblCellMar>
      </w:tblPr>
      <w:tr>
        <w:trPr>
          <w:trHeight w:val="254"/>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2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Accelerated filer</w:t>
            </w:r>
          </w:p>
        </w:tc>
        <w:tc>
          <w:tcPr>
            <w:tcW w:w="10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2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5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5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7" w:lineRule="exact"/>
        <w:rPr>
          <w:sz w:val="24"/>
          <w:szCs w:val="24"/>
          <w:color w:val="auto"/>
        </w:rPr>
      </w:pPr>
    </w:p>
    <w:p>
      <w:pPr>
        <w:ind w:right="80"/>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34" w:lineRule="exact"/>
        <w:rPr>
          <w:sz w:val="24"/>
          <w:szCs w:val="24"/>
          <w:color w:val="auto"/>
        </w:rPr>
      </w:pPr>
    </w:p>
    <w:tbl>
      <w:tblPr>
        <w:tblLayout w:type="fixed"/>
        <w:tblInd w:w="180" w:type="dxa"/>
        <w:tblCellMar>
          <w:top w:w="0" w:type="dxa"/>
          <w:left w:w="0" w:type="dxa"/>
          <w:bottom w:w="0" w:type="dxa"/>
          <w:right w:w="0" w:type="dxa"/>
        </w:tblCellMar>
      </w:tblPr>
      <w:tr>
        <w:trPr>
          <w:trHeight w:val="19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6"/>
        </w:trPr>
        <w:tc>
          <w:tcPr>
            <w:tcW w:w="39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Common Stock, $0.01 Par Value</w:t>
            </w:r>
          </w:p>
        </w:tc>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89"/>
              </w:rPr>
              <w:t>VAC</w:t>
            </w:r>
          </w:p>
        </w:tc>
        <w:tc>
          <w:tcPr>
            <w:tcW w:w="3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the issuer’s common stock, par value $0.01 per share, as of May 3, 2019 was 44,827,595.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97"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 TABLE OF CONTENTS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180" w:type="dxa"/>
            <w:vAlign w:val="bottom"/>
          </w:tcPr>
          <w:p>
            <w:pPr>
              <w:spacing w:after="0" w:line="155" w:lineRule="exact"/>
              <w:rPr>
                <w:sz w:val="20"/>
                <w:szCs w:val="20"/>
                <w:color w:val="auto"/>
              </w:rPr>
            </w:pPr>
            <w:r>
              <w:rPr>
                <w:rFonts w:ascii="Times New Roman" w:cs="Times New Roman" w:eastAsia="Times New Roman" w:hAnsi="Times New Roman"/>
                <w:sz w:val="17"/>
                <w:szCs w:val="17"/>
                <w:b w:val="1"/>
                <w:bCs w:val="1"/>
                <w:color w:val="auto"/>
              </w:rPr>
              <w:t>Part I.</w:t>
            </w:r>
          </w:p>
        </w:tc>
        <w:tc>
          <w:tcPr>
            <w:tcW w:w="3740" w:type="dxa"/>
            <w:vAlign w:val="bottom"/>
            <w:tcBorders>
              <w:bottom w:val="single" w:sz="8" w:color="0000EE"/>
            </w:tcBorders>
            <w:gridSpan w:val="30"/>
          </w:tcPr>
          <w:p>
            <w:pPr>
              <w:spacing w:after="0" w:line="155" w:lineRule="exact"/>
              <w:rPr>
                <w:rFonts w:ascii="Times New Roman" w:cs="Times New Roman" w:eastAsia="Times New Roman" w:hAnsi="Times New Roman"/>
                <w:sz w:val="17"/>
                <w:szCs w:val="17"/>
                <w:b w:val="1"/>
                <w:bCs w:val="1"/>
                <w:color w:val="0000EE"/>
              </w:rPr>
            </w:pPr>
            <w:hyperlink w:anchor="page3">
              <w:r>
                <w:rPr>
                  <w:rFonts w:ascii="Times New Roman" w:cs="Times New Roman" w:eastAsia="Times New Roman" w:hAnsi="Times New Roman"/>
                  <w:sz w:val="17"/>
                  <w:szCs w:val="17"/>
                  <w:b w:val="1"/>
                  <w:bCs w:val="1"/>
                  <w:color w:val="0000EE"/>
                </w:rPr>
                <w:t>FINANCIAL INFORMATION (UNAUDITED)</w:t>
              </w:r>
            </w:hyperlink>
          </w:p>
        </w:tc>
        <w:tc>
          <w:tcPr>
            <w:tcW w:w="4680" w:type="dxa"/>
            <w:vAlign w:val="bottom"/>
            <w:gridSpan w:val="7"/>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0000EE"/>
            </w:tcBorders>
          </w:tcPr>
          <w:p>
            <w:pPr>
              <w:jc w:val="center"/>
              <w:spacing w:after="0" w:line="155" w:lineRule="exact"/>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1</w:t>
              </w:r>
            </w:hyperlink>
          </w:p>
        </w:tc>
        <w:tc>
          <w:tcPr>
            <w:tcW w:w="480" w:type="dxa"/>
            <w:vAlign w:val="bottom"/>
          </w:tcPr>
          <w:p>
            <w:pPr>
              <w:spacing w:after="0"/>
              <w:rPr>
                <w:sz w:val="15"/>
                <w:szCs w:val="15"/>
                <w:color w:val="auto"/>
              </w:rPr>
            </w:pPr>
          </w:p>
        </w:tc>
      </w:tr>
      <w:tr>
        <w:trPr>
          <w:trHeight w:val="243"/>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1.</w:t>
            </w:r>
          </w:p>
        </w:tc>
        <w:tc>
          <w:tcPr>
            <w:tcW w:w="240" w:type="dxa"/>
            <w:vAlign w:val="bottom"/>
          </w:tcPr>
          <w:p>
            <w:pPr>
              <w:spacing w:after="0"/>
              <w:rPr>
                <w:sz w:val="21"/>
                <w:szCs w:val="21"/>
                <w:color w:val="auto"/>
              </w:rPr>
            </w:pPr>
          </w:p>
        </w:tc>
        <w:tc>
          <w:tcPr>
            <w:tcW w:w="14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w:anchor="page3">
              <w:r>
                <w:rPr>
                  <w:rFonts w:ascii="Times New Roman" w:cs="Times New Roman" w:eastAsia="Times New Roman" w:hAnsi="Times New Roman"/>
                  <w:sz w:val="17"/>
                  <w:szCs w:val="17"/>
                  <w:color w:val="0000EE"/>
                  <w:w w:val="99"/>
                </w:rPr>
                <w:t>Financial Statements</w:t>
              </w:r>
            </w:hyperlink>
          </w:p>
        </w:tc>
        <w:tc>
          <w:tcPr>
            <w:tcW w:w="674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1</w:t>
              </w:r>
            </w:hyperlink>
          </w:p>
        </w:tc>
        <w:tc>
          <w:tcPr>
            <w:tcW w:w="480" w:type="dxa"/>
            <w:vAlign w:val="bottom"/>
          </w:tcPr>
          <w:p>
            <w:pPr>
              <w:spacing w:after="0"/>
              <w:rPr>
                <w:sz w:val="21"/>
                <w:szCs w:val="21"/>
                <w:color w:val="auto"/>
              </w:rPr>
            </w:pPr>
          </w:p>
        </w:tc>
      </w:tr>
      <w:tr>
        <w:trPr>
          <w:trHeight w:val="237"/>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60" w:type="dxa"/>
            <w:vAlign w:val="bottom"/>
            <w:gridSpan w:val="35"/>
          </w:tcPr>
          <w:p>
            <w:pPr>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Interim Consolidated Statements of Income</w:t>
              </w:r>
            </w:hyperlink>
          </w:p>
        </w:tc>
        <w:tc>
          <w:tcPr>
            <w:tcW w:w="580" w:type="dxa"/>
            <w:vAlign w:val="bottom"/>
            <w:gridSpan w:val="2"/>
          </w:tcPr>
          <w:p>
            <w:pPr>
              <w:jc w:val="center"/>
              <w:ind w:left="396"/>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1</w:t>
              </w:r>
            </w:hyperlink>
          </w:p>
        </w:tc>
        <w:tc>
          <w:tcPr>
            <w:tcW w:w="480" w:type="dxa"/>
            <w:vAlign w:val="bottom"/>
          </w:tcPr>
          <w:p>
            <w:pPr>
              <w:spacing w:after="0"/>
              <w:rPr>
                <w:sz w:val="20"/>
                <w:szCs w:val="20"/>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00" w:type="dxa"/>
            <w:vAlign w:val="bottom"/>
            <w:tcBorders>
              <w:bottom w:val="single" w:sz="8" w:color="0000EE"/>
            </w:tcBorders>
            <w:gridSpan w:val="32"/>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Interim Consolidated Statements of Comprehensive Income</w:t>
              </w:r>
            </w:hyperlink>
          </w:p>
        </w:tc>
        <w:tc>
          <w:tcPr>
            <w:tcW w:w="386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2</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Interim Consolidated Balance Sheets</w:t>
              </w:r>
            </w:hyperlink>
          </w:p>
        </w:tc>
        <w:tc>
          <w:tcPr>
            <w:tcW w:w="540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3</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tcBorders>
              <w:bottom w:val="single" w:sz="8" w:color="0000EE"/>
            </w:tcBorders>
            <w:gridSpan w:val="28"/>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Interim Consolidated Statements of Cash Flows</w:t>
              </w:r>
            </w:hyperlink>
          </w:p>
        </w:tc>
        <w:tc>
          <w:tcPr>
            <w:tcW w:w="468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4</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40" w:type="dxa"/>
            <w:vAlign w:val="bottom"/>
            <w:tcBorders>
              <w:bottom w:val="single" w:sz="8" w:color="0000EE"/>
            </w:tcBorders>
            <w:gridSpan w:val="31"/>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Interim Consolidated Statements of Shareholders’ Equity</w:t>
              </w:r>
            </w:hyperlink>
          </w:p>
        </w:tc>
        <w:tc>
          <w:tcPr>
            <w:tcW w:w="40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6</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80" w:type="dxa"/>
            <w:vAlign w:val="bottom"/>
            <w:gridSpan w:val="36"/>
          </w:tcPr>
          <w:p>
            <w:pPr>
              <w:spacing w:after="0"/>
              <w:rPr>
                <w:rFonts w:ascii="Times New Roman" w:cs="Times New Roman" w:eastAsia="Times New Roman" w:hAnsi="Times New Roman"/>
                <w:sz w:val="17"/>
                <w:szCs w:val="17"/>
                <w:color w:val="0000EE"/>
              </w:rPr>
            </w:pPr>
            <w:hyperlink w:anchor="page9">
              <w:r>
                <w:rPr>
                  <w:rFonts w:ascii="Times New Roman" w:cs="Times New Roman" w:eastAsia="Times New Roman" w:hAnsi="Times New Roman"/>
                  <w:sz w:val="17"/>
                  <w:szCs w:val="17"/>
                  <w:color w:val="0000EE"/>
                </w:rPr>
                <w:t>Notes to Interim Consolidated Financial Statements</w:t>
              </w:r>
            </w:hyperlink>
          </w:p>
        </w:tc>
        <w:tc>
          <w:tcPr>
            <w:tcW w:w="580" w:type="dxa"/>
            <w:vAlign w:val="bottom"/>
            <w:gridSpan w:val="2"/>
          </w:tcPr>
          <w:p>
            <w:pPr>
              <w:jc w:val="center"/>
              <w:ind w:left="396"/>
              <w:spacing w:after="0"/>
              <w:rPr>
                <w:rFonts w:ascii="Times New Roman" w:cs="Times New Roman" w:eastAsia="Times New Roman" w:hAnsi="Times New Roman"/>
                <w:sz w:val="17"/>
                <w:szCs w:val="17"/>
                <w:color w:val="0000EE"/>
              </w:rPr>
            </w:pPr>
            <w:hyperlink w:anchor="page9">
              <w:r>
                <w:rPr>
                  <w:rFonts w:ascii="Times New Roman" w:cs="Times New Roman" w:eastAsia="Times New Roman" w:hAnsi="Times New Roman"/>
                  <w:sz w:val="17"/>
                  <w:szCs w:val="17"/>
                  <w:color w:val="0000EE"/>
                </w:rPr>
                <w:t>7</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bottom w:val="single" w:sz="8" w:color="0000EE"/>
            </w:tcBorders>
          </w:tcPr>
          <w:p>
            <w:pPr>
              <w:spacing w:after="0"/>
              <w:rPr>
                <w:rFonts w:ascii="Times New Roman" w:cs="Times New Roman" w:eastAsia="Times New Roman" w:hAnsi="Times New Roman"/>
                <w:sz w:val="17"/>
                <w:szCs w:val="17"/>
                <w:color w:val="0000EE"/>
              </w:rPr>
            </w:pPr>
            <w:hyperlink w:anchor="page9">
              <w:r>
                <w:rPr>
                  <w:rFonts w:ascii="Times New Roman" w:cs="Times New Roman" w:eastAsia="Times New Roman" w:hAnsi="Times New Roman"/>
                  <w:sz w:val="17"/>
                  <w:szCs w:val="17"/>
                  <w:color w:val="0000EE"/>
                </w:rPr>
                <w:t>1.</w:t>
              </w:r>
            </w:hyperlink>
          </w:p>
        </w:tc>
        <w:tc>
          <w:tcPr>
            <w:tcW w:w="1460" w:type="dxa"/>
            <w:vAlign w:val="bottom"/>
            <w:tcBorders>
              <w:top w:val="single" w:sz="8" w:color="0000EE"/>
              <w:bottom w:val="single" w:sz="8" w:color="0000EE"/>
            </w:tcBorders>
            <w:gridSpan w:val="16"/>
          </w:tcPr>
          <w:p>
            <w:pPr>
              <w:ind w:left="20"/>
              <w:spacing w:after="0"/>
              <w:rPr>
                <w:rFonts w:ascii="Times New Roman" w:cs="Times New Roman" w:eastAsia="Times New Roman" w:hAnsi="Times New Roman"/>
                <w:sz w:val="17"/>
                <w:szCs w:val="17"/>
                <w:color w:val="0000EE"/>
                <w:w w:val="98"/>
              </w:rPr>
            </w:pPr>
            <w:hyperlink w:anchor="page9">
              <w:r>
                <w:rPr>
                  <w:rFonts w:ascii="Times New Roman" w:cs="Times New Roman" w:eastAsia="Times New Roman" w:hAnsi="Times New Roman"/>
                  <w:sz w:val="17"/>
                  <w:szCs w:val="17"/>
                  <w:color w:val="0000EE"/>
                  <w:w w:val="98"/>
                </w:rPr>
                <w:t>Basis of Presentation</w:t>
              </w:r>
            </w:hyperlink>
          </w:p>
        </w:tc>
        <w:tc>
          <w:tcPr>
            <w:tcW w:w="1700" w:type="dxa"/>
            <w:vAlign w:val="bottom"/>
            <w:tcBorders>
              <w:top w:val="single" w:sz="8" w:color="0000EE"/>
            </w:tcBorders>
            <w:gridSpan w:val="12"/>
          </w:tcPr>
          <w:p>
            <w:pPr>
              <w:spacing w:after="0"/>
              <w:rPr>
                <w:sz w:val="21"/>
                <w:szCs w:val="21"/>
                <w:color w:val="auto"/>
              </w:rPr>
            </w:pPr>
          </w:p>
        </w:tc>
        <w:tc>
          <w:tcPr>
            <w:tcW w:w="464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7"/>
                <w:szCs w:val="17"/>
                <w:color w:val="0000EE"/>
              </w:rPr>
            </w:pPr>
            <w:hyperlink w:anchor="page9">
              <w:r>
                <w:rPr>
                  <w:rFonts w:ascii="Times New Roman" w:cs="Times New Roman" w:eastAsia="Times New Roman" w:hAnsi="Times New Roman"/>
                  <w:sz w:val="17"/>
                  <w:szCs w:val="17"/>
                  <w:color w:val="0000EE"/>
                </w:rPr>
                <w:t>7</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Times New Roman" w:cs="Times New Roman" w:eastAsia="Times New Roman" w:hAnsi="Times New Roman"/>
                <w:sz w:val="17"/>
                <w:szCs w:val="17"/>
                <w:color w:val="0000EE"/>
              </w:rPr>
            </w:pPr>
            <w:hyperlink w:anchor="page10">
              <w:r>
                <w:rPr>
                  <w:rFonts w:ascii="Times New Roman" w:cs="Times New Roman" w:eastAsia="Times New Roman" w:hAnsi="Times New Roman"/>
                  <w:sz w:val="17"/>
                  <w:szCs w:val="17"/>
                  <w:color w:val="0000EE"/>
                </w:rPr>
                <w:t>2.</w:t>
              </w:r>
            </w:hyperlink>
          </w:p>
        </w:tc>
        <w:tc>
          <w:tcPr>
            <w:tcW w:w="4560" w:type="dxa"/>
            <w:vAlign w:val="bottom"/>
            <w:tcBorders>
              <w:bottom w:val="single" w:sz="8" w:color="0000EE"/>
            </w:tcBorders>
            <w:gridSpan w:val="32"/>
          </w:tcPr>
          <w:p>
            <w:pPr>
              <w:ind w:left="20"/>
              <w:spacing w:after="0"/>
              <w:rPr>
                <w:rFonts w:ascii="Times New Roman" w:cs="Times New Roman" w:eastAsia="Times New Roman" w:hAnsi="Times New Roman"/>
                <w:sz w:val="17"/>
                <w:szCs w:val="17"/>
                <w:color w:val="0000EE"/>
              </w:rPr>
            </w:pPr>
            <w:hyperlink w:anchor="page10">
              <w:r>
                <w:rPr>
                  <w:rFonts w:ascii="Times New Roman" w:cs="Times New Roman" w:eastAsia="Times New Roman" w:hAnsi="Times New Roman"/>
                  <w:sz w:val="17"/>
                  <w:szCs w:val="17"/>
                  <w:color w:val="0000EE"/>
                </w:rPr>
                <w:t>Significant Accounting Policies and Recent Accounting Standards</w:t>
              </w:r>
            </w:hyperlink>
          </w:p>
        </w:tc>
        <w:tc>
          <w:tcPr>
            <w:tcW w:w="324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rPr>
            </w:pPr>
            <w:hyperlink w:anchor="page10">
              <w:r>
                <w:rPr>
                  <w:rFonts w:ascii="Times New Roman" w:cs="Times New Roman" w:eastAsia="Times New Roman" w:hAnsi="Times New Roman"/>
                  <w:sz w:val="17"/>
                  <w:szCs w:val="17"/>
                  <w:color w:val="0000EE"/>
                </w:rPr>
                <w:t>8</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3.</w:t>
              </w:r>
            </w:hyperlink>
          </w:p>
        </w:tc>
        <w:tc>
          <w:tcPr>
            <w:tcW w:w="7800" w:type="dxa"/>
            <w:vAlign w:val="bottom"/>
            <w:gridSpan w:val="34"/>
          </w:tcPr>
          <w:p>
            <w:pPr>
              <w:ind w:left="20"/>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Acquisitions and Dispositions</w:t>
              </w:r>
            </w:hyperlink>
          </w:p>
        </w:tc>
        <w:tc>
          <w:tcPr>
            <w:tcW w:w="580" w:type="dxa"/>
            <w:vAlign w:val="bottom"/>
            <w:gridSpan w:val="2"/>
          </w:tcPr>
          <w:p>
            <w:pPr>
              <w:jc w:val="center"/>
              <w:ind w:left="396"/>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9</w:t>
              </w:r>
            </w:hyperlink>
          </w:p>
        </w:tc>
        <w:tc>
          <w:tcPr>
            <w:tcW w:w="48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Times New Roman" w:cs="Times New Roman" w:eastAsia="Times New Roman" w:hAnsi="Times New Roman"/>
                <w:sz w:val="17"/>
                <w:szCs w:val="17"/>
                <w:color w:val="0000EE"/>
              </w:rPr>
            </w:pPr>
            <w:hyperlink w:anchor="page15">
              <w:r>
                <w:rPr>
                  <w:rFonts w:ascii="Times New Roman" w:cs="Times New Roman" w:eastAsia="Times New Roman" w:hAnsi="Times New Roman"/>
                  <w:sz w:val="17"/>
                  <w:szCs w:val="17"/>
                  <w:color w:val="0000EE"/>
                </w:rPr>
                <w:t>4.</w:t>
              </w:r>
            </w:hyperlink>
          </w:p>
        </w:tc>
        <w:tc>
          <w:tcPr>
            <w:tcW w:w="620" w:type="dxa"/>
            <w:vAlign w:val="bottom"/>
            <w:tcBorders>
              <w:bottom w:val="single" w:sz="8" w:color="0000EE"/>
            </w:tcBorders>
            <w:gridSpan w:val="7"/>
          </w:tcPr>
          <w:p>
            <w:pPr>
              <w:ind w:left="20"/>
              <w:spacing w:after="0"/>
              <w:rPr>
                <w:rFonts w:ascii="Times New Roman" w:cs="Times New Roman" w:eastAsia="Times New Roman" w:hAnsi="Times New Roman"/>
                <w:sz w:val="17"/>
                <w:szCs w:val="17"/>
                <w:color w:val="0000EE"/>
                <w:w w:val="97"/>
              </w:rPr>
            </w:pPr>
            <w:hyperlink w:anchor="page15">
              <w:r>
                <w:rPr>
                  <w:rFonts w:ascii="Times New Roman" w:cs="Times New Roman" w:eastAsia="Times New Roman" w:hAnsi="Times New Roman"/>
                  <w:sz w:val="17"/>
                  <w:szCs w:val="17"/>
                  <w:color w:val="0000EE"/>
                  <w:w w:val="97"/>
                </w:rPr>
                <w:t>Revenue</w:t>
              </w:r>
            </w:hyperlink>
          </w:p>
        </w:tc>
        <w:tc>
          <w:tcPr>
            <w:tcW w:w="1440" w:type="dxa"/>
            <w:vAlign w:val="bottom"/>
            <w:gridSpan w:val="13"/>
          </w:tcPr>
          <w:p>
            <w:pPr>
              <w:spacing w:after="0"/>
              <w:rPr>
                <w:sz w:val="21"/>
                <w:szCs w:val="21"/>
                <w:color w:val="auto"/>
              </w:rPr>
            </w:pPr>
          </w:p>
        </w:tc>
        <w:tc>
          <w:tcPr>
            <w:tcW w:w="574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15">
              <w:r>
                <w:rPr>
                  <w:rFonts w:ascii="Times New Roman" w:cs="Times New Roman" w:eastAsia="Times New Roman" w:hAnsi="Times New Roman"/>
                  <w:sz w:val="17"/>
                  <w:szCs w:val="17"/>
                  <w:color w:val="0000EE"/>
                  <w:w w:val="82"/>
                </w:rPr>
                <w:t>13</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Times New Roman" w:cs="Times New Roman" w:eastAsia="Times New Roman" w:hAnsi="Times New Roman"/>
                <w:sz w:val="17"/>
                <w:szCs w:val="17"/>
                <w:color w:val="0000EE"/>
              </w:rPr>
            </w:pPr>
            <w:hyperlink w:anchor="page17">
              <w:r>
                <w:rPr>
                  <w:rFonts w:ascii="Times New Roman" w:cs="Times New Roman" w:eastAsia="Times New Roman" w:hAnsi="Times New Roman"/>
                  <w:sz w:val="17"/>
                  <w:szCs w:val="17"/>
                  <w:color w:val="0000EE"/>
                </w:rPr>
                <w:t>5.</w:t>
              </w:r>
            </w:hyperlink>
          </w:p>
        </w:tc>
        <w:tc>
          <w:tcPr>
            <w:tcW w:w="7800" w:type="dxa"/>
            <w:vAlign w:val="bottom"/>
            <w:gridSpan w:val="34"/>
          </w:tcPr>
          <w:p>
            <w:pPr>
              <w:ind w:left="20"/>
              <w:spacing w:after="0"/>
              <w:rPr>
                <w:rFonts w:ascii="Times New Roman" w:cs="Times New Roman" w:eastAsia="Times New Roman" w:hAnsi="Times New Roman"/>
                <w:sz w:val="17"/>
                <w:szCs w:val="17"/>
                <w:color w:val="0000EE"/>
              </w:rPr>
            </w:pPr>
            <w:hyperlink w:anchor="page17">
              <w:r>
                <w:rPr>
                  <w:rFonts w:ascii="Times New Roman" w:cs="Times New Roman" w:eastAsia="Times New Roman" w:hAnsi="Times New Roman"/>
                  <w:sz w:val="17"/>
                  <w:szCs w:val="17"/>
                  <w:color w:val="0000EE"/>
                </w:rPr>
                <w:t>Income Taxes</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17">
              <w:r>
                <w:rPr>
                  <w:rFonts w:ascii="Times New Roman" w:cs="Times New Roman" w:eastAsia="Times New Roman" w:hAnsi="Times New Roman"/>
                  <w:sz w:val="17"/>
                  <w:szCs w:val="17"/>
                  <w:color w:val="0000EE"/>
                </w:rPr>
                <w:t>15</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Times New Roman" w:cs="Times New Roman" w:eastAsia="Times New Roman" w:hAnsi="Times New Roman"/>
                <w:sz w:val="17"/>
                <w:szCs w:val="17"/>
                <w:color w:val="0000EE"/>
              </w:rPr>
            </w:pPr>
            <w:hyperlink w:anchor="page17">
              <w:r>
                <w:rPr>
                  <w:rFonts w:ascii="Times New Roman" w:cs="Times New Roman" w:eastAsia="Times New Roman" w:hAnsi="Times New Roman"/>
                  <w:sz w:val="17"/>
                  <w:szCs w:val="17"/>
                  <w:color w:val="0000EE"/>
                </w:rPr>
                <w:t>6.</w:t>
              </w:r>
            </w:hyperlink>
          </w:p>
        </w:tc>
        <w:tc>
          <w:tcPr>
            <w:tcW w:w="2660" w:type="dxa"/>
            <w:vAlign w:val="bottom"/>
            <w:tcBorders>
              <w:bottom w:val="single" w:sz="8" w:color="0000EE"/>
            </w:tcBorders>
            <w:gridSpan w:val="24"/>
          </w:tcPr>
          <w:p>
            <w:pPr>
              <w:ind w:left="20"/>
              <w:spacing w:after="0"/>
              <w:rPr>
                <w:rFonts w:ascii="Times New Roman" w:cs="Times New Roman" w:eastAsia="Times New Roman" w:hAnsi="Times New Roman"/>
                <w:sz w:val="17"/>
                <w:szCs w:val="17"/>
                <w:color w:val="0000EE"/>
                <w:w w:val="99"/>
              </w:rPr>
            </w:pPr>
            <w:hyperlink w:anchor="page17">
              <w:r>
                <w:rPr>
                  <w:rFonts w:ascii="Times New Roman" w:cs="Times New Roman" w:eastAsia="Times New Roman" w:hAnsi="Times New Roman"/>
                  <w:sz w:val="17"/>
                  <w:szCs w:val="17"/>
                  <w:color w:val="0000EE"/>
                  <w:w w:val="99"/>
                </w:rPr>
                <w:t>Vacation Ownership Notes Receivable</w:t>
              </w:r>
            </w:hyperlink>
          </w:p>
        </w:tc>
        <w:tc>
          <w:tcPr>
            <w:tcW w:w="514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17">
              <w:r>
                <w:rPr>
                  <w:rFonts w:ascii="Times New Roman" w:cs="Times New Roman" w:eastAsia="Times New Roman" w:hAnsi="Times New Roman"/>
                  <w:sz w:val="17"/>
                  <w:szCs w:val="17"/>
                  <w:color w:val="0000EE"/>
                  <w:w w:val="82"/>
                </w:rPr>
                <w:t>15</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Times New Roman" w:cs="Times New Roman" w:eastAsia="Times New Roman" w:hAnsi="Times New Roman"/>
                <w:sz w:val="17"/>
                <w:szCs w:val="17"/>
                <w:color w:val="0000EE"/>
              </w:rPr>
            </w:pPr>
            <w:hyperlink w:anchor="page23">
              <w:r>
                <w:rPr>
                  <w:rFonts w:ascii="Times New Roman" w:cs="Times New Roman" w:eastAsia="Times New Roman" w:hAnsi="Times New Roman"/>
                  <w:sz w:val="17"/>
                  <w:szCs w:val="17"/>
                  <w:color w:val="0000EE"/>
                </w:rPr>
                <w:t>7.</w:t>
              </w:r>
            </w:hyperlink>
          </w:p>
        </w:tc>
        <w:tc>
          <w:tcPr>
            <w:tcW w:w="1500" w:type="dxa"/>
            <w:vAlign w:val="bottom"/>
            <w:tcBorders>
              <w:bottom w:val="single" w:sz="8" w:color="0000EE"/>
            </w:tcBorders>
            <w:gridSpan w:val="17"/>
          </w:tcPr>
          <w:p>
            <w:pPr>
              <w:ind w:left="20"/>
              <w:spacing w:after="0"/>
              <w:rPr>
                <w:rFonts w:ascii="Times New Roman" w:cs="Times New Roman" w:eastAsia="Times New Roman" w:hAnsi="Times New Roman"/>
                <w:sz w:val="17"/>
                <w:szCs w:val="17"/>
                <w:color w:val="0000EE"/>
                <w:w w:val="98"/>
              </w:rPr>
            </w:pPr>
            <w:hyperlink w:anchor="page23">
              <w:r>
                <w:rPr>
                  <w:rFonts w:ascii="Times New Roman" w:cs="Times New Roman" w:eastAsia="Times New Roman" w:hAnsi="Times New Roman"/>
                  <w:sz w:val="17"/>
                  <w:szCs w:val="17"/>
                  <w:color w:val="0000EE"/>
                  <w:w w:val="98"/>
                </w:rPr>
                <w:t>Financial Instruments</w:t>
              </w:r>
            </w:hyperlink>
          </w:p>
        </w:tc>
        <w:tc>
          <w:tcPr>
            <w:tcW w:w="6300" w:type="dxa"/>
            <w:vAlign w:val="bottom"/>
            <w:gridSpan w:val="17"/>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23">
              <w:r>
                <w:rPr>
                  <w:rFonts w:ascii="Times New Roman" w:cs="Times New Roman" w:eastAsia="Times New Roman" w:hAnsi="Times New Roman"/>
                  <w:sz w:val="17"/>
                  <w:szCs w:val="17"/>
                  <w:color w:val="0000EE"/>
                  <w:w w:val="82"/>
                </w:rPr>
                <w:t>21</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8.</w:t>
              </w:r>
            </w:hyperlink>
          </w:p>
        </w:tc>
        <w:tc>
          <w:tcPr>
            <w:tcW w:w="1340" w:type="dxa"/>
            <w:vAlign w:val="bottom"/>
            <w:tcBorders>
              <w:bottom w:val="single" w:sz="8" w:color="0000EE"/>
            </w:tcBorders>
            <w:gridSpan w:val="14"/>
          </w:tcPr>
          <w:p>
            <w:pPr>
              <w:ind w:left="20"/>
              <w:spacing w:after="0"/>
              <w:rPr>
                <w:rFonts w:ascii="Times New Roman" w:cs="Times New Roman" w:eastAsia="Times New Roman" w:hAnsi="Times New Roman"/>
                <w:sz w:val="17"/>
                <w:szCs w:val="17"/>
                <w:color w:val="0000EE"/>
                <w:w w:val="99"/>
              </w:rPr>
            </w:pPr>
            <w:hyperlink w:anchor="page26">
              <w:r>
                <w:rPr>
                  <w:rFonts w:ascii="Times New Roman" w:cs="Times New Roman" w:eastAsia="Times New Roman" w:hAnsi="Times New Roman"/>
                  <w:sz w:val="17"/>
                  <w:szCs w:val="17"/>
                  <w:color w:val="0000EE"/>
                  <w:w w:val="99"/>
                </w:rPr>
                <w:t>Earnings Per Share</w:t>
              </w:r>
            </w:hyperlink>
          </w:p>
        </w:tc>
        <w:tc>
          <w:tcPr>
            <w:tcW w:w="6460" w:type="dxa"/>
            <w:vAlign w:val="bottom"/>
            <w:gridSpan w:val="20"/>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26">
              <w:r>
                <w:rPr>
                  <w:rFonts w:ascii="Times New Roman" w:cs="Times New Roman" w:eastAsia="Times New Roman" w:hAnsi="Times New Roman"/>
                  <w:sz w:val="17"/>
                  <w:szCs w:val="17"/>
                  <w:color w:val="0000EE"/>
                  <w:w w:val="82"/>
                </w:rPr>
                <w:t>24</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Times New Roman" w:cs="Times New Roman" w:eastAsia="Times New Roman" w:hAnsi="Times New Roman"/>
                <w:sz w:val="17"/>
                <w:szCs w:val="17"/>
                <w:color w:val="0000EE"/>
              </w:rPr>
            </w:pPr>
            <w:hyperlink w:anchor="page27">
              <w:r>
                <w:rPr>
                  <w:rFonts w:ascii="Times New Roman" w:cs="Times New Roman" w:eastAsia="Times New Roman" w:hAnsi="Times New Roman"/>
                  <w:sz w:val="17"/>
                  <w:szCs w:val="17"/>
                  <w:color w:val="0000EE"/>
                </w:rPr>
                <w:t>9.</w:t>
              </w:r>
            </w:hyperlink>
          </w:p>
        </w:tc>
        <w:tc>
          <w:tcPr>
            <w:tcW w:w="680" w:type="dxa"/>
            <w:vAlign w:val="bottom"/>
            <w:tcBorders>
              <w:bottom w:val="single" w:sz="8" w:color="0000EE"/>
            </w:tcBorders>
            <w:gridSpan w:val="8"/>
          </w:tcPr>
          <w:p>
            <w:pPr>
              <w:ind w:left="20"/>
              <w:spacing w:after="0"/>
              <w:rPr>
                <w:rFonts w:ascii="Times New Roman" w:cs="Times New Roman" w:eastAsia="Times New Roman" w:hAnsi="Times New Roman"/>
                <w:sz w:val="17"/>
                <w:szCs w:val="17"/>
                <w:color w:val="0000EE"/>
                <w:w w:val="96"/>
              </w:rPr>
            </w:pPr>
            <w:hyperlink w:anchor="page27">
              <w:r>
                <w:rPr>
                  <w:rFonts w:ascii="Times New Roman" w:cs="Times New Roman" w:eastAsia="Times New Roman" w:hAnsi="Times New Roman"/>
                  <w:sz w:val="17"/>
                  <w:szCs w:val="17"/>
                  <w:color w:val="0000EE"/>
                  <w:w w:val="96"/>
                </w:rPr>
                <w:t>Inventory</w:t>
              </w:r>
            </w:hyperlink>
          </w:p>
        </w:tc>
        <w:tc>
          <w:tcPr>
            <w:tcW w:w="712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27">
              <w:r>
                <w:rPr>
                  <w:rFonts w:ascii="Times New Roman" w:cs="Times New Roman" w:eastAsia="Times New Roman" w:hAnsi="Times New Roman"/>
                  <w:sz w:val="17"/>
                  <w:szCs w:val="17"/>
                  <w:color w:val="0000EE"/>
                  <w:w w:val="82"/>
                </w:rPr>
                <w:t>25</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w:anchor="page27">
              <w:r>
                <w:rPr>
                  <w:rFonts w:ascii="Times New Roman" w:cs="Times New Roman" w:eastAsia="Times New Roman" w:hAnsi="Times New Roman"/>
                  <w:sz w:val="17"/>
                  <w:szCs w:val="17"/>
                  <w:color w:val="0000EE"/>
                </w:rPr>
                <w:t>10.</w:t>
              </w:r>
            </w:hyperlink>
          </w:p>
        </w:tc>
        <w:tc>
          <w:tcPr>
            <w:tcW w:w="1700" w:type="dxa"/>
            <w:vAlign w:val="bottom"/>
            <w:tcBorders>
              <w:bottom w:val="single" w:sz="8" w:color="0000EE"/>
            </w:tcBorders>
            <w:gridSpan w:val="18"/>
          </w:tcPr>
          <w:p>
            <w:pPr>
              <w:ind w:left="20"/>
              <w:spacing w:after="0"/>
              <w:rPr>
                <w:rFonts w:ascii="Times New Roman" w:cs="Times New Roman" w:eastAsia="Times New Roman" w:hAnsi="Times New Roman"/>
                <w:sz w:val="17"/>
                <w:szCs w:val="17"/>
                <w:color w:val="0000EE"/>
                <w:w w:val="99"/>
              </w:rPr>
            </w:pPr>
            <w:hyperlink w:anchor="page27">
              <w:r>
                <w:rPr>
                  <w:rFonts w:ascii="Times New Roman" w:cs="Times New Roman" w:eastAsia="Times New Roman" w:hAnsi="Times New Roman"/>
                  <w:sz w:val="17"/>
                  <w:szCs w:val="17"/>
                  <w:color w:val="0000EE"/>
                  <w:w w:val="99"/>
                </w:rPr>
                <w:t>Property and Equipment</w:t>
              </w:r>
            </w:hyperlink>
          </w:p>
        </w:tc>
        <w:tc>
          <w:tcPr>
            <w:tcW w:w="602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27">
              <w:r>
                <w:rPr>
                  <w:rFonts w:ascii="Times New Roman" w:cs="Times New Roman" w:eastAsia="Times New Roman" w:hAnsi="Times New Roman"/>
                  <w:sz w:val="17"/>
                  <w:szCs w:val="17"/>
                  <w:color w:val="0000EE"/>
                  <w:w w:val="82"/>
                </w:rPr>
                <w:t>25</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w w:val="99"/>
              </w:rPr>
            </w:pPr>
            <w:hyperlink w:anchor="page28">
              <w:r>
                <w:rPr>
                  <w:rFonts w:ascii="Times New Roman" w:cs="Times New Roman" w:eastAsia="Times New Roman" w:hAnsi="Times New Roman"/>
                  <w:sz w:val="17"/>
                  <w:szCs w:val="17"/>
                  <w:color w:val="0000EE"/>
                  <w:w w:val="99"/>
                </w:rPr>
                <w:t>11. Contingencies and Commitments</w:t>
              </w:r>
            </w:hyperlink>
          </w:p>
        </w:tc>
        <w:tc>
          <w:tcPr>
            <w:tcW w:w="5420" w:type="dxa"/>
            <w:vAlign w:val="bottom"/>
            <w:gridSpan w:val="13"/>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28">
              <w:r>
                <w:rPr>
                  <w:rFonts w:ascii="Times New Roman" w:cs="Times New Roman" w:eastAsia="Times New Roman" w:hAnsi="Times New Roman"/>
                  <w:sz w:val="17"/>
                  <w:szCs w:val="17"/>
                  <w:color w:val="0000EE"/>
                  <w:w w:val="82"/>
                </w:rPr>
                <w:t>26</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Times New Roman" w:cs="Times New Roman" w:eastAsia="Times New Roman" w:hAnsi="Times New Roman"/>
                <w:sz w:val="17"/>
                <w:szCs w:val="17"/>
                <w:color w:val="0000EE"/>
              </w:rPr>
            </w:pPr>
            <w:hyperlink w:anchor="page31">
              <w:r>
                <w:rPr>
                  <w:rFonts w:ascii="Times New Roman" w:cs="Times New Roman" w:eastAsia="Times New Roman" w:hAnsi="Times New Roman"/>
                  <w:sz w:val="17"/>
                  <w:szCs w:val="17"/>
                  <w:color w:val="0000EE"/>
                </w:rPr>
                <w:t>12.</w:t>
              </w:r>
            </w:hyperlink>
          </w:p>
        </w:tc>
        <w:tc>
          <w:tcPr>
            <w:tcW w:w="7720" w:type="dxa"/>
            <w:vAlign w:val="bottom"/>
            <w:gridSpan w:val="33"/>
          </w:tcPr>
          <w:p>
            <w:pPr>
              <w:ind w:left="20"/>
              <w:spacing w:after="0"/>
              <w:rPr>
                <w:rFonts w:ascii="Times New Roman" w:cs="Times New Roman" w:eastAsia="Times New Roman" w:hAnsi="Times New Roman"/>
                <w:sz w:val="17"/>
                <w:szCs w:val="17"/>
                <w:color w:val="0000EE"/>
              </w:rPr>
            </w:pPr>
            <w:hyperlink w:anchor="page31">
              <w:r>
                <w:rPr>
                  <w:rFonts w:ascii="Times New Roman" w:cs="Times New Roman" w:eastAsia="Times New Roman" w:hAnsi="Times New Roman"/>
                  <w:sz w:val="17"/>
                  <w:szCs w:val="17"/>
                  <w:color w:val="0000EE"/>
                </w:rPr>
                <w:t>Leases</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31">
              <w:r>
                <w:rPr>
                  <w:rFonts w:ascii="Times New Roman" w:cs="Times New Roman" w:eastAsia="Times New Roman" w:hAnsi="Times New Roman"/>
                  <w:sz w:val="17"/>
                  <w:szCs w:val="17"/>
                  <w:color w:val="0000EE"/>
                </w:rPr>
                <w:t>29</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13.</w:t>
              </w:r>
            </w:hyperlink>
          </w:p>
        </w:tc>
        <w:tc>
          <w:tcPr>
            <w:tcW w:w="7720" w:type="dxa"/>
            <w:vAlign w:val="bottom"/>
            <w:gridSpan w:val="33"/>
          </w:tcPr>
          <w:p>
            <w:pPr>
              <w:ind w:left="20"/>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Securitized Debt</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31</w:t>
              </w:r>
            </w:hyperlink>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14.</w:t>
              </w:r>
            </w:hyperlink>
          </w:p>
        </w:tc>
        <w:tc>
          <w:tcPr>
            <w:tcW w:w="360" w:type="dxa"/>
            <w:vAlign w:val="bottom"/>
            <w:tcBorders>
              <w:top w:val="single" w:sz="8" w:color="0000EE"/>
              <w:bottom w:val="single" w:sz="8" w:color="0000EE"/>
            </w:tcBorders>
            <w:gridSpan w:val="3"/>
          </w:tcPr>
          <w:p>
            <w:pPr>
              <w:ind w:left="20"/>
              <w:spacing w:after="0"/>
              <w:rPr>
                <w:rFonts w:ascii="Times New Roman" w:cs="Times New Roman" w:eastAsia="Times New Roman" w:hAnsi="Times New Roman"/>
                <w:sz w:val="17"/>
                <w:szCs w:val="17"/>
                <w:color w:val="0000EE"/>
                <w:w w:val="96"/>
              </w:rPr>
            </w:pPr>
            <w:hyperlink w:anchor="page34">
              <w:r>
                <w:rPr>
                  <w:rFonts w:ascii="Times New Roman" w:cs="Times New Roman" w:eastAsia="Times New Roman" w:hAnsi="Times New Roman"/>
                  <w:sz w:val="17"/>
                  <w:szCs w:val="17"/>
                  <w:color w:val="0000EE"/>
                  <w:w w:val="96"/>
                </w:rPr>
                <w:t>Debt</w:t>
              </w:r>
            </w:hyperlink>
          </w:p>
        </w:tc>
        <w:tc>
          <w:tcPr>
            <w:tcW w:w="800" w:type="dxa"/>
            <w:vAlign w:val="bottom"/>
            <w:tcBorders>
              <w:top w:val="single" w:sz="8" w:color="0000EE"/>
            </w:tcBorders>
            <w:gridSpan w:val="7"/>
          </w:tcPr>
          <w:p>
            <w:pPr>
              <w:spacing w:after="0"/>
              <w:rPr>
                <w:sz w:val="21"/>
                <w:szCs w:val="21"/>
                <w:color w:val="auto"/>
              </w:rPr>
            </w:pPr>
          </w:p>
        </w:tc>
        <w:tc>
          <w:tcPr>
            <w:tcW w:w="6560" w:type="dxa"/>
            <w:vAlign w:val="bottom"/>
            <w:gridSpan w:val="23"/>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34">
              <w:r>
                <w:rPr>
                  <w:rFonts w:ascii="Times New Roman" w:cs="Times New Roman" w:eastAsia="Times New Roman" w:hAnsi="Times New Roman"/>
                  <w:sz w:val="17"/>
                  <w:szCs w:val="17"/>
                  <w:color w:val="0000EE"/>
                  <w:w w:val="82"/>
                </w:rPr>
                <w:t>32</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15.</w:t>
              </w:r>
            </w:hyperlink>
          </w:p>
        </w:tc>
        <w:tc>
          <w:tcPr>
            <w:tcW w:w="7720" w:type="dxa"/>
            <w:vAlign w:val="bottom"/>
            <w:gridSpan w:val="33"/>
          </w:tcPr>
          <w:p>
            <w:pPr>
              <w:ind w:left="20"/>
              <w:spacing w:after="0"/>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Shareholders’ Equity</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35</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w:anchor="page38">
              <w:r>
                <w:rPr>
                  <w:rFonts w:ascii="Times New Roman" w:cs="Times New Roman" w:eastAsia="Times New Roman" w:hAnsi="Times New Roman"/>
                  <w:sz w:val="17"/>
                  <w:szCs w:val="17"/>
                  <w:color w:val="0000EE"/>
                </w:rPr>
                <w:t>16.</w:t>
              </w:r>
            </w:hyperlink>
          </w:p>
        </w:tc>
        <w:tc>
          <w:tcPr>
            <w:tcW w:w="1980" w:type="dxa"/>
            <w:vAlign w:val="bottom"/>
            <w:tcBorders>
              <w:bottom w:val="single" w:sz="8" w:color="0000EE"/>
            </w:tcBorders>
            <w:gridSpan w:val="19"/>
          </w:tcPr>
          <w:p>
            <w:pPr>
              <w:ind w:left="20"/>
              <w:spacing w:after="0"/>
              <w:rPr>
                <w:rFonts w:ascii="Times New Roman" w:cs="Times New Roman" w:eastAsia="Times New Roman" w:hAnsi="Times New Roman"/>
                <w:sz w:val="17"/>
                <w:szCs w:val="17"/>
                <w:color w:val="0000EE"/>
              </w:rPr>
            </w:pPr>
            <w:hyperlink w:anchor="page38">
              <w:r>
                <w:rPr>
                  <w:rFonts w:ascii="Times New Roman" w:cs="Times New Roman" w:eastAsia="Times New Roman" w:hAnsi="Times New Roman"/>
                  <w:sz w:val="17"/>
                  <w:szCs w:val="17"/>
                  <w:color w:val="0000EE"/>
                </w:rPr>
                <w:t>Share-Based Compensation</w:t>
              </w:r>
            </w:hyperlink>
          </w:p>
        </w:tc>
        <w:tc>
          <w:tcPr>
            <w:tcW w:w="574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38">
              <w:r>
                <w:rPr>
                  <w:rFonts w:ascii="Times New Roman" w:cs="Times New Roman" w:eastAsia="Times New Roman" w:hAnsi="Times New Roman"/>
                  <w:sz w:val="17"/>
                  <w:szCs w:val="17"/>
                  <w:color w:val="0000EE"/>
                  <w:w w:val="82"/>
                </w:rPr>
                <w:t>36</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17.</w:t>
              </w:r>
            </w:hyperlink>
          </w:p>
        </w:tc>
        <w:tc>
          <w:tcPr>
            <w:tcW w:w="7720" w:type="dxa"/>
            <w:vAlign w:val="bottom"/>
            <w:gridSpan w:val="33"/>
          </w:tcPr>
          <w:p>
            <w:pPr>
              <w:ind w:left="20"/>
              <w:spacing w:after="0"/>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Variable Interest Entities</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37</w:t>
              </w:r>
            </w:hyperlink>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7"/>
                <w:szCs w:val="17"/>
                <w:color w:val="0000EE"/>
              </w:rPr>
            </w:pPr>
            <w:hyperlink w:anchor="page41">
              <w:r>
                <w:rPr>
                  <w:rFonts w:ascii="Times New Roman" w:cs="Times New Roman" w:eastAsia="Times New Roman" w:hAnsi="Times New Roman"/>
                  <w:sz w:val="17"/>
                  <w:szCs w:val="17"/>
                  <w:color w:val="0000EE"/>
                </w:rPr>
                <w:t>18.</w:t>
              </w:r>
            </w:hyperlink>
          </w:p>
        </w:tc>
        <w:tc>
          <w:tcPr>
            <w:tcW w:w="1340" w:type="dxa"/>
            <w:vAlign w:val="bottom"/>
            <w:tcBorders>
              <w:top w:val="single" w:sz="8" w:color="0000EE"/>
              <w:bottom w:val="single" w:sz="8" w:color="0000EE"/>
            </w:tcBorders>
            <w:gridSpan w:val="14"/>
          </w:tcPr>
          <w:p>
            <w:pPr>
              <w:ind w:left="20"/>
              <w:spacing w:after="0"/>
              <w:rPr>
                <w:rFonts w:ascii="Times New Roman" w:cs="Times New Roman" w:eastAsia="Times New Roman" w:hAnsi="Times New Roman"/>
                <w:sz w:val="17"/>
                <w:szCs w:val="17"/>
                <w:color w:val="0000EE"/>
                <w:w w:val="99"/>
              </w:rPr>
            </w:pPr>
            <w:hyperlink w:anchor="page41">
              <w:r>
                <w:rPr>
                  <w:rFonts w:ascii="Times New Roman" w:cs="Times New Roman" w:eastAsia="Times New Roman" w:hAnsi="Times New Roman"/>
                  <w:sz w:val="17"/>
                  <w:szCs w:val="17"/>
                  <w:color w:val="0000EE"/>
                  <w:w w:val="99"/>
                </w:rPr>
                <w:t>Business Segments</w:t>
              </w:r>
            </w:hyperlink>
          </w:p>
        </w:tc>
        <w:tc>
          <w:tcPr>
            <w:tcW w:w="360" w:type="dxa"/>
            <w:vAlign w:val="bottom"/>
            <w:tcBorders>
              <w:top w:val="single" w:sz="8" w:color="0000EE"/>
            </w:tcBorders>
            <w:gridSpan w:val="4"/>
          </w:tcPr>
          <w:p>
            <w:pPr>
              <w:spacing w:after="0"/>
              <w:rPr>
                <w:sz w:val="21"/>
                <w:szCs w:val="21"/>
                <w:color w:val="auto"/>
              </w:rPr>
            </w:pPr>
          </w:p>
        </w:tc>
        <w:tc>
          <w:tcPr>
            <w:tcW w:w="602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41">
              <w:r>
                <w:rPr>
                  <w:rFonts w:ascii="Times New Roman" w:cs="Times New Roman" w:eastAsia="Times New Roman" w:hAnsi="Times New Roman"/>
                  <w:sz w:val="17"/>
                  <w:szCs w:val="17"/>
                  <w:color w:val="0000EE"/>
                  <w:w w:val="82"/>
                </w:rPr>
                <w:t>39</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w:anchor="page43">
              <w:r>
                <w:rPr>
                  <w:rFonts w:ascii="Times New Roman" w:cs="Times New Roman" w:eastAsia="Times New Roman" w:hAnsi="Times New Roman"/>
                  <w:sz w:val="17"/>
                  <w:szCs w:val="17"/>
                  <w:color w:val="0000EE"/>
                </w:rPr>
                <w:t>19.</w:t>
              </w:r>
            </w:hyperlink>
          </w:p>
        </w:tc>
        <w:tc>
          <w:tcPr>
            <w:tcW w:w="2560" w:type="dxa"/>
            <w:vAlign w:val="bottom"/>
            <w:tcBorders>
              <w:bottom w:val="single" w:sz="8" w:color="0000EE"/>
            </w:tcBorders>
            <w:gridSpan w:val="22"/>
          </w:tcPr>
          <w:p>
            <w:pPr>
              <w:ind w:left="20"/>
              <w:spacing w:after="0"/>
              <w:rPr>
                <w:rFonts w:ascii="Times New Roman" w:cs="Times New Roman" w:eastAsia="Times New Roman" w:hAnsi="Times New Roman"/>
                <w:sz w:val="17"/>
                <w:szCs w:val="17"/>
                <w:color w:val="0000EE"/>
                <w:w w:val="99"/>
              </w:rPr>
            </w:pPr>
            <w:hyperlink w:anchor="page43">
              <w:r>
                <w:rPr>
                  <w:rFonts w:ascii="Times New Roman" w:cs="Times New Roman" w:eastAsia="Times New Roman" w:hAnsi="Times New Roman"/>
                  <w:sz w:val="17"/>
                  <w:szCs w:val="17"/>
                  <w:color w:val="0000EE"/>
                  <w:w w:val="99"/>
                </w:rPr>
                <w:t>Supplemental Guarantor Information</w:t>
              </w:r>
            </w:hyperlink>
          </w:p>
        </w:tc>
        <w:tc>
          <w:tcPr>
            <w:tcW w:w="516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43">
              <w:r>
                <w:rPr>
                  <w:rFonts w:ascii="Times New Roman" w:cs="Times New Roman" w:eastAsia="Times New Roman" w:hAnsi="Times New Roman"/>
                  <w:sz w:val="17"/>
                  <w:szCs w:val="17"/>
                  <w:color w:val="0000EE"/>
                  <w:w w:val="82"/>
                </w:rPr>
                <w:t>41</w:t>
              </w:r>
            </w:hyperlink>
          </w:p>
        </w:tc>
        <w:tc>
          <w:tcPr>
            <w:tcW w:w="480" w:type="dxa"/>
            <w:vAlign w:val="bottom"/>
          </w:tcPr>
          <w:p>
            <w:pPr>
              <w:spacing w:after="0"/>
              <w:rPr>
                <w:sz w:val="21"/>
                <w:szCs w:val="21"/>
                <w:color w:val="auto"/>
              </w:rPr>
            </w:pPr>
          </w:p>
        </w:tc>
      </w:tr>
      <w:tr>
        <w:trPr>
          <w:trHeight w:val="250"/>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2.</w:t>
            </w:r>
          </w:p>
        </w:tc>
        <w:tc>
          <w:tcPr>
            <w:tcW w:w="240" w:type="dxa"/>
            <w:vAlign w:val="bottom"/>
          </w:tcPr>
          <w:p>
            <w:pPr>
              <w:spacing w:after="0"/>
              <w:rPr>
                <w:sz w:val="21"/>
                <w:szCs w:val="21"/>
                <w:color w:val="auto"/>
              </w:rPr>
            </w:pPr>
          </w:p>
        </w:tc>
        <w:tc>
          <w:tcPr>
            <w:tcW w:w="8180" w:type="dxa"/>
            <w:vAlign w:val="bottom"/>
            <w:gridSpan w:val="36"/>
          </w:tcPr>
          <w:p>
            <w:pPr>
              <w:spacing w:after="0"/>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color w:val="0000EE"/>
                </w:rPr>
                <w:t>Management’s Discussion and Analysis of Financial Condition and Results of Operations</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color w:val="0000EE"/>
                </w:rPr>
                <w:t>44</w:t>
              </w:r>
            </w:hyperlink>
          </w:p>
        </w:tc>
      </w:tr>
      <w:tr>
        <w:trPr>
          <w:trHeight w:val="237"/>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3.</w:t>
            </w:r>
          </w:p>
        </w:tc>
        <w:tc>
          <w:tcPr>
            <w:tcW w:w="240" w:type="dxa"/>
            <w:vAlign w:val="bottom"/>
          </w:tcPr>
          <w:p>
            <w:pPr>
              <w:spacing w:after="0"/>
              <w:rPr>
                <w:sz w:val="20"/>
                <w:szCs w:val="20"/>
                <w:color w:val="auto"/>
              </w:rPr>
            </w:pPr>
          </w:p>
        </w:tc>
        <w:tc>
          <w:tcPr>
            <w:tcW w:w="4160" w:type="dxa"/>
            <w:vAlign w:val="bottom"/>
            <w:tcBorders>
              <w:top w:val="single" w:sz="8" w:color="0000EE"/>
              <w:bottom w:val="single" w:sz="8" w:color="0000EE"/>
            </w:tcBorders>
            <w:gridSpan w:val="32"/>
          </w:tcPr>
          <w:p>
            <w:pP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Quantitative and Qualitative Disclosures About Market Risk</w:t>
              </w:r>
            </w:hyperlink>
          </w:p>
        </w:tc>
        <w:tc>
          <w:tcPr>
            <w:tcW w:w="1980" w:type="dxa"/>
            <w:vAlign w:val="bottom"/>
            <w:tcBorders>
              <w:top w:val="single" w:sz="8" w:color="0000EE"/>
            </w:tcBorders>
            <w:gridSpan w:val="3"/>
          </w:tcPr>
          <w:p>
            <w:pPr>
              <w:spacing w:after="0"/>
              <w:rPr>
                <w:sz w:val="20"/>
                <w:szCs w:val="20"/>
                <w:color w:val="auto"/>
              </w:rPr>
            </w:pP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68">
              <w:r>
                <w:rPr>
                  <w:rFonts w:ascii="Times New Roman" w:cs="Times New Roman" w:eastAsia="Times New Roman" w:hAnsi="Times New Roman"/>
                  <w:sz w:val="17"/>
                  <w:szCs w:val="17"/>
                  <w:color w:val="0000EE"/>
                  <w:w w:val="82"/>
                </w:rPr>
                <w:t>66</w:t>
              </w:r>
            </w:hyperlink>
          </w:p>
        </w:tc>
        <w:tc>
          <w:tcPr>
            <w:tcW w:w="48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4.</w:t>
            </w:r>
          </w:p>
        </w:tc>
        <w:tc>
          <w:tcPr>
            <w:tcW w:w="240" w:type="dxa"/>
            <w:vAlign w:val="bottom"/>
          </w:tcPr>
          <w:p>
            <w:pPr>
              <w:spacing w:after="0"/>
              <w:rPr>
                <w:sz w:val="20"/>
                <w:szCs w:val="20"/>
                <w:color w:val="auto"/>
              </w:rPr>
            </w:pPr>
          </w:p>
        </w:tc>
        <w:tc>
          <w:tcPr>
            <w:tcW w:w="170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Controls and Procedures</w:t>
              </w:r>
            </w:hyperlink>
          </w:p>
        </w:tc>
        <w:tc>
          <w:tcPr>
            <w:tcW w:w="6480" w:type="dxa"/>
            <w:vAlign w:val="bottom"/>
            <w:gridSpan w:val="21"/>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68">
              <w:r>
                <w:rPr>
                  <w:rFonts w:ascii="Times New Roman" w:cs="Times New Roman" w:eastAsia="Times New Roman" w:hAnsi="Times New Roman"/>
                  <w:sz w:val="17"/>
                  <w:szCs w:val="17"/>
                  <w:color w:val="0000EE"/>
                  <w:w w:val="82"/>
                </w:rPr>
                <w:t>66</w:t>
              </w:r>
            </w:hyperlink>
          </w:p>
        </w:tc>
        <w:tc>
          <w:tcPr>
            <w:tcW w:w="480" w:type="dxa"/>
            <w:vAlign w:val="bottom"/>
          </w:tcPr>
          <w:p>
            <w:pPr>
              <w:spacing w:after="0"/>
              <w:rPr>
                <w:sz w:val="20"/>
                <w:szCs w:val="20"/>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420" w:type="dxa"/>
            <w:vAlign w:val="bottom"/>
            <w:gridSpan w:val="37"/>
          </w:tcPr>
          <w:p>
            <w:pPr>
              <w:spacing w:after="0"/>
              <w:rPr>
                <w:rFonts w:ascii="Times New Roman" w:cs="Times New Roman" w:eastAsia="Times New Roman" w:hAnsi="Times New Roman"/>
                <w:sz w:val="17"/>
                <w:szCs w:val="17"/>
                <w:b w:val="1"/>
                <w:bCs w:val="1"/>
                <w:color w:val="0000EE"/>
              </w:rPr>
            </w:pPr>
            <w:hyperlink w:anchor="page68">
              <w:r>
                <w:rPr>
                  <w:rFonts w:ascii="Times New Roman" w:cs="Times New Roman" w:eastAsia="Times New Roman" w:hAnsi="Times New Roman"/>
                  <w:sz w:val="17"/>
                  <w:szCs w:val="17"/>
                  <w:b w:val="1"/>
                  <w:bCs w:val="1"/>
                  <w:color w:val="0000EE"/>
                </w:rPr>
                <w:t>OTHER INFORMATION</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66</w:t>
              </w:r>
            </w:hyperlink>
          </w:p>
        </w:tc>
      </w:tr>
      <w:tr>
        <w:trPr>
          <w:trHeight w:val="237"/>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1.</w:t>
            </w:r>
          </w:p>
        </w:tc>
        <w:tc>
          <w:tcPr>
            <w:tcW w:w="240" w:type="dxa"/>
            <w:vAlign w:val="bottom"/>
            <w:tcBorders>
              <w:top w:val="single" w:sz="8" w:color="0000EE"/>
            </w:tcBorders>
          </w:tcPr>
          <w:p>
            <w:pPr>
              <w:spacing w:after="0"/>
              <w:rPr>
                <w:sz w:val="20"/>
                <w:szCs w:val="20"/>
                <w:color w:val="auto"/>
              </w:rPr>
            </w:pPr>
          </w:p>
        </w:tc>
        <w:tc>
          <w:tcPr>
            <w:tcW w:w="13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Legal Proceedings</w:t>
              </w:r>
            </w:hyperlink>
          </w:p>
        </w:tc>
        <w:tc>
          <w:tcPr>
            <w:tcW w:w="340" w:type="dxa"/>
            <w:vAlign w:val="bottom"/>
            <w:tcBorders>
              <w:top w:val="single" w:sz="8" w:color="0000EE"/>
            </w:tcBorders>
            <w:gridSpan w:val="3"/>
          </w:tcPr>
          <w:p>
            <w:pPr>
              <w:spacing w:after="0"/>
              <w:rPr>
                <w:sz w:val="20"/>
                <w:szCs w:val="20"/>
                <w:color w:val="auto"/>
              </w:rPr>
            </w:pPr>
          </w:p>
        </w:tc>
        <w:tc>
          <w:tcPr>
            <w:tcW w:w="6500" w:type="dxa"/>
            <w:vAlign w:val="bottom"/>
            <w:gridSpan w:val="22"/>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68">
              <w:r>
                <w:rPr>
                  <w:rFonts w:ascii="Times New Roman" w:cs="Times New Roman" w:eastAsia="Times New Roman" w:hAnsi="Times New Roman"/>
                  <w:sz w:val="17"/>
                  <w:szCs w:val="17"/>
                  <w:color w:val="0000EE"/>
                  <w:w w:val="82"/>
                </w:rPr>
                <w:t>66</w:t>
              </w:r>
            </w:hyperlink>
          </w:p>
        </w:tc>
        <w:tc>
          <w:tcPr>
            <w:tcW w:w="48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1A.</w:t>
            </w:r>
          </w:p>
        </w:tc>
        <w:tc>
          <w:tcPr>
            <w:tcW w:w="240" w:type="dxa"/>
            <w:vAlign w:val="bottom"/>
          </w:tcPr>
          <w:p>
            <w:pPr>
              <w:spacing w:after="0"/>
              <w:rPr>
                <w:sz w:val="20"/>
                <w:szCs w:val="20"/>
                <w:color w:val="auto"/>
              </w:rPr>
            </w:pPr>
          </w:p>
        </w:tc>
        <w:tc>
          <w:tcPr>
            <w:tcW w:w="8180" w:type="dxa"/>
            <w:vAlign w:val="bottom"/>
            <w:gridSpan w:val="36"/>
          </w:tcPr>
          <w:p>
            <w:pP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Risk Factors</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66</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80" w:type="dxa"/>
            <w:vAlign w:val="bottom"/>
            <w:gridSpan w:val="24"/>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37"/>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2.</w:t>
            </w:r>
          </w:p>
        </w:tc>
        <w:tc>
          <w:tcPr>
            <w:tcW w:w="240" w:type="dxa"/>
            <w:vAlign w:val="bottom"/>
          </w:tcPr>
          <w:p>
            <w:pPr>
              <w:spacing w:after="0"/>
              <w:rPr>
                <w:sz w:val="20"/>
                <w:szCs w:val="20"/>
                <w:color w:val="auto"/>
              </w:rPr>
            </w:pPr>
          </w:p>
        </w:tc>
        <w:tc>
          <w:tcPr>
            <w:tcW w:w="4140" w:type="dxa"/>
            <w:vAlign w:val="bottom"/>
            <w:tcBorders>
              <w:bottom w:val="single" w:sz="8" w:color="0000EE"/>
            </w:tcBorders>
            <w:gridSpan w:val="31"/>
          </w:tcPr>
          <w:p>
            <w:pPr>
              <w:spacing w:after="0"/>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Unregistered Sales of Equity Securities and Use of Proceeds</w:t>
              </w:r>
            </w:hyperlink>
          </w:p>
        </w:tc>
        <w:tc>
          <w:tcPr>
            <w:tcW w:w="4040" w:type="dxa"/>
            <w:vAlign w:val="bottom"/>
            <w:gridSpan w:val="5"/>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69">
              <w:r>
                <w:rPr>
                  <w:rFonts w:ascii="Times New Roman" w:cs="Times New Roman" w:eastAsia="Times New Roman" w:hAnsi="Times New Roman"/>
                  <w:sz w:val="17"/>
                  <w:szCs w:val="17"/>
                  <w:color w:val="0000EE"/>
                  <w:w w:val="82"/>
                </w:rPr>
                <w:t>67</w:t>
              </w:r>
            </w:hyperlink>
          </w:p>
        </w:tc>
        <w:tc>
          <w:tcPr>
            <w:tcW w:w="48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Item 6.</w:t>
            </w:r>
          </w:p>
        </w:tc>
        <w:tc>
          <w:tcPr>
            <w:tcW w:w="240" w:type="dxa"/>
            <w:vAlign w:val="bottom"/>
          </w:tcPr>
          <w:p>
            <w:pPr>
              <w:spacing w:after="0"/>
              <w:rPr>
                <w:sz w:val="20"/>
                <w:szCs w:val="20"/>
                <w:color w:val="auto"/>
              </w:rPr>
            </w:pPr>
          </w:p>
        </w:tc>
        <w:tc>
          <w:tcPr>
            <w:tcW w:w="58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8"/>
              </w:rPr>
            </w:pPr>
            <w:hyperlink w:anchor="page69">
              <w:r>
                <w:rPr>
                  <w:rFonts w:ascii="Times New Roman" w:cs="Times New Roman" w:eastAsia="Times New Roman" w:hAnsi="Times New Roman"/>
                  <w:sz w:val="17"/>
                  <w:szCs w:val="17"/>
                  <w:color w:val="0000EE"/>
                  <w:w w:val="98"/>
                </w:rPr>
                <w:t>Exhibits</w:t>
              </w:r>
            </w:hyperlink>
          </w:p>
        </w:tc>
        <w:tc>
          <w:tcPr>
            <w:tcW w:w="7600" w:type="dxa"/>
            <w:vAlign w:val="bottom"/>
            <w:gridSpan w:val="32"/>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7"/>
                <w:szCs w:val="17"/>
                <w:color w:val="0000EE"/>
                <w:w w:val="82"/>
              </w:rPr>
            </w:pPr>
            <w:hyperlink w:anchor="page69">
              <w:r>
                <w:rPr>
                  <w:rFonts w:ascii="Times New Roman" w:cs="Times New Roman" w:eastAsia="Times New Roman" w:hAnsi="Times New Roman"/>
                  <w:sz w:val="17"/>
                  <w:szCs w:val="17"/>
                  <w:color w:val="0000EE"/>
                  <w:w w:val="82"/>
                </w:rPr>
                <w:t>67</w:t>
              </w:r>
            </w:hyperlink>
          </w:p>
        </w:tc>
        <w:tc>
          <w:tcPr>
            <w:tcW w:w="480" w:type="dxa"/>
            <w:vAlign w:val="bottom"/>
          </w:tcPr>
          <w:p>
            <w:pPr>
              <w:spacing w:after="0"/>
              <w:rPr>
                <w:sz w:val="20"/>
                <w:szCs w:val="20"/>
                <w:color w:val="auto"/>
              </w:rPr>
            </w:pPr>
          </w:p>
        </w:tc>
      </w:tr>
      <w:tr>
        <w:trPr>
          <w:trHeight w:val="237"/>
        </w:trPr>
        <w:tc>
          <w:tcPr>
            <w:tcW w:w="1180" w:type="dxa"/>
            <w:vAlign w:val="bottom"/>
          </w:tcPr>
          <w:p>
            <w:pPr>
              <w:spacing w:after="0"/>
              <w:rPr>
                <w:sz w:val="20"/>
                <w:szCs w:val="20"/>
                <w:color w:val="auto"/>
              </w:rPr>
            </w:pPr>
          </w:p>
        </w:tc>
        <w:tc>
          <w:tcPr>
            <w:tcW w:w="8420" w:type="dxa"/>
            <w:vAlign w:val="bottom"/>
            <w:gridSpan w:val="37"/>
          </w:tcPr>
          <w:p>
            <w:pPr>
              <w:spacing w:after="0"/>
              <w:rPr>
                <w:rFonts w:ascii="Times New Roman" w:cs="Times New Roman" w:eastAsia="Times New Roman" w:hAnsi="Times New Roman"/>
                <w:sz w:val="17"/>
                <w:szCs w:val="17"/>
                <w:color w:val="0000EE"/>
              </w:rPr>
            </w:pPr>
            <w:hyperlink w:anchor="page71">
              <w:r>
                <w:rPr>
                  <w:rFonts w:ascii="Times New Roman" w:cs="Times New Roman" w:eastAsia="Times New Roman" w:hAnsi="Times New Roman"/>
                  <w:sz w:val="17"/>
                  <w:szCs w:val="17"/>
                  <w:color w:val="0000EE"/>
                </w:rPr>
                <w:t>SIGNATURES</w:t>
              </w:r>
            </w:hyperlink>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w:anchor="page71">
              <w:r>
                <w:rPr>
                  <w:rFonts w:ascii="Times New Roman" w:cs="Times New Roman" w:eastAsia="Times New Roman" w:hAnsi="Times New Roman"/>
                  <w:sz w:val="17"/>
                  <w:szCs w:val="17"/>
                  <w:color w:val="0000EE"/>
                </w:rPr>
                <w:t>69</w:t>
              </w:r>
            </w:hyperlink>
          </w:p>
        </w:tc>
      </w:tr>
      <w:tr>
        <w:trPr>
          <w:trHeight w:val="20"/>
        </w:trPr>
        <w:tc>
          <w:tcPr>
            <w:tcW w:w="1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bl>
    <w:p>
      <w:pPr>
        <w:spacing w:after="0" w:line="15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 xml:space="preserve">Throughout this report, we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 Capitalized terms used and not specifically defined herein have the same meaning given those terms in our Annual Report on Form 10-K for the year ended December 31, 2018. When discussing our properties or markets, we refer to the United States, Mexico, Central America and the Caribbean as “North America.”</w:t>
      </w:r>
    </w:p>
    <w:p>
      <w:pPr>
        <w:spacing w:after="0" w:line="91" w:lineRule="exact"/>
        <w:rPr>
          <w:sz w:val="20"/>
          <w:szCs w:val="20"/>
          <w:color w:val="auto"/>
        </w:rPr>
      </w:pPr>
    </w:p>
    <w:p>
      <w:pPr>
        <w:jc w:val="both"/>
        <w:ind w:right="120" w:firstLine="662"/>
        <w:spacing w:after="0" w:line="266" w:lineRule="auto"/>
        <w:rPr>
          <w:sz w:val="20"/>
          <w:szCs w:val="20"/>
          <w:color w:val="auto"/>
        </w:rPr>
      </w:pPr>
      <w:r>
        <w:rPr>
          <w:rFonts w:ascii="Times New Roman" w:cs="Times New Roman" w:eastAsia="Times New Roman" w:hAnsi="Times New Roman"/>
          <w:sz w:val="18"/>
          <w:szCs w:val="18"/>
          <w:color w:val="auto"/>
        </w:rPr>
        <w:t>On September 1, 2018, we completed the acquisition of ILG, LLC (formerly known as ILG, Inc. (“ILG”)). ILG’s businesses included Aqua-Aston Hospitality, Hyatt Vacation Ownership (“HVO”), Interval International, Trading Places International (“TPI”), Vacation Resorts International (“VRI”), VRI Europe and Vistana Signature Experiences (“Vistana”), the exclusive licensee for the Sheraton and Westin brands in vacation ownership.</w:t>
      </w:r>
    </w:p>
    <w:p>
      <w:pPr>
        <w:sectPr>
          <w:pgSz w:w="11900" w:h="16838" w:orient="portrait"/>
          <w:cols w:equalWidth="0" w:num="1">
            <w:col w:w="11340"/>
          </w:cols>
          <w:pgMar w:left="240" w:top="79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 (UNAUDITED)</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33"/>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REVENUES</w:t>
            </w:r>
          </w:p>
        </w:tc>
        <w:tc>
          <w:tcPr>
            <w:tcW w:w="80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Management and exchange</w:t>
            </w: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shd w:val="clear" w:color="auto" w:fill="CCEEFF"/>
              </w:rPr>
              <w:t>TOTAL REVENUES</w:t>
            </w:r>
          </w:p>
        </w:tc>
        <w:tc>
          <w:tcPr>
            <w:tcW w:w="80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r>
      <w:tr>
        <w:trPr>
          <w:trHeight w:val="237"/>
        </w:trPr>
        <w:tc>
          <w:tcPr>
            <w:tcW w:w="81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Cost of vacation ownership products</w:t>
            </w: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Management and exchange</w:t>
            </w: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Depreciation and amortization</w:t>
            </w: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fee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37"/>
        </w:trPr>
        <w:tc>
          <w:tcPr>
            <w:tcW w:w="280" w:type="dxa"/>
            <w:vAlign w:val="bottom"/>
          </w:tcPr>
          <w:p>
            <w:pPr>
              <w:spacing w:after="0"/>
              <w:rPr>
                <w:sz w:val="20"/>
                <w:szCs w:val="20"/>
                <w:color w:val="auto"/>
              </w:rPr>
            </w:pPr>
          </w:p>
        </w:tc>
        <w:tc>
          <w:tcPr>
            <w:tcW w:w="7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 AND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r>
      <w:tr>
        <w:trPr>
          <w:trHeight w:val="540"/>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9"/>
        </w:trPr>
        <w:tc>
          <w:tcPr>
            <w:tcW w:w="8120" w:type="dxa"/>
            <w:vAlign w:val="bottom"/>
            <w:gridSpan w:val="5"/>
          </w:tcPr>
          <w:p>
            <w:pPr>
              <w:ind w:left="56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COMPREHENSIVE INCOME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3840" w:type="dxa"/>
            <w:vAlign w:val="bottom"/>
            <w:gridSpan w:val="4"/>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3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80" w:type="dxa"/>
            <w:vAlign w:val="bottom"/>
            <w:tcBorders>
              <w:bottom w:val="single" w:sz="8" w:color="CCEEFF"/>
            </w:tcBorders>
            <w:shd w:val="clear" w:color="auto" w:fill="CCEEFF"/>
          </w:tcPr>
          <w:p>
            <w:pPr>
              <w:jc w:val="right"/>
              <w:ind w:right="14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instrument adjustment, net of tax</w:t>
            </w:r>
          </w:p>
        </w:tc>
        <w:tc>
          <w:tcPr>
            <w:tcW w:w="16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72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attributable to noncontrolling interests</w:t>
            </w:r>
          </w:p>
        </w:tc>
        <w:tc>
          <w:tcPr>
            <w:tcW w:w="16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NONCONTROLLING INTERESTS</w:t>
            </w:r>
          </w:p>
        </w:tc>
        <w:tc>
          <w:tcPr>
            <w:tcW w:w="16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7200" w:type="dxa"/>
            <w:vAlign w:val="bottom"/>
            <w:tcBorders>
              <w:bottom w:val="single" w:sz="8" w:color="CCEEFF"/>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1680" w:type="dxa"/>
            <w:vAlign w:val="bottom"/>
            <w:tcBorders>
              <w:bottom w:val="single" w:sz="8" w:color="auto"/>
            </w:tcBorders>
            <w:shd w:val="clear" w:color="auto" w:fill="CCEEFF"/>
          </w:tcPr>
          <w:p>
            <w:pPr>
              <w:jc w:val="right"/>
              <w:ind w:right="14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7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 2019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(including $65 and $69 from VIEs,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(including $11 and $11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 notes receivable, net (including $1,645 and $1,627 from VIEs,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2,039</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$31 and $26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9,018</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deposits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(including $2 and $2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 net (including $1,699 and $1,706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1,694</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2,124</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r>
      <w:tr>
        <w:trPr>
          <w:trHeight w:val="237"/>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5,552</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 (Note 11)</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 $0.01 par value; 2,000,000 shares authorized; none issued or outstanding</w:t>
            </w:r>
          </w:p>
        </w:tc>
        <w:tc>
          <w:tcPr>
            <w:tcW w:w="2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$0.01 par value; 100,000,000 shares authorized; 57,839,682 and 57,626,462 shares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1"/>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 at cost; 12,857,638 and 11,633,731 shares, respectively</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r>
      <w:tr>
        <w:trPr>
          <w:trHeight w:val="237"/>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MVW SHAREHOLDERS' EQUITY</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3,461</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3,466</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9,018</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abbreviation VIEs above means Variable Interest Entities.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76" w:right="2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cash equivalents and restricted cash provided by operating</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intangibles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reserve</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change in assets and liabilities, net of the effects of acquisition:</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Vacation ownership notes receivable collections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advance deposits and accrued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Payroll and benefit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operating activities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collection of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company owned life insurance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82" w:right="2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(CONTINUED)</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80" w:type="dxa"/>
            <w:vAlign w:val="bottom"/>
          </w:tcPr>
          <w:p>
            <w:pPr>
              <w:spacing w:after="0"/>
              <w:rPr>
                <w:sz w:val="20"/>
                <w:szCs w:val="20"/>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33"/>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debt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dividends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cash equivalents and restricted cash used in financing activities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changes in exchange rates on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w:t>
            </w:r>
          </w:p>
        </w:tc>
      </w:tr>
      <w:tr>
        <w:trPr>
          <w:trHeight w:val="297"/>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r>
      <w:tr>
        <w:trPr>
          <w:trHeight w:val="284"/>
        </w:trPr>
        <w:tc>
          <w:tcPr>
            <w:tcW w:w="8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transfer from property and equipment to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80" w:top="482"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SHAREHOLDERS’ EQUITY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MVW</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34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60" w:type="dxa"/>
            <w:vAlign w:val="bottom"/>
          </w:tcPr>
          <w:p>
            <w:pPr>
              <w:spacing w:after="0"/>
              <w:rPr>
                <w:sz w:val="17"/>
                <w:szCs w:val="17"/>
                <w:color w:val="auto"/>
              </w:rPr>
            </w:pPr>
          </w:p>
        </w:tc>
        <w:tc>
          <w:tcPr>
            <w:tcW w:w="6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8"/>
                <w:szCs w:val="18"/>
                <w:color w:val="auto"/>
              </w:rPr>
            </w:pP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33"/>
        </w:trPr>
        <w:tc>
          <w:tcPr>
            <w:tcW w:w="780" w:type="dxa"/>
            <w:vAlign w:val="bottom"/>
            <w:tcBorders>
              <w:bottom w:val="single" w:sz="8" w:color="auto"/>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1"/>
        </w:trPr>
        <w:tc>
          <w:tcPr>
            <w:tcW w:w="780" w:type="dxa"/>
            <w:vAlign w:val="bottom"/>
            <w:shd w:val="clear" w:color="auto" w:fill="CCEEFF"/>
          </w:tcPr>
          <w:p>
            <w:pPr>
              <w:spacing w:after="0"/>
              <w:rPr>
                <w:sz w:val="17"/>
                <w:szCs w:val="17"/>
                <w:color w:val="auto"/>
              </w:rPr>
            </w:pPr>
          </w:p>
        </w:tc>
        <w:tc>
          <w:tcPr>
            <w:tcW w:w="234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45"/>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3,466</w:t>
            </w:r>
          </w:p>
        </w:tc>
      </w:tr>
      <w:tr>
        <w:trPr>
          <w:trHeight w:val="225"/>
        </w:trPr>
        <w:tc>
          <w:tcPr>
            <w:tcW w:w="7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Impact of adoption of</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ASU 2016-02</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80" w:type="dxa"/>
            <w:vAlign w:val="bottom"/>
            <w:tcBorders>
              <w:bottom w:val="single" w:sz="8" w:color="auto"/>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Opening Balance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3,458</w:t>
            </w:r>
          </w:p>
        </w:tc>
      </w:tr>
      <w:tr>
        <w:trPr>
          <w:trHeight w:val="243"/>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5"/>
        </w:trPr>
        <w:tc>
          <w:tcPr>
            <w:tcW w:w="780" w:type="dxa"/>
            <w:vAlign w:val="bottom"/>
            <w:shd w:val="clear" w:color="auto" w:fill="CCEEFF"/>
          </w:tcPr>
          <w:p>
            <w:pPr>
              <w:spacing w:after="0"/>
              <w:rPr>
                <w:sz w:val="19"/>
                <w:szCs w:val="19"/>
                <w:color w:val="auto"/>
              </w:rPr>
            </w:pPr>
          </w:p>
        </w:tc>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41"/>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translation adjustments</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instrument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5"/>
        </w:trPr>
        <w:tc>
          <w:tcPr>
            <w:tcW w:w="780" w:type="dxa"/>
            <w:vAlign w:val="bottom"/>
            <w:shd w:val="clear" w:color="auto" w:fill="CCEEFF"/>
          </w:tcPr>
          <w:p>
            <w:pPr>
              <w:spacing w:after="0"/>
              <w:rPr>
                <w:sz w:val="19"/>
                <w:szCs w:val="19"/>
                <w:color w:val="auto"/>
              </w:rPr>
            </w:pPr>
          </w:p>
        </w:tc>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Amounts related to share-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41"/>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7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common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7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stock plan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80" w:type="dxa"/>
            <w:vAlign w:val="bottom"/>
            <w:tcBorders>
              <w:bottom w:val="single" w:sz="8" w:color="auto"/>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3,351</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52"/>
        </w:trPr>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MVW</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34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60" w:type="dxa"/>
            <w:vAlign w:val="bottom"/>
          </w:tcPr>
          <w:p>
            <w:pPr>
              <w:spacing w:after="0"/>
              <w:rPr>
                <w:sz w:val="17"/>
                <w:szCs w:val="17"/>
                <w:color w:val="auto"/>
              </w:rPr>
            </w:pPr>
          </w:p>
        </w:tc>
        <w:tc>
          <w:tcPr>
            <w:tcW w:w="6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8"/>
                <w:szCs w:val="18"/>
                <w:color w:val="auto"/>
              </w:rPr>
            </w:pP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33"/>
        </w:trPr>
        <w:tc>
          <w:tcPr>
            <w:tcW w:w="780" w:type="dxa"/>
            <w:vAlign w:val="bottom"/>
            <w:tcBorders>
              <w:bottom w:val="single" w:sz="8" w:color="auto"/>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1"/>
        </w:trPr>
        <w:tc>
          <w:tcPr>
            <w:tcW w:w="780" w:type="dxa"/>
            <w:vAlign w:val="bottom"/>
            <w:shd w:val="clear" w:color="auto" w:fill="CCEEFF"/>
          </w:tcPr>
          <w:p>
            <w:pPr>
              <w:spacing w:after="0"/>
              <w:rPr>
                <w:sz w:val="17"/>
                <w:szCs w:val="17"/>
                <w:color w:val="auto"/>
              </w:rPr>
            </w:pPr>
          </w:p>
        </w:tc>
        <w:tc>
          <w:tcPr>
            <w:tcW w:w="234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45"/>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1,041</w:t>
            </w:r>
          </w:p>
        </w:tc>
      </w:tr>
      <w:tr>
        <w:trPr>
          <w:trHeight w:val="243"/>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5"/>
        </w:trPr>
        <w:tc>
          <w:tcPr>
            <w:tcW w:w="780" w:type="dxa"/>
            <w:vAlign w:val="bottom"/>
            <w:shd w:val="clear" w:color="auto" w:fill="CCEEFF"/>
          </w:tcPr>
          <w:p>
            <w:pPr>
              <w:spacing w:after="0"/>
              <w:rPr>
                <w:sz w:val="19"/>
                <w:szCs w:val="19"/>
                <w:color w:val="auto"/>
              </w:rPr>
            </w:pPr>
          </w:p>
        </w:tc>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41"/>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translation adjustments</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780" w:type="dxa"/>
            <w:vAlign w:val="bottom"/>
          </w:tcPr>
          <w:p>
            <w:pPr>
              <w:spacing w:after="0"/>
              <w:rPr>
                <w:sz w:val="19"/>
                <w:szCs w:val="19"/>
                <w:color w:val="auto"/>
              </w:rPr>
            </w:pP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Amounts related to share-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based compensation</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5"/>
        </w:trPr>
        <w:tc>
          <w:tcPr>
            <w:tcW w:w="780" w:type="dxa"/>
            <w:vAlign w:val="bottom"/>
            <w:shd w:val="clear" w:color="auto" w:fill="CCEEFF"/>
          </w:tcPr>
          <w:p>
            <w:pPr>
              <w:spacing w:after="0"/>
              <w:rPr>
                <w:sz w:val="19"/>
                <w:szCs w:val="19"/>
                <w:color w:val="auto"/>
              </w:rPr>
            </w:pPr>
          </w:p>
        </w:tc>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41"/>
        </w:trPr>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80" w:type="dxa"/>
            <w:vAlign w:val="bottom"/>
            <w:tcBorders>
              <w:bottom w:val="single" w:sz="8" w:color="auto"/>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1,066</w:t>
            </w: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65" w:lineRule="exact"/>
        <w:rPr>
          <w:sz w:val="20"/>
          <w:szCs w:val="20"/>
          <w:color w:val="auto"/>
        </w:rPr>
      </w:pPr>
    </w:p>
    <w:p>
      <w:pPr>
        <w:ind w:left="380" w:hanging="345"/>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right="80" w:firstLine="662"/>
        <w:spacing w:after="0" w:line="255" w:lineRule="auto"/>
        <w:rPr>
          <w:sz w:val="20"/>
          <w:szCs w:val="20"/>
          <w:color w:val="auto"/>
        </w:rPr>
      </w:pPr>
      <w:r>
        <w:rPr>
          <w:rFonts w:ascii="Times New Roman" w:cs="Times New Roman" w:eastAsia="Times New Roman" w:hAnsi="Times New Roman"/>
          <w:sz w:val="18"/>
          <w:szCs w:val="18"/>
          <w:color w:val="auto"/>
        </w:rPr>
        <w:t>The Interim Consolidated Financial Statements present the results of operations, financial position and cash flows of Marriott Vacations Worldwide Corporation (referred to in this report as “we,” “us,” “Marriott Vacations Worldwide,” “MVW” or “the Company,” which includes our consolidated subsidiaries except where the context of the reference is to a single corporate entity). In order to make this report easier to read, we refer throughout to (i) our Interim Consolidated Financial Statements as our “Financial Statements,” (ii) our Interim Consolidated Statements of Income as our “Income Statements,”</w:t>
      </w:r>
    </w:p>
    <w:p>
      <w:pPr>
        <w:spacing w:after="0" w:line="3" w:lineRule="exact"/>
        <w:rPr>
          <w:sz w:val="20"/>
          <w:szCs w:val="20"/>
          <w:color w:val="auto"/>
        </w:rPr>
      </w:pPr>
    </w:p>
    <w:p>
      <w:pPr>
        <w:ind w:right="60" w:firstLine="8"/>
        <w:spacing w:after="0" w:line="254"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 given those terms in our Annual Report on Form 10-K for the fiscal year ended December 31, 2018 (the “2018 Annual Report”). We use certain other terms that are defined within these Financial Statements.</w:t>
      </w:r>
    </w:p>
    <w:p>
      <w:pPr>
        <w:spacing w:after="0" w:line="7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References in these Financial Statements to net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Accordingly, actual amounts may differ from these estimated amounts.</w:t>
      </w:r>
    </w:p>
    <w:p>
      <w:pPr>
        <w:spacing w:after="0" w:line="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ILG Acquisition (defined below),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2018 Annual Report .</w:t>
      </w:r>
    </w:p>
    <w:p>
      <w:pPr>
        <w:spacing w:after="0" w:line="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also reflect our adoption of new accounting standards. See Footnote 2 “Significant Accounting Policies and Recent Accounting Standards” for additional information.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reclassified the following prior year amounts to conform to the current year presentation:</w:t>
      </w:r>
    </w:p>
    <w:p>
      <w:pPr>
        <w:spacing w:after="0" w:line="63"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Resort management and other services revenue to Management and exchange revenue;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Resort management and other services expense to Management and exchange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Consumer financing interest expense into Financing expense;</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depreciation expense from Marketing and sales expense, Management and exchange expense, Rental expense, and General and administrative expense to Depreciation and amortization expense;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costs related to the ILG Acquisition from Other expense to ILG acquisition-related costs;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68" w:right="2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i w:val="1"/>
          <w:iCs w:val="1"/>
          <w:color w:val="auto"/>
        </w:rPr>
        <w:t>Acquisition of ILG</w:t>
      </w:r>
    </w:p>
    <w:p>
      <w:pPr>
        <w:spacing w:after="0" w:line="1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See Footnote 3 “Acquisitions and Dispositions” for more information on the ILG Acquisition.</w:t>
      </w:r>
    </w:p>
    <w:p>
      <w:pPr>
        <w:spacing w:after="0" w:line="200" w:lineRule="exact"/>
        <w:rPr>
          <w:sz w:val="20"/>
          <w:szCs w:val="20"/>
          <w:color w:val="auto"/>
        </w:rPr>
      </w:pPr>
    </w:p>
    <w:p>
      <w:pPr>
        <w:spacing w:after="0" w:line="246" w:lineRule="exact"/>
        <w:rPr>
          <w:sz w:val="20"/>
          <w:szCs w:val="20"/>
          <w:color w:val="auto"/>
        </w:rPr>
      </w:pPr>
    </w:p>
    <w:p>
      <w:pPr>
        <w:ind w:left="380" w:hanging="345"/>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AND RECENT ACCOUNTING STANDARDS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17"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color w:val="auto"/>
        </w:rPr>
        <w:t>Accounting Standards Update 2017-12 – “</w:t>
      </w:r>
      <w:r>
        <w:rPr>
          <w:rFonts w:ascii="Times New Roman" w:cs="Times New Roman" w:eastAsia="Times New Roman" w:hAnsi="Times New Roman"/>
          <w:sz w:val="18"/>
          <w:szCs w:val="18"/>
          <w:i w:val="1"/>
          <w:iCs w:val="1"/>
          <w:color w:val="auto"/>
        </w:rPr>
        <w:t>Derivatives and Hedging (Topic 815): Targeted Improvements to Accounting for Hedging Activities</w:t>
      </w:r>
      <w:r>
        <w:rPr>
          <w:rFonts w:ascii="Times New Roman" w:cs="Times New Roman" w:eastAsia="Times New Roman" w:hAnsi="Times New Roman"/>
          <w:sz w:val="18"/>
          <w:szCs w:val="18"/>
          <w:color w:val="auto"/>
        </w:rPr>
        <w:t>” (“ASU 2017-12”)</w:t>
      </w:r>
    </w:p>
    <w:p>
      <w:pPr>
        <w:spacing w:after="0" w:line="52"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fiscal years beginning after December 15, 2018, including interim periods within those fiscal years, with early adoption permitted. The adoption of ASU 2017-12 in the first quarter of 2019 did not have a material impact on our Financial Statements or disclosures.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2016-02 –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to increase transparency and comparability of information regarding an entity’s leasing activities by providing additional information to users of financial statements, which as amended, created Accounting Standards Codification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ASU 2016-02 requires a lessee to recognize most leases on its balance sheet by recording a liability for its lease obligation and an asset for its right to use the underlying asset as of the lease commencement date and recognizing expenses on the income statement in a similar manner to the current guidance in Accounting Standards Codification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Lessor accounting remains largely unchanged, other than certain targeted improvements intended to align lessor accounting with the lessee accounting model and with the updated revenue recognition guidance.</w:t>
      </w:r>
    </w:p>
    <w:p>
      <w:pPr>
        <w:spacing w:after="0" w:line="8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Upon adoption of ASU 2016-02, as amended, leases will be classified as either finance or operating, with classification affecting the geography of expense recognition in the income statement. Additionally, enhanced quantitative and qualitative disclosures regarding leases are required. ASU 2016-02 is effective for fiscal years beginning after December 15, 2018, including interim periods within those fiscal years, with early adoption permitted.</w:t>
      </w:r>
    </w:p>
    <w:p>
      <w:pPr>
        <w:spacing w:after="0" w:line="6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permitted by the amended guidance, we elected to retain the original lease classification and historical accounting for existing or expired contracts of lessees and lessors so that we will not be required to reassess whether such contracts contain leases, the lease classification of any such leases or the initial direct costs of any such leases. We will continue to report comparative periods presented in the financial statements in the period of adoption under GAAP in effect as of such comparative period, resulting in a balance sheet presentation that is not comparable to the prior period in the first year of adoption. Additionally, with respect to our real estate leases, we elected an accounting policy by class of underlying asset to combine lease and non-lease components. We also elected to apply an exemption for short-term leases whereby leases with an initial term of a year or less are not recorded on the balance sheet. We did not utilize the practical expedient which allows the use of hindsight by lessees and lessors in determining the lease term and in assessing impairment of their right-of-use assets.</w:t>
      </w:r>
    </w:p>
    <w:p>
      <w:pPr>
        <w:spacing w:after="0" w:line="7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adopted ASU 2016-02, as amended, during the first quarter of 2019 using the transition method which allows the application of the standard at the adoption date, January 1, 2019. Upon adoption, we recognized a lease obligation of $165 million and a right-of-use asset of $155 million, as well as, a cumulative-effect adjustment of $8 million to the opening balance of retained earnings for our operating and finance leases, primarily related to leases of real estate and other assets.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adoption of ASU 2016-02 did not have a material effect on our Income Statement or Cash Flows for the three months ended March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 12 “Leases” for further discussion of the adoption and the impact on our Financial Statements.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Standards</w:t>
      </w:r>
    </w:p>
    <w:p>
      <w:pPr>
        <w:spacing w:after="0" w:line="117" w:lineRule="exact"/>
        <w:rPr>
          <w:sz w:val="20"/>
          <w:szCs w:val="20"/>
          <w:color w:val="auto"/>
        </w:rPr>
      </w:pPr>
    </w:p>
    <w:p>
      <w:pPr>
        <w:ind w:right="820" w:firstLine="648"/>
        <w:spacing w:after="0" w:line="284" w:lineRule="auto"/>
        <w:rPr>
          <w:sz w:val="20"/>
          <w:szCs w:val="20"/>
          <w:color w:val="auto"/>
        </w:rPr>
      </w:pPr>
      <w:r>
        <w:rPr>
          <w:rFonts w:ascii="Times New Roman" w:cs="Times New Roman" w:eastAsia="Times New Roman" w:hAnsi="Times New Roman"/>
          <w:sz w:val="18"/>
          <w:szCs w:val="18"/>
          <w:color w:val="auto"/>
        </w:rPr>
        <w:t>Accounting Standards Update 2016-13 –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(“ASU 2016-13”)</w:t>
      </w:r>
    </w:p>
    <w:p>
      <w:pPr>
        <w:spacing w:after="0" w:line="5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expect to adopt ASU 2016-13 commencing in fiscal year 2020 and are continuing to evaluate the impact that adoption of this update will have on our financial statements and disclosures.</w:t>
      </w:r>
    </w:p>
    <w:p>
      <w:pPr>
        <w:spacing w:after="0" w:line="200" w:lineRule="exact"/>
        <w:rPr>
          <w:sz w:val="20"/>
          <w:szCs w:val="20"/>
          <w:color w:val="auto"/>
        </w:rPr>
      </w:pPr>
    </w:p>
    <w:p>
      <w:pPr>
        <w:spacing w:after="0" w:line="254" w:lineRule="exact"/>
        <w:rPr>
          <w:sz w:val="20"/>
          <w:szCs w:val="20"/>
          <w:color w:val="auto"/>
        </w:rPr>
      </w:pPr>
    </w:p>
    <w:p>
      <w:pPr>
        <w:ind w:left="380" w:hanging="345"/>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ILG Acquisition</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 2018, (the “Acquisition Date”), we completed the ILG Acquisition. ILG is a leading provider of professionally delivered vacation experiences with a portfolio of leisure businesses ranging from vacation exchange and rental services to vacation ownership, and is the exclusive global licensee for the Hyatt, Sheraton and Westin brands in vacation ownership. The combination of our brands created a leading global provider of upper-upscale vacation ownership, exchange networks and management services with access to world-class loyalty programs and an expanded portfolio of highly demanded vacation destinations.</w:t>
      </w:r>
    </w:p>
    <w:p>
      <w:pPr>
        <w:spacing w:after="0" w:line="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Shareholders of ILG received 0.165 shares of our common stock and $14.75 in cash for each share of ILG common stock. The following table presents the fair value of each class of consideration transferred at the Acquisition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 shares of Marriott Vacations Worldwide common stock issued in exchange for ILG outstanding</w:t>
            </w: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common stock price per share as of Acquisition Date</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119.00</w:t>
            </w:r>
          </w:p>
        </w:tc>
      </w:tr>
      <w:tr>
        <w:trPr>
          <w:trHeight w:val="27"/>
        </w:trPr>
        <w:tc>
          <w:tcPr>
            <w:tcW w:w="8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Fair value of Marriott Vacations Worldwide common stock issued in exchange for ILG outstanding shares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consideration to ILG shareholders, net of cash acquired of $154 million</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r>
      <w:tr>
        <w:trPr>
          <w:trHeight w:val="27"/>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ILG equity-based awards attributed to pre-combination service</w:t>
            </w: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consideration transferred, net of cash acquired</w:t>
            </w: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4,185</w:t>
            </w:r>
          </w:p>
        </w:tc>
      </w:tr>
      <w:tr>
        <w:trPr>
          <w:trHeight w:val="27"/>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83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4,214</w:t>
            </w:r>
          </w:p>
        </w:tc>
      </w:tr>
      <w:tr>
        <w:trPr>
          <w:trHeight w:val="27"/>
        </w:trPr>
        <w:tc>
          <w:tcPr>
            <w:tcW w:w="83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Preliminary Fair Values of Assets Acquired and Liabilities Assumed</w:t>
      </w:r>
    </w:p>
    <w:p>
      <w:pPr>
        <w:spacing w:after="0" w:line="11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We accounted for the ILG Acquisition as a business combination, which requires us to record the assets acquired and liabilities assumed at fair value as of the Acquisition Date. The amounts recorded for certain assets and liabilities are preliminary in nature and are subject to adjustment as additional information is obtained about the facts and circumstances that existed as of the Acquisition Date. We are continuing to evaluate the underlying inputs and assumptions used in our valuations. Accordingly, these preliminary estimates are subject to change during the measurement period, which is up to one year from the Acquisition Date, as permitted under GAAP. Any potential adjustments made could be material in relation to the values presented in the table below.</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578" w:right="259" w:bottom="1440" w:gutter="0" w:footer="0" w:header="0"/>
        </w:sectPr>
      </w:pPr>
    </w:p>
    <w:bookmarkStart w:id="11" w:name="page12"/>
    <w:bookmarkEnd w:id="11"/>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preliminary estimates of the fair values of the assets that we acquired and the liabilities that we assumed on the Acquisition Date in connection with the business combination as previously reported at December 31, 2018. We had no changes to our preliminary estimates of fair value during the first quarter of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September 1, 2018</w:t>
            </w:r>
          </w:p>
        </w:tc>
        <w:tc>
          <w:tcPr>
            <w:tcW w:w="0" w:type="dxa"/>
            <w:vAlign w:val="bottom"/>
          </w:tcPr>
          <w:p>
            <w:pPr>
              <w:spacing w:after="0"/>
              <w:rPr>
                <w:sz w:val="1"/>
                <w:szCs w:val="1"/>
                <w:color w:val="auto"/>
              </w:rPr>
            </w:pPr>
          </w:p>
        </w:tc>
      </w:tr>
      <w:tr>
        <w:trPr>
          <w:trHeight w:val="240"/>
        </w:trPr>
        <w:tc>
          <w:tcPr>
            <w:tcW w:w="8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(as reported at December 31, 2018)</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 notes receivable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2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21"/>
                <w:szCs w:val="21"/>
                <w:color w:val="auto"/>
              </w:rPr>
            </w:pPr>
          </w:p>
        </w:tc>
        <w:tc>
          <w:tcPr>
            <w:tcW w:w="2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Deferred taxes</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Securitized debt from VIEs</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Net assets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80" w:hanging="652"/>
        <w:spacing w:after="0" w:line="218"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Goodwill is calculated as total consideration transferred, net of cash acquired, less identified net assets acquired and it primarily represents the value that we expect to obtain from synergies and growth opportunities from our combined operations.</w:t>
      </w:r>
    </w:p>
    <w:p>
      <w:pPr>
        <w:spacing w:after="0" w:line="197"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i w:val="1"/>
          <w:iCs w:val="1"/>
          <w:color w:val="auto"/>
        </w:rPr>
        <w:t>Vacation Ownership Notes Receivable</w:t>
      </w:r>
    </w:p>
    <w:p>
      <w:pPr>
        <w:spacing w:after="0" w:line="1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acquired vacation ownership notes receivable, which consist of loans to customers who purchased vacation ownership products and chose to finance their purchase. These vacation ownership notes receivable are collateralized by the underlying vacation ownership interests (“VOIs”) and generally have terms ranging from five to 15 years. We provisionally estimated the fair value of the vacation ownership notes receivables using a discounted cash flow model, which calculated a present value of expected future cash flows over the term of the respective vacation ownership notes receivable (Level 2). We are continuing to evaluate the significant assumptions underlying the discounted cash flow model including default and prepayment assumptions, which could result in changes to our provisional estimate. See Footnote 6 “Vacation Ownership Notes Receivable” for additional information.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acquired inventory, which consisted of completed unsold VOIs and vacation ownership projects under construction. We provisionally estimated the value of acquired inventory using an income approach, which is primarily based on significant Level 3 assumptions, such as estimates of future income growth, capitalization rates, discount rates and capital expenditure needs of the relevant properties. We are continuing to assess the market assumptions and property conditions, which could result in changes to these provisional values.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acquired property and equipment, which included four owned hotels, information technology, ancillary business assets, furniture and equipment and land held for future development. We provisionally estimated the value of the property and equipment using a combination of the income, cost, and market approaches, which are primarily based on significant Level 3 assumptions, such as estimates of future income growth, capitalization rates, discount rates and capital expenditure needs of the hotels. We are continuing to assess the market assumptions and property conditions, which could result in changes to these provisional values.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72" w:right="2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allocated $2,448 million and $380 million of the carrying amount of our preliminary estimate of goodwill to our Vacation Ownership and our Exchange &amp; Third-Party Management reporting units, respectively, at both March 31, 2019 and December 31, 2018. The assignment of goodwill to our reporting units may change during the measurement period as we have not yet finalized the fair value of the assets and liabilities assumed in the ILG Acquisition.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preliminary estimates of the fair values of ILG’s identified intangible assets and their related estimated useful lives as of the Acquisition Date.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120" w:type="dxa"/>
            <w:vAlign w:val="bottom"/>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00" w:type="dxa"/>
            <w:vAlign w:val="bottom"/>
          </w:tcPr>
          <w:p>
            <w:pPr>
              <w:spacing w:after="0"/>
              <w:rPr>
                <w:sz w:val="18"/>
                <w:szCs w:val="18"/>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c>
          <w:tcPr>
            <w:tcW w:w="0" w:type="dxa"/>
            <w:vAlign w:val="bottom"/>
          </w:tcPr>
          <w:p>
            <w:pPr>
              <w:spacing w:after="0"/>
              <w:rPr>
                <w:sz w:val="1"/>
                <w:szCs w:val="1"/>
                <w:color w:val="auto"/>
              </w:rPr>
            </w:pPr>
          </w:p>
        </w:tc>
      </w:tr>
      <w:tr>
        <w:trPr>
          <w:trHeight w:val="35"/>
        </w:trPr>
        <w:tc>
          <w:tcPr>
            <w:tcW w:w="1660" w:type="dxa"/>
            <w:vAlign w:val="bottom"/>
          </w:tcPr>
          <w:p>
            <w:pPr>
              <w:spacing w:after="0"/>
              <w:rPr>
                <w:sz w:val="3"/>
                <w:szCs w:val="3"/>
                <w:color w:val="auto"/>
              </w:rPr>
            </w:pPr>
          </w:p>
        </w:tc>
        <w:tc>
          <w:tcPr>
            <w:tcW w:w="4600" w:type="dxa"/>
            <w:vAlign w:val="bottom"/>
          </w:tcPr>
          <w:p>
            <w:pPr>
              <w:spacing w:after="0"/>
              <w:rPr>
                <w:sz w:val="3"/>
                <w:szCs w:val="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66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1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Member relationships</w:t>
            </w:r>
          </w:p>
        </w:tc>
        <w:tc>
          <w:tcPr>
            <w:tcW w:w="4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to 20</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Management contracts</w:t>
            </w:r>
          </w:p>
        </w:tc>
        <w:tc>
          <w:tcPr>
            <w:tcW w:w="1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to 25</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shd w:val="clear" w:color="auto" w:fill="CCEEFF"/>
              </w:rPr>
              <w:t>Management contracts</w:t>
            </w:r>
          </w:p>
        </w:tc>
        <w:tc>
          <w:tcPr>
            <w:tcW w:w="4600" w:type="dxa"/>
            <w:vAlign w:val="bottom"/>
            <w:tcBorders>
              <w:bottom w:val="single" w:sz="8" w:color="CCEEFF"/>
            </w:tcBorders>
            <w:shd w:val="clear" w:color="auto" w:fill="CCEEFF"/>
          </w:tcPr>
          <w:p>
            <w:pPr>
              <w:jc w:val="right"/>
              <w:ind w:right="4435"/>
              <w:spacing w:after="0"/>
              <w:rPr>
                <w:sz w:val="20"/>
                <w:szCs w:val="20"/>
                <w:color w:val="auto"/>
              </w:rPr>
            </w:pPr>
            <w:r>
              <w:rPr>
                <w:rFonts w:ascii="Times New Roman" w:cs="Times New Roman" w:eastAsia="Times New Roman" w:hAnsi="Times New Roman"/>
                <w:sz w:val="9"/>
                <w:szCs w:val="9"/>
                <w:color w:val="auto"/>
                <w:w w:val="94"/>
              </w:rPr>
              <w:t>(1)</w:t>
            </w:r>
          </w:p>
        </w:tc>
        <w:tc>
          <w:tcPr>
            <w:tcW w:w="1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6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40" w:hanging="484"/>
        <w:spacing w:after="0" w:line="228" w:lineRule="auto"/>
        <w:tabs>
          <w:tab w:leader="none" w:pos="11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indefinite-lived management contracts, by their terms, continue for the foreseeable horizon. There are no legal, regulatory, contractual, competitive, economic or other factors which limit the period of time over which these resort management contracts are expected to contribute future cash flows.</w:t>
      </w:r>
    </w:p>
    <w:p>
      <w:pPr>
        <w:spacing w:after="0" w:line="14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provisionally estimated the value of the trade names and trademarks using the relief-from-royalty method, which applies an estimated royalty rate to forecasted future cash flows, discounted to present value. We estimated the value of management contracts and member relationships using the multi-period excess earnings method, which is a variation of the income approach. This method estimates an intangible asset’s value based on the present value of the incremental after-tax cash flows attributable to the intangible asset. These valuation approaches utilize Level 3 inputs, and we continue to review the related contracts and historical performance in addition to evaluating the inputs, including the discount rates and renewal and growth assumptions, which could result in changes to these provisional values.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Deferred revenue primarily relates to membership fees, which are deferred and recognized over the terms of the applicable memberships, ranging from one to five years, on a straight-line basis. Additionally, deferred revenue includes maintenance fees collected from owners, in certain cases, which are earned by the relevant property owners’ association over the applicable period. We provisionally estimated the value of the deferred revenue utilizing Level 3 inputs based on a review of existing deferred revenue balances against legal performance obligations. We continue to review the related contracts in addition to evaluating the inputs, including the discount rates, which could result in changes to the provisional estimate.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taxes primarily relate to the fair value of assets and liabilities acquired, including vacation ownership notes receivable, inventory, property and equipment, intangible assets and debt. We provisionally estimated deferred income taxes based on statutory rates in the jurisdictions of the legal entities where the acquired assets and liabilities are recorded. We are continuing to assess the tax rates used, and we will update our estimate of deferred income taxes based on changes to our provisional valuations of the related assets and liabilities and refinement of the effective tax rates, which could result in changes to these provisional values.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valued the IAC Notes (as defined in Footnote 14 “Debt”) using a quoted market price, which is considered a Level 2 input as it is observable in the market; however these notes have only a limited trading volume and as such this fair value estimate is not necessarily indicative of the value at which the IAC Notes could be retired or transferred. The carrying value of the ILG Revolving Credit Facility approximated fair value, as the contractual interest rate was variable plus an applicable margin based credit rating (Level 3 input). The ILG Revolving Credit Facility was extinguished and all amounts due were repaid in full upon completion of the ILG Acquisition.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8" w:right="2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i w:val="1"/>
          <w:iCs w:val="1"/>
          <w:color w:val="auto"/>
        </w:rPr>
        <w:t>Securitized Debt from VIEs</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provisionally estimated the fair value of the securitized debt from VIEs using a discounted cash flow model. The significant assumptions in our analysis include default rates, prepayment rates, bond interest rates and other structural factors (Level 3 inputs). We are continuing to evaluate the significant assumptions underlying the discounted cash flow model including default and prepayment assumptions, which could result in changes to our provisional estimate.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Results of Operations</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Marriott Vacations Worldwide and ILG as if we had completed the ILG Acquisition on December 30, 2016, the last day of our 2016 fiscal year, but using our preliminary fair values of assets and liabilities as of the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ILG Acquisition had occurred at the beginning of the period presented, nor are they indicative of future results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40"/>
        </w:trPr>
        <w:tc>
          <w:tcPr>
            <w:tcW w:w="8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31, 2018</w:t>
            </w:r>
          </w:p>
        </w:tc>
      </w:tr>
      <w:tr>
        <w:trPr>
          <w:trHeight w:val="249"/>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w:t>
            </w: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43"/>
        </w:trPr>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results above include $12 million of ILG acquisition-related costs for the three months ended March 31, 2018.</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ILG Results of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of Legacy-ILG operations included in our Income Statement for the three months ended March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40"/>
        </w:trPr>
        <w:tc>
          <w:tcPr>
            <w:tcW w:w="8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March 31, 2019</w:t>
            </w:r>
          </w:p>
        </w:tc>
      </w:tr>
      <w:tr>
        <w:trPr>
          <w:trHeight w:val="249"/>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Marco Island, Florida</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first quarter of 2018, we acquired 20 completed vacation ownership units located at our resort in Marco Island, Florida for $24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was accounted for as an asset acquisition with all of the purchase price allocated to Inventory.</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00"/>
          </w:cols>
          <w:pgMar w:left="240" w:top="578" w:right="359" w:bottom="1440" w:gutter="0" w:footer="0" w:header="0"/>
        </w:sectPr>
      </w:pPr>
    </w:p>
    <w:bookmarkStart w:id="14" w:name="page15"/>
    <w:bookmarkEnd w:id="14"/>
    <w:p>
      <w:pPr>
        <w:ind w:left="380" w:hanging="345"/>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Revenue by Segment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detail the sources of revenue by segment for the time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1,060</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75"/>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2018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536</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Timing of Revenue from Contracts with Customers by Segment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detail the timing of revenue from contracts with customers by segment for the time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380" w:type="dxa"/>
            <w:vAlign w:val="bottom"/>
          </w:tcPr>
          <w:p>
            <w:pPr>
              <w:spacing w:after="0"/>
              <w:rPr>
                <w:sz w:val="20"/>
                <w:szCs w:val="20"/>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680" w:type="dxa"/>
            <w:vAlign w:val="bottom"/>
            <w:tcBorders>
              <w:top w:val="single" w:sz="8" w:color="auto"/>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6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w:t>
            </w:r>
          </w:p>
        </w:tc>
      </w:tr>
      <w:tr>
        <w:trPr>
          <w:trHeight w:val="27"/>
        </w:trPr>
        <w:tc>
          <w:tcPr>
            <w:tcW w:w="4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992</w:t>
            </w:r>
          </w:p>
        </w:tc>
      </w:tr>
      <w:tr>
        <w:trPr>
          <w:trHeight w:val="20"/>
        </w:trPr>
        <w:tc>
          <w:tcPr>
            <w:tcW w:w="4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 2018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Services transferred over time</w:t>
            </w: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6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4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Revenue from contracts with customers</w:t>
            </w: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right="40" w:firstLine="662"/>
        <w:spacing w:after="0" w:line="282" w:lineRule="auto"/>
        <w:rPr>
          <w:sz w:val="20"/>
          <w:szCs w:val="20"/>
          <w:color w:val="auto"/>
        </w:rPr>
      </w:pPr>
      <w:r>
        <w:rPr>
          <w:rFonts w:ascii="Times New Roman" w:cs="Times New Roman" w:eastAsia="Times New Roman" w:hAnsi="Times New Roman"/>
          <w:sz w:val="18"/>
          <w:szCs w:val="18"/>
          <w:color w:val="auto"/>
        </w:rPr>
        <w:t>Revenues recognized during the first quarters of 2019 and 2018 due to changes in our estimate of variable consideration for performance obligations that were satisfied in prior periods were $1 million and $2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Contract Assets &amp; Contract Liabilities</w:t>
      </w:r>
    </w:p>
    <w:p>
      <w:pPr>
        <w:spacing w:after="0" w:line="119" w:lineRule="exact"/>
        <w:rPr>
          <w:sz w:val="20"/>
          <w:szCs w:val="20"/>
          <w:color w:val="auto"/>
        </w:rPr>
      </w:pPr>
    </w:p>
    <w:p>
      <w:pPr>
        <w:ind w:right="70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composition of our receivables and contract liabilities. We had no contract assets at either March 31, 2019 or December 31,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26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00" w:type="dxa"/>
            <w:vAlign w:val="bottom"/>
          </w:tcPr>
          <w:p>
            <w:pPr>
              <w:spacing w:after="0"/>
              <w:rPr>
                <w:sz w:val="18"/>
                <w:szCs w:val="18"/>
                <w:color w:val="auto"/>
              </w:rPr>
            </w:pPr>
          </w:p>
        </w:tc>
        <w:tc>
          <w:tcPr>
            <w:tcW w:w="1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At December 31, 2018</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net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r>
      <w:tr>
        <w:trPr>
          <w:trHeight w:val="237"/>
        </w:trPr>
        <w:tc>
          <w:tcPr>
            <w:tcW w:w="7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2,107</w:t>
            </w:r>
          </w:p>
        </w:tc>
      </w:tr>
      <w:tr>
        <w:trPr>
          <w:trHeight w:val="67"/>
        </w:trPr>
        <w:tc>
          <w:tcPr>
            <w:tcW w:w="72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r>
      <w:tr>
        <w:trPr>
          <w:trHeight w:val="278"/>
        </w:trPr>
        <w:tc>
          <w:tcPr>
            <w:tcW w:w="7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Advance deposits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recognized during the first quarter of 2019 that was included in our contract liabilities balance at December 31, 2018 was $152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remaining performance obligations represent the expected transaction price allocated to our contracts that we expect to recognize as revenue in future periods when we perform under the contracts. At March 31, 2019, over 90 percent of this amount is expected to be recognized as revenue over the next two years.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8" w:right="239" w:bottom="1440" w:gutter="0" w:footer="0" w:header="0"/>
        </w:sectPr>
      </w:pPr>
    </w:p>
    <w:bookmarkStart w:id="16" w:name="page17"/>
    <w:bookmarkEnd w:id="16"/>
    <w:p>
      <w:pPr>
        <w:ind w:left="380" w:hanging="345"/>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file income tax returns with U.S. federal and state and non-U.S. jurisdictions and are subject to audits in these jurisdictions. Certain of our returns are being audited in various jurisdictions for years 2012 through 2017.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$2 million at both March 31, 2019 and December 31, 2018.</w:t>
      </w:r>
    </w:p>
    <w:p>
      <w:pPr>
        <w:spacing w:after="0" w:line="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Subsequent to the first quarter of 2019, we received an assessment from a tax authority related to the audit of the 2012 tax return of an entity that was acquired as part of the ILG Acquisition. Pursuant to the Tax Matters Agreement dated May 11, 2016, among Starwood Hotels &amp; Resorts Worldwide, Inc. (“Starwood”), Vistana Signature Experiences, Inc., and Interval Leisure Group, Inc., we notified Starwood of the matter underlying such assessment as a matter for which Starwood is the indemnifying party.</w:t>
      </w:r>
    </w:p>
    <w:p>
      <w:pPr>
        <w:spacing w:after="0" w:line="7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interim effective tax rate was 40.43 percent and 22.94 percent for the three months ended March 31, 2019 and March 31, 2018, respectively. Our annual effective tax rate is expected to be approximately 33.04 percent for fiscal year 2019.</w:t>
      </w:r>
    </w:p>
    <w:p>
      <w:pPr>
        <w:spacing w:after="0" w:line="200" w:lineRule="exact"/>
        <w:rPr>
          <w:sz w:val="20"/>
          <w:szCs w:val="20"/>
          <w:color w:val="auto"/>
        </w:rPr>
      </w:pPr>
    </w:p>
    <w:p>
      <w:pPr>
        <w:spacing w:after="0" w:line="228" w:lineRule="exact"/>
        <w:rPr>
          <w:sz w:val="20"/>
          <w:szCs w:val="20"/>
          <w:color w:val="auto"/>
        </w:rPr>
      </w:pPr>
    </w:p>
    <w:p>
      <w:pPr>
        <w:ind w:left="380" w:hanging="345"/>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OWNERSHIP NOTES RECEIVABLE</w:t>
      </w:r>
    </w:p>
    <w:p>
      <w:pPr>
        <w:spacing w:after="0" w:line="3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composition of our vacation ownership notes receivable balances, net of reserves.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Originated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Originated</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3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1,627</w:t>
            </w:r>
          </w:p>
        </w:tc>
      </w:tr>
      <w:tr>
        <w:trPr>
          <w:trHeight w:val="243"/>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Non-securitized</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Eligible for securitization</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r>
      <w:tr>
        <w:trPr>
          <w:trHeight w:val="270"/>
        </w:trPr>
        <w:tc>
          <w:tcPr>
            <w:tcW w:w="3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Not eligible for securitization</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r>
      <w:tr>
        <w:trPr>
          <w:trHeight w:val="264"/>
        </w:trPr>
        <w:tc>
          <w:tcPr>
            <w:tcW w:w="3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3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2,039</w:t>
            </w:r>
          </w:p>
        </w:tc>
      </w:tr>
      <w:tr>
        <w:trPr>
          <w:trHeight w:val="27"/>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Refer to Footnote 7 “Financial Instruments” for a discussion of eligibility of our vacation ownership notes receivable for securitization.</w:t>
      </w:r>
    </w:p>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27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9"/>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Pr>
          <w:p>
            <w:pPr>
              <w:spacing w:after="0"/>
              <w:rPr>
                <w:sz w:val="22"/>
                <w:szCs w:val="22"/>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320" w:type="dxa"/>
            <w:vAlign w:val="bottom"/>
          </w:tcPr>
          <w:p>
            <w:pPr>
              <w:spacing w:after="0"/>
              <w:rPr>
                <w:sz w:val="22"/>
                <w:szCs w:val="22"/>
                <w:color w:val="auto"/>
              </w:rPr>
            </w:pPr>
          </w:p>
        </w:tc>
        <w:tc>
          <w:tcPr>
            <w:tcW w:w="17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associated with vacation ownership notes receivable — securitized</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associated with vacation ownership notes receivable —</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non-securitized</w:t>
            </w:r>
          </w:p>
        </w:tc>
        <w:tc>
          <w:tcPr>
            <w:tcW w:w="300" w:type="dxa"/>
            <w:vAlign w:val="bottom"/>
          </w:tcPr>
          <w:p>
            <w:pPr>
              <w:spacing w:after="0"/>
              <w:rPr>
                <w:sz w:val="20"/>
                <w:szCs w:val="20"/>
                <w:color w:val="auto"/>
              </w:rPr>
            </w:pPr>
          </w:p>
        </w:tc>
        <w:tc>
          <w:tcPr>
            <w:tcW w:w="1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income associated with vacation ownership notes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Vacation Ownership Notes Receivable</w:t>
      </w:r>
    </w:p>
    <w:p>
      <w:pPr>
        <w:spacing w:after="0" w:line="11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part of the ILG Acquisition, we acquired existing portfolios of vacation ownership notes receivable. These notes receivable are accounted for using the expected cash flow method of recognizing discount accretion based on the expected cash flows from the acquired vacation ownership notes receivable pursuant to ASC 310-30, “</w:t>
      </w:r>
      <w:r>
        <w:rPr>
          <w:rFonts w:ascii="Times New Roman" w:cs="Times New Roman" w:eastAsia="Times New Roman" w:hAnsi="Times New Roman"/>
          <w:sz w:val="18"/>
          <w:szCs w:val="18"/>
          <w:i w:val="1"/>
          <w:iCs w:val="1"/>
          <w:color w:val="auto"/>
        </w:rPr>
        <w:t>Loans acquired with deteriorated credit quality</w:t>
      </w:r>
      <w:r>
        <w:rPr>
          <w:rFonts w:ascii="Times New Roman" w:cs="Times New Roman" w:eastAsia="Times New Roman" w:hAnsi="Times New Roman"/>
          <w:sz w:val="18"/>
          <w:szCs w:val="18"/>
          <w:color w:val="auto"/>
        </w:rPr>
        <w:t>” (“ASC 310-30”). At acquisition, we recorded these acquired vacation ownership notes receivable at a preliminary estimate of fair value, including a credit discount which is accreted as an adjustment to yield over the estimated life of the vacation ownership notes receivable.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846" w:right="239" w:bottom="1440" w:gutter="0" w:footer="0" w:header="0"/>
        </w:sectPr>
      </w:pPr>
    </w:p>
    <w:bookmarkStart w:id="17" w:name="page18"/>
    <w:bookmarkEnd w:id="17"/>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our acquired vacation ownership notes receivable as of the Acquisition Date was determined using a discounted cash flow method, which calculated a present value of expected future cash flows based on scheduled principal and interest payments over the term of the respective vacation ownership notes receivable, while considering anticipated defaults and early repayments based on historical experience. Consequently, the fair value of the acquired vacation ownership notes receivable recorded on our balance sheet as of the Acquisition Date included an estimate for future uncollectible amounts, which became the historical cost basis for that portfolio going forward.</w:t>
      </w:r>
    </w:p>
    <w:p>
      <w:pPr>
        <w:spacing w:after="0" w:line="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a rollforward from December 31, 2018 of the accretable yield (interest income) expected to be earned related to our acquired vacation ownership notes receivable, as well as the amount of non-accretable difference at the end of the period. The non-accretable difference represents estimated contractually required payments in excess of estimated cash flows expected to be collected. The accretable yield represents the excess of estimated cash flows expected to be collected over the carrying amount of the acquired vacation ownership notes receivable.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40"/>
        </w:trPr>
        <w:tc>
          <w:tcPr>
            <w:tcW w:w="8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4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Accretable yield balance at December 31, 2018</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5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to non-accretable difference</w:t>
            </w:r>
          </w:p>
        </w:tc>
        <w:tc>
          <w:tcPr>
            <w:tcW w:w="5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8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Accretable yield balance at March 31, 2019</w:t>
            </w:r>
          </w:p>
        </w:tc>
        <w:tc>
          <w:tcPr>
            <w:tcW w:w="5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r>
      <w:tr>
        <w:trPr>
          <w:trHeight w:val="284"/>
        </w:trPr>
        <w:tc>
          <w:tcPr>
            <w:tcW w:w="8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Non-accretable difference at March 31, 2019</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r>
    </w:tbl>
    <w:p>
      <w:pPr>
        <w:spacing w:after="0" w:line="333"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accretable yield is recognized into interest income over the estimated life of the acquired vacation ownership notes receivable using the level yield method. The accretable yield may change in future periods due to changes in the anticipated remaining life of the acquired vacation ownership notes receivable, which may alter the amount of future interest income expected to be collected, and changes in expected future principal and interest cash collections, which impacts the non-accretable difference.</w:t>
      </w:r>
    </w:p>
    <w:p>
      <w:pPr>
        <w:spacing w:after="0" w:line="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acquired vacation ownership notes receivable are remeasured at period end based on expected future cash flows, which takes into consideration an estimated measure of anticipated defaults and early repayments. We consider historical Legacy-ILG vacation ownership notes receivable performance and the current economic environment in developing the expected future cash flows used in the re-measurement of our acquired vacation ownership notes receivable.</w:t>
      </w:r>
    </w:p>
    <w:p>
      <w:pPr>
        <w:spacing w:after="0" w:line="7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future contractual principal payments, as well as interest rates for our non-securitized and securitized acquired vacation ownership notes receivable, at March 31,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60" w:type="dxa"/>
            <w:vAlign w:val="bottom"/>
            <w:gridSpan w:val="7"/>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Acquired Vacation Ownership Notes Receivable</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2"/>
                <w:szCs w:val="22"/>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280" w:type="dxa"/>
            <w:vAlign w:val="bottom"/>
          </w:tcPr>
          <w:p>
            <w:pPr>
              <w:spacing w:after="0"/>
              <w:rPr>
                <w:sz w:val="22"/>
                <w:szCs w:val="22"/>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280" w:type="dxa"/>
            <w:vAlign w:val="bottom"/>
          </w:tcPr>
          <w:p>
            <w:pPr>
              <w:spacing w:after="0"/>
              <w:rPr>
                <w:sz w:val="22"/>
                <w:szCs w:val="22"/>
                <w:color w:val="auto"/>
              </w:rPr>
            </w:pPr>
          </w:p>
        </w:tc>
        <w:tc>
          <w:tcPr>
            <w:tcW w:w="16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stated interest rate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13.4%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Range of stated interest rates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0.0% to 17.9%</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6.0% to 16.9%</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9"/>
              </w:rPr>
              <w:t>0.0% to 17.9%</w:t>
            </w:r>
          </w:p>
        </w:tc>
        <w:tc>
          <w:tcPr>
            <w:tcW w:w="0" w:type="dxa"/>
            <w:vAlign w:val="bottom"/>
          </w:tcPr>
          <w:p>
            <w:pPr>
              <w:spacing w:after="0"/>
              <w:rPr>
                <w:sz w:val="1"/>
                <w:szCs w:val="1"/>
                <w:color w:val="auto"/>
              </w:rPr>
            </w:pPr>
          </w:p>
        </w:tc>
      </w:tr>
      <w:tr>
        <w:trPr>
          <w:trHeight w:val="675"/>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i w:val="1"/>
          <w:iCs w:val="1"/>
          <w:color w:val="auto"/>
        </w:rPr>
        <w:t>Originated Vacation Ownership Notes Receivable</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March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60" w:type="dxa"/>
            <w:vAlign w:val="bottom"/>
            <w:gridSpan w:val="7"/>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280" w:type="dxa"/>
            <w:vAlign w:val="bottom"/>
          </w:tcPr>
          <w:p>
            <w:pPr>
              <w:spacing w:after="0"/>
              <w:rPr>
                <w:sz w:val="22"/>
                <w:szCs w:val="22"/>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280" w:type="dxa"/>
            <w:vAlign w:val="bottom"/>
          </w:tcPr>
          <w:p>
            <w:pPr>
              <w:spacing w:after="0"/>
              <w:rPr>
                <w:sz w:val="22"/>
                <w:szCs w:val="22"/>
                <w:color w:val="auto"/>
              </w:rPr>
            </w:pPr>
          </w:p>
        </w:tc>
        <w:tc>
          <w:tcPr>
            <w:tcW w:w="16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stated interest rate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12.4%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Range of stated interest rates</w:t>
            </w: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0.0% to 18.0%</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5.2% to 17.5%</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9"/>
              </w:rPr>
              <w:t>0.0% to 18.0%</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originated vacation ownership notes receivable reserve.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40" w:type="dxa"/>
            <w:vAlign w:val="bottom"/>
            <w:gridSpan w:val="6"/>
          </w:tcPr>
          <w:p>
            <w:pPr>
              <w:jc w:val="center"/>
              <w:ind w:left="872"/>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720" w:type="dxa"/>
            <w:vAlign w:val="bottom"/>
          </w:tcPr>
          <w:p>
            <w:pPr>
              <w:spacing w:after="0"/>
              <w:rPr>
                <w:sz w:val="22"/>
                <w:szCs w:val="22"/>
                <w:color w:val="auto"/>
              </w:rPr>
            </w:pPr>
          </w:p>
        </w:tc>
        <w:tc>
          <w:tcPr>
            <w:tcW w:w="122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vacation ownership notes receivable reserve</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Securitizations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Defaulted vacation ownership notes receivable repurchase activity</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40" w:hanging="652"/>
        <w:spacing w:after="0" w:line="21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Legacy-MVW Vacation Ownership Notes Receivable</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Legacy-MVW non-securitized and securitized vacation ownership notes receivable, we estimated average remaining default rates of 6.91 percent and 7.01 percent as of March 31, 2019 and December 31, 2018, respectively. A 0.5 percentage point increase in the estimated default rate would have resulted in an increase in our vacation ownership notes receivable reserve of $7 million as of both March 31, 2019 and December 31, 2018.</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8" w:right="239" w:bottom="1440" w:gutter="0" w:footer="0" w:header="0"/>
        </w:sectPr>
      </w:pPr>
    </w:p>
    <w:bookmarkStart w:id="19" w:name="page20"/>
    <w:bookmarkEnd w:id="19"/>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Legacy-MVW vacation ownership notes receivable, which are vacation ownership notes receivable that are 90 days or more past due.</w:t>
      </w:r>
    </w:p>
    <w:p>
      <w:pPr>
        <w:sectPr>
          <w:pgSz w:w="11900" w:h="16838" w:orient="portrait"/>
          <w:cols w:equalWidth="0" w:num="1">
            <w:col w:w="11420"/>
          </w:cols>
          <w:pgMar w:left="240" w:top="47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50"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Investment in vacation ownership notes receivable on non-accrual status at March 31, 2019</w:t>
      </w:r>
    </w:p>
    <w:p>
      <w:pPr>
        <w:spacing w:after="0" w:line="2"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Investment in vacation ownership notes receivable on non-accrual status at December 31, 2018</w:t>
      </w:r>
    </w:p>
    <w:p>
      <w:pPr>
        <w:spacing w:after="0" w:line="2" w:lineRule="exact"/>
        <w:rPr>
          <w:sz w:val="20"/>
          <w:szCs w:val="20"/>
          <w:color w:val="auto"/>
        </w:rPr>
      </w:pPr>
    </w:p>
    <w:p>
      <w:pPr>
        <w:ind w:left="40" w:right="340"/>
        <w:spacing w:after="0" w:line="281" w:lineRule="auto"/>
        <w:rPr>
          <w:sz w:val="20"/>
          <w:szCs w:val="20"/>
          <w:color w:val="auto"/>
        </w:rPr>
      </w:pPr>
      <w:r>
        <w:rPr>
          <w:rFonts w:ascii="Times New Roman" w:cs="Times New Roman" w:eastAsia="Times New Roman" w:hAnsi="Times New Roman"/>
          <w:sz w:val="18"/>
          <w:szCs w:val="18"/>
          <w:color w:val="auto"/>
        </w:rPr>
        <w:t>Average investment in vacation ownership notes receivable on non-accrual status during the first quarter of 2019</w:t>
      </w:r>
    </w:p>
    <w:p>
      <w:pPr>
        <w:spacing w:after="0" w:line="2" w:lineRule="exact"/>
        <w:rPr>
          <w:sz w:val="20"/>
          <w:szCs w:val="20"/>
          <w:color w:val="auto"/>
        </w:rPr>
      </w:pPr>
    </w:p>
    <w:p>
      <w:pPr>
        <w:ind w:left="40" w:right="340"/>
        <w:spacing w:after="0" w:line="282" w:lineRule="auto"/>
        <w:rPr>
          <w:sz w:val="20"/>
          <w:szCs w:val="20"/>
          <w:color w:val="auto"/>
        </w:rPr>
      </w:pPr>
      <w:r>
        <w:rPr>
          <w:rFonts w:ascii="Times New Roman" w:cs="Times New Roman" w:eastAsia="Times New Roman" w:hAnsi="Times New Roman"/>
          <w:sz w:val="18"/>
          <w:szCs w:val="18"/>
          <w:color w:val="auto"/>
        </w:rPr>
        <w:t>Average investment in vacation ownership notes receivable on non-accrual status during the first quarter of 2018</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3833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31"/>
        </w:trPr>
        <w:tc>
          <w:tcPr>
            <w:tcW w:w="160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50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r>
      <w:tr>
        <w:trPr>
          <w:trHeight w:val="486"/>
        </w:trPr>
        <w:tc>
          <w:tcPr>
            <w:tcW w:w="160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50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r>
      <w:tr>
        <w:trPr>
          <w:trHeight w:val="486"/>
        </w:trPr>
        <w:tc>
          <w:tcPr>
            <w:tcW w:w="160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50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r>
      <w:tr>
        <w:trPr>
          <w:trHeight w:val="486"/>
        </w:trPr>
        <w:tc>
          <w:tcPr>
            <w:tcW w:w="160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500" w:type="dxa"/>
            <w:vAlign w:val="bottom"/>
          </w:tcPr>
          <w:p>
            <w:pPr>
              <w:jc w:val="right"/>
              <w:ind w:right="12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-1148715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-530860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2">
            <w:col w:w="5260" w:space="120"/>
            <w:col w:w="6040"/>
          </w:cols>
          <w:pgMar w:left="240" w:top="472" w:right="239" w:bottom="1440" w:gutter="0" w:footer="0" w:header="0"/>
          <w:type w:val="continuous"/>
        </w:sectPr>
      </w:pPr>
    </w:p>
    <w:p>
      <w:pPr>
        <w:spacing w:after="0" w:line="15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Legacy-MVW vacation ownership notes receivable as of March 31,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0" w:type="dxa"/>
            <w:vAlign w:val="bottom"/>
            <w:gridSpan w:val="6"/>
          </w:tcPr>
          <w:p>
            <w:pPr>
              <w:jc w:val="center"/>
              <w:ind w:left="832"/>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tc>
        <w:tc>
          <w:tcPr>
            <w:tcW w:w="1160" w:type="dxa"/>
            <w:vAlign w:val="bottom"/>
          </w:tcPr>
          <w:p>
            <w:pPr>
              <w:spacing w:after="0"/>
              <w:rPr>
                <w:sz w:val="18"/>
                <w:szCs w:val="18"/>
                <w:color w:val="auto"/>
              </w:rPr>
            </w:pPr>
          </w:p>
        </w:tc>
      </w:tr>
      <w:tr>
        <w:trPr>
          <w:trHeight w:val="33"/>
        </w:trPr>
        <w:tc>
          <w:tcPr>
            <w:tcW w:w="5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9"/>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780" w:type="dxa"/>
            <w:vAlign w:val="bottom"/>
          </w:tcPr>
          <w:p>
            <w:pPr>
              <w:spacing w:after="0"/>
              <w:rPr>
                <w:sz w:val="22"/>
                <w:szCs w:val="22"/>
                <w:color w:val="auto"/>
              </w:rPr>
            </w:pPr>
          </w:p>
        </w:tc>
        <w:tc>
          <w:tcPr>
            <w:tcW w:w="116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91</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 days past due</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1,341</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1,420</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Legacy-MVW vacation ownership notes receivable as of December 31,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0" w:type="dxa"/>
            <w:vAlign w:val="bottom"/>
            <w:gridSpan w:val="6"/>
          </w:tcPr>
          <w:p>
            <w:pPr>
              <w:jc w:val="center"/>
              <w:ind w:left="832"/>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tc>
        <w:tc>
          <w:tcPr>
            <w:tcW w:w="1160" w:type="dxa"/>
            <w:vAlign w:val="bottom"/>
          </w:tcPr>
          <w:p>
            <w:pPr>
              <w:spacing w:after="0"/>
              <w:rPr>
                <w:sz w:val="18"/>
                <w:szCs w:val="18"/>
                <w:color w:val="auto"/>
              </w:rPr>
            </w:pPr>
          </w:p>
        </w:tc>
      </w:tr>
      <w:tr>
        <w:trPr>
          <w:trHeight w:val="33"/>
        </w:trPr>
        <w:tc>
          <w:tcPr>
            <w:tcW w:w="5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9"/>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780" w:type="dxa"/>
            <w:vAlign w:val="bottom"/>
          </w:tcPr>
          <w:p>
            <w:pPr>
              <w:spacing w:after="0"/>
              <w:rPr>
                <w:sz w:val="22"/>
                <w:szCs w:val="22"/>
                <w:color w:val="auto"/>
              </w:rPr>
            </w:pPr>
          </w:p>
        </w:tc>
        <w:tc>
          <w:tcPr>
            <w:tcW w:w="116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91</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 days past due</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1,403</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Legacy-ILG Vacation Ownership Notes Receivable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 ongoing basis, we monitor credit quality of our Legacy-ILG vacation ownership notes receivable portfolio based on payment activity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left="980" w:right="6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 The vacation ownership note receivable is in good standing as payments and reporting are current per the terms contractually stipulated in the agreement.</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 We consider a vacation ownership note receivable to be delinquent based on the contractual terms of each individual financing agreement.</w:t>
      </w:r>
    </w:p>
    <w:p>
      <w:pPr>
        <w:spacing w:after="0" w:line="53" w:lineRule="exact"/>
        <w:rPr>
          <w:rFonts w:ascii="Times New Roman" w:cs="Times New Roman" w:eastAsia="Times New Roman" w:hAnsi="Times New Roman"/>
          <w:sz w:val="18"/>
          <w:szCs w:val="18"/>
          <w:color w:val="auto"/>
        </w:rPr>
      </w:pPr>
    </w:p>
    <w:p>
      <w:pPr>
        <w:ind w:left="980" w:right="18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 Our vacation ownership notes receivable are generally considered non-performing if interest or principal is more than 30 days past due. All non-performing vacation ownership notes receivable are placed on non-accrual status and we do not resume interest accrual until the vacation ownership notes receivable becomes contractually current. We apply payments we receive for vacation ownership notes receivable on non-performing status first to interest, then to principal, and any remainder to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72" w:right="239" w:bottom="1440" w:gutter="0" w:footer="0" w:header="0"/>
          <w:type w:val="continuous"/>
        </w:sectPr>
      </w:pPr>
    </w:p>
    <w:bookmarkStart w:id="20" w:name="page21"/>
    <w:bookmarkEnd w:id="20"/>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consider vacation ownership notes receivable to be in default upon reaching 120 days outstanding. We use the origination of the vacation ownership notes receivable by brand (Hyatt, Sheraton or Westin)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property they have acquired, supplemented by the FICO scores of the customers.</w:t>
      </w:r>
    </w:p>
    <w:p>
      <w:pPr>
        <w:spacing w:after="0" w:line="7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At March 31, 2019 and December 31, 2018, the weighted average FICO score within our consolidated Legacy-ILG vacation ownership notes receivable pools was 711 and 710, respectively, based upon the outstanding vacation ownership notes receivable balance at time of origination. The average estimated rate for all future defaults for our Legacy-ILG consolidated outstanding pool of vacation ownership notes receivable as of March 31, 2019 and December 31, 2018 was 12.26 percent and 12.37 percent, respectively. A 0.5 percentage point increase in the estimated default rate on the Legacy-ILG originated vacation ownership notes receivable would have resulted in an increase in the related vacation ownership notes receivable reserve of $1 million as of both March 31, 2019 and December 31, 2018.</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Legacy-ILG acquired vacation ownership notes receivable by brand and FICO score as of March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6"/>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No Score</w:t>
            </w:r>
            <w:r>
              <w:rPr>
                <w:rFonts w:ascii="Times New Roman" w:cs="Times New Roman" w:eastAsia="Times New Roman" w:hAnsi="Times New Roman"/>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with no FICO score primarily relate to non-U.S. resident borrowers.</w:t>
      </w:r>
    </w:p>
    <w:p>
      <w:pPr>
        <w:spacing w:after="0" w:line="198"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shows the Legacy-ILG acquired vacation ownership notes receivable by brand and FICO score as of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6"/>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No Score</w:t>
            </w:r>
            <w:r>
              <w:rPr>
                <w:rFonts w:ascii="Times New Roman" w:cs="Times New Roman" w:eastAsia="Times New Roman" w:hAnsi="Times New Roman"/>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with no FICO score primarily relate to non-U.S. resident borrowers.</w:t>
      </w:r>
    </w:p>
    <w:p>
      <w:pPr>
        <w:spacing w:after="0" w:line="198"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shows the Legacy-ILG originated vacation ownership notes receivable by brand and FICO score as of March 31, 2019.</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24"/>
                <w:szCs w:val="2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&lt; 600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 Score</w:t>
            </w:r>
            <w:r>
              <w:rPr>
                <w:rFonts w:ascii="Times New Roman" w:cs="Times New Roman" w:eastAsia="Times New Roman" w:hAnsi="Times New Roman"/>
                <w:sz w:val="17"/>
                <w:szCs w:val="17"/>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Times New Roman" w:cs="Times New Roman" w:eastAsia="Times New Roman" w:hAnsi="Times New Roman"/>
                <w:sz w:val="18"/>
                <w:szCs w:val="18"/>
                <w:color w:val="auto"/>
                <w:w w:val="94"/>
                <w:shd w:val="clear" w:color="auto" w:fill="BFE4FF"/>
              </w:rPr>
              <w:t>Westin</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Times New Roman" w:cs="Times New Roman" w:eastAsia="Times New Roman" w:hAnsi="Times New Roman"/>
                <w:sz w:val="18"/>
                <w:szCs w:val="18"/>
                <w:color w:val="auto"/>
                <w:w w:val="94"/>
                <w:shd w:val="clear" w:color="auto" w:fill="BFE4FF"/>
              </w:rPr>
              <w:t>Hyatt</w:t>
            </w:r>
          </w:p>
        </w:tc>
        <w:tc>
          <w:tcPr>
            <w:tcW w:w="3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620" w:right="3180" w:hanging="5612"/>
        <w:spacing w:after="0" w:line="470" w:lineRule="auto"/>
        <w:tabs>
          <w:tab w:leader="none" w:pos="652"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with no FICO score primarily relate to non-U.S. resident borrowers. 19</w:t>
      </w:r>
    </w:p>
    <w:p>
      <w:pPr>
        <w:sectPr>
          <w:pgSz w:w="11900" w:h="16838" w:orient="portrait"/>
          <w:cols w:equalWidth="0" w:num="1">
            <w:col w:w="11420"/>
          </w:cols>
          <w:pgMar w:left="240" w:top="472" w:right="2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following table shows the Legacy-ILG originated vacation ownership notes receivable by brand and FICO score as of December 31, 2018.</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24"/>
                <w:szCs w:val="2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&lt; 600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 Score</w:t>
            </w:r>
            <w:r>
              <w:rPr>
                <w:rFonts w:ascii="Times New Roman" w:cs="Times New Roman" w:eastAsia="Times New Roman" w:hAnsi="Times New Roman"/>
                <w:sz w:val="17"/>
                <w:szCs w:val="17"/>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Times New Roman" w:cs="Times New Roman" w:eastAsia="Times New Roman" w:hAnsi="Times New Roman"/>
                <w:sz w:val="18"/>
                <w:szCs w:val="18"/>
                <w:color w:val="auto"/>
                <w:w w:val="94"/>
                <w:shd w:val="clear" w:color="auto" w:fill="BFE4FF"/>
              </w:rPr>
              <w:t>Westin</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Times New Roman" w:cs="Times New Roman" w:eastAsia="Times New Roman" w:hAnsi="Times New Roman"/>
                <w:sz w:val="18"/>
                <w:szCs w:val="18"/>
                <w:color w:val="auto"/>
                <w:w w:val="94"/>
                <w:shd w:val="clear" w:color="auto" w:fill="BFE4FF"/>
              </w:rPr>
              <w:t>Hyatt</w:t>
            </w:r>
          </w:p>
        </w:tc>
        <w:tc>
          <w:tcPr>
            <w:tcW w:w="3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with no FICO score primarily relate to non-U.S. resident borrowers.</w:t>
      </w:r>
    </w:p>
    <w:p>
      <w:pPr>
        <w:spacing w:after="0" w:line="198" w:lineRule="exact"/>
        <w:rPr>
          <w:sz w:val="20"/>
          <w:szCs w:val="20"/>
          <w:color w:val="auto"/>
        </w:rPr>
      </w:pPr>
    </w:p>
    <w:p>
      <w:pPr>
        <w:ind w:left="60"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Legacy-ILG originated vacation ownership notes receivable as of March 31, 2019 and December 31,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Delinquent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Defaulted</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 Delinquent</w:t>
            </w:r>
          </w:p>
        </w:tc>
      </w:tr>
      <w:tr>
        <w:trPr>
          <w:trHeight w:val="259"/>
        </w:trPr>
        <w:tc>
          <w:tcPr>
            <w:tcW w:w="20" w:type="dxa"/>
            <w:vAlign w:val="bottom"/>
          </w:tcPr>
          <w:p>
            <w:pPr>
              <w:spacing w:after="0"/>
              <w:rPr>
                <w:sz w:val="22"/>
                <w:szCs w:val="22"/>
                <w:color w:val="auto"/>
              </w:rPr>
            </w:pPr>
          </w:p>
        </w:tc>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90 - 119 Days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&gt; 120 Days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&amp; Defaulted</w:t>
            </w:r>
          </w:p>
        </w:tc>
      </w:tr>
      <w:tr>
        <w:trPr>
          <w:trHeight w:val="249"/>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_________________________</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 w:lineRule="exact"/>
        <w:rPr>
          <w:sz w:val="20"/>
          <w:szCs w:val="20"/>
          <w:color w:val="auto"/>
        </w:rPr>
      </w:pPr>
    </w:p>
    <w:p>
      <w:pPr>
        <w:ind w:left="5620" w:right="3860" w:hanging="5612"/>
        <w:spacing w:after="0" w:line="470" w:lineRule="auto"/>
        <w:tabs>
          <w:tab w:leader="none" w:pos="652"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equal to or greater than 120 days are considered in default. 20</w:t>
      </w:r>
    </w:p>
    <w:p>
      <w:pPr>
        <w:sectPr>
          <w:pgSz w:w="11900" w:h="16838" w:orient="portrait"/>
          <w:cols w:equalWidth="0" w:num="1">
            <w:col w:w="11420"/>
          </w:cols>
          <w:pgMar w:left="240" w:top="580" w:right="239" w:bottom="1440" w:gutter="0" w:footer="0" w:header="0"/>
        </w:sectPr>
      </w:pPr>
    </w:p>
    <w:bookmarkStart w:id="22" w:name="page23"/>
    <w:bookmarkEnd w:id="22"/>
    <w:p>
      <w:pPr>
        <w:ind w:left="380" w:hanging="345"/>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 The table also excludes acquired vacation ownership notes receivable which are remeasured at each period end based on expected future cash flows. See Footnote 6 “Vacation Ownership Notes Receivable” for additional information on our acquired vacation ownership notes receivable.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40" w:type="dxa"/>
            <w:vAlign w:val="bottom"/>
          </w:tcPr>
          <w:p>
            <w:pPr>
              <w:spacing w:after="0"/>
              <w:rPr>
                <w:sz w:val="20"/>
                <w:szCs w:val="20"/>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Originated vacation ownership notes receivable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Securitized debt,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Notes,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Unsecured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IAC Notes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Corporate Credit Facility,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Non-interest bearing note payable,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Originated Vacation Ownership Notes Receivable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80" w:type="dxa"/>
            <w:vAlign w:val="bottom"/>
          </w:tcPr>
          <w:p>
            <w:pPr>
              <w:spacing w:after="0"/>
              <w:rPr>
                <w:sz w:val="24"/>
                <w:szCs w:val="24"/>
                <w:color w:val="auto"/>
              </w:rPr>
            </w:pPr>
          </w:p>
        </w:tc>
        <w:tc>
          <w:tcPr>
            <w:tcW w:w="278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40" w:type="dxa"/>
            <w:vAlign w:val="bottom"/>
          </w:tcPr>
          <w:p>
            <w:pPr>
              <w:spacing w:after="0"/>
              <w:rPr>
                <w:sz w:val="20"/>
                <w:szCs w:val="20"/>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Originated 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Securitized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Eligible for securitization</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Non-securitized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originated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46" w:right="239" w:bottom="1440" w:gutter="0" w:footer="0" w:header="0"/>
        </w:sectPr>
      </w:pPr>
    </w:p>
    <w:bookmarkStart w:id="23" w:name="page24"/>
    <w:bookmarkEnd w:id="23"/>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Due to factors that impact the general marketability of our originated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above shows the bifurcation of our originated vacation ownership notes receivable that have not been securitized into those eligible and not eligible for securitization based upon the aforementioned eligibility criteria.</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estimate the fair value of the portion of our originated vacation ownership notes receivable that have not been securitized that we believe will ultimately be securitized in the same manner as originated vacation ownership notes receivable that have been securitized. We value the remaining originated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Other assets include $31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$7 million that are marked to market as trading securities using quoted market prices (Level 1 inputs).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Securitized Debt</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Exchange Notes (as defined in Footnote 14 “Debt”) using indicative quotes from securities dealers as of the last trading day for the quarter; however these notes have only a limited trading history and volume and as such this fair value estimate is not necessarily indicative of the value at which the Exchange Notes could be retired or transferred. We concluded that this fair value measurement should be categorized within Level 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Senior Unsecured Notes (as defined in Footnote 14 “Debt”) using quoted market prices as of the last trading day for the quarter; however these notes have only a limited trading history and volume and as such this fair value estimate is not necessarily indicative of the value at which the Senior Unsecured Notes could be retired or transferred. We concluded that this fair value measurement should be categorized within Level 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IAC Notes</w:t>
      </w:r>
    </w:p>
    <w:p>
      <w:pPr>
        <w:spacing w:after="0" w:line="1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IAC Notes (as defined in Footnote 14 “Debt”) using indicative quotes from securities dealers as of the last trading day for the quarter; however these notes have only a limited trading volume and as such this fair value estimate is not necessarily indicative of the value at which the IAC Notes could be retired or transferred. We concluded that this fair value measurement should be categorized within Level 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72"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fair value of our Term Loan (as defined in Footnote 14 “Debt”) indicative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Corporate Credit Facility</w:t>
      </w:r>
    </w:p>
    <w:p>
      <w:pPr>
        <w:spacing w:after="0" w:line="11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fair value of our Revolving Corporate Credit Facility (as defined in Footnote 11 “Contingencies and Commitments”) approximates its gross carrying value as the contractual interest rate is variable plus an applicable margin. We concluded that this fair value measurement should be categorized within Level 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Convertible Notes (as defined in Footnote 14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Bearing Note Payable</w:t>
      </w:r>
    </w:p>
    <w:p>
      <w:pPr>
        <w:spacing w:after="0" w:line="1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578" w:right="299" w:bottom="1440" w:gutter="0" w:footer="0" w:header="0"/>
        </w:sectPr>
      </w:pPr>
    </w:p>
    <w:bookmarkStart w:id="25" w:name="page26"/>
    <w:bookmarkEnd w:id="25"/>
    <w:p>
      <w:pPr>
        <w:ind w:left="380" w:hanging="345"/>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4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Basic earnings per common share attributable to common shareholders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calculation of diluted earnings per share attributable to common shareholders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either March 31, 2019 or March 31, 2018, there was no dilutive impact from the Convertible Notes for either the first quarter of 2019 or 2018.</w:t>
      </w:r>
    </w:p>
    <w:p>
      <w:pPr>
        <w:spacing w:after="0" w:line="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shares issuable on exercise of the Warrants (as defined in Footnote 14 “Debt”) sold in connection with the issuance of the Convertible Notes will not impact the total dilutive weighted average shares outstanding unless and until the price of our common stock exceeds the strike price, which was subject to adjustment during the first quarter of 2019 to $175.97, as described in Footnote 14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14 “Debt”) purchased in connection with the issuance of the Convertible Notes are considered to be anti-dilutive and will not impact our calculation of diluted earnings per share attributable to common shareholders.</w:t>
      </w:r>
    </w:p>
    <w:p>
      <w:pPr>
        <w:spacing w:after="0" w:line="8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table below illustrates the reconciliation of the earnings and number of shares used in our calculation of basic and diluted earnings per share attributable to common shareholders.</w:t>
      </w:r>
    </w:p>
    <w:p>
      <w:pPr>
        <w:spacing w:after="0" w:line="12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38735</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20" w:type="dxa"/>
            <w:vAlign w:val="bottom"/>
          </w:tcPr>
          <w:p>
            <w:pPr>
              <w:spacing w:after="0"/>
              <w:rPr>
                <w:sz w:val="21"/>
                <w:szCs w:val="21"/>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2019</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21"/>
                <w:szCs w:val="21"/>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March 31, 2018</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Computation of Basic Earnings Per Share Attributable to Common Shareholders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for basic earnings per share</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Computation of Diluted Earnings Per Share Attributable to Common 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for basic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shares outstanding</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Employee stock options and SARs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for diluted earnings per share</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jc w:val="right"/>
              <w:ind w:right="5312"/>
              <w:spacing w:after="0"/>
              <w:rPr>
                <w:sz w:val="20"/>
                <w:szCs w:val="20"/>
                <w:color w:val="auto"/>
              </w:rPr>
            </w:pPr>
            <w:r>
              <w:rPr>
                <w:rFonts w:ascii="Times New Roman" w:cs="Times New Roman" w:eastAsia="Times New Roman" w:hAnsi="Times New Roman"/>
                <w:sz w:val="18"/>
                <w:szCs w:val="18"/>
                <w:color w:val="auto"/>
                <w:w w:val="99"/>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80" w:hanging="652"/>
        <w:spacing w:after="0" w:line="233" w:lineRule="auto"/>
        <w:tabs>
          <w:tab w:leader="none" w:pos="6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computations of diluted earnings per share attributable to common shareholders exclude approximately 452,000 and 307,000 shares of common stock, the maximum number of shares issuable as of March 31, 2019 and March 31, 2018, respectively, upon the vesting of certain performance-based awards because the performance conditions required to be met for the shares subject to such awards to vest were not achieved by the end of the reporting period.</w:t>
      </w:r>
    </w:p>
    <w:p>
      <w:pPr>
        <w:spacing w:after="0" w:line="9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applicable accounting guidance for calculating earnings per share, for the first quarter of 2019, we excluded from our calculation of diluted earnings per share 249,737 shares underlying stock appreciation rights (“SARs”) that may settle in shares of common stock because the exercise prices of such SARs, which ranged from $97.53 to $143.38, were greater than the average market price for the applicable period.</w:t>
      </w:r>
    </w:p>
    <w:p>
      <w:pPr>
        <w:spacing w:after="0" w:line="6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first quarter of 2018, we excluded from our calculation of diluted earnings per share 56,649 shares underlying SARs that may settle in shares of common stock because the exercise price of $143.38 of such SARs was greater than the average market price for the applicable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46" w:right="239" w:bottom="1440" w:gutter="0" w:footer="0" w:header="0"/>
        </w:sectPr>
      </w:pPr>
    </w:p>
    <w:bookmarkStart w:id="26" w:name="page27"/>
    <w:bookmarkEnd w:id="26"/>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tab/>
        <w:t>INVENTORY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composition of our inventory balances: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0" w:type="dxa"/>
            <w:vAlign w:val="bottom"/>
          </w:tcPr>
          <w:p>
            <w:pPr>
              <w:spacing w:after="0"/>
              <w:rPr>
                <w:sz w:val="1"/>
                <w:szCs w:val="1"/>
                <w:color w:val="auto"/>
              </w:rPr>
            </w:pPr>
          </w:p>
        </w:tc>
      </w:tr>
      <w:tr>
        <w:trPr>
          <w:trHeight w:val="269"/>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18"/>
                <w:szCs w:val="18"/>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Work-in-progress</w:t>
            </w:r>
          </w:p>
        </w:tc>
        <w:tc>
          <w:tcPr>
            <w:tcW w:w="3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 estate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80" w:hanging="652"/>
        <w:spacing w:after="0" w:line="218" w:lineRule="auto"/>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completed inventory that is either registered for sale as vacation ownership interests, or unregistered and available for sale in its current form.</w:t>
      </w:r>
    </w:p>
    <w:p>
      <w:pPr>
        <w:spacing w:after="0" w:line="9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$3 million during the first quarter of 2019 and decreased carrying values of inventory by $1 million during the first quarter of 2018.</w:t>
      </w:r>
    </w:p>
    <w:p>
      <w:pPr>
        <w:spacing w:after="0" w:line="7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at March 31, 2019, we had $53 million of completed vacation ownership units which have been classified as a component of Property and equipment until the time at which they are legally registered for sale as vacation ownership products.</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PROPERTY AND EQUIPMENT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composition of our property and equipment balances: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At December 31, 2018</w:t>
            </w:r>
          </w:p>
        </w:tc>
      </w:tr>
      <w:tr>
        <w:trPr>
          <w:trHeight w:val="249"/>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technology</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7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7"/>
        </w:trPr>
        <w:tc>
          <w:tcPr>
            <w:tcW w:w="7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951</w:t>
            </w:r>
          </w:p>
        </w:tc>
      </w:tr>
      <w:tr>
        <w:trPr>
          <w:trHeight w:val="27"/>
        </w:trPr>
        <w:tc>
          <w:tcPr>
            <w:tcW w:w="7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ILG Acquisition, we are performing a comprehensive review of our property and equipment to determine the best strategic direction with respect to these assets, for the combined company. These assets include undeveloped parcels, future phases of existing resorts, operating hotels and other non-core assets. A key focus of the comprehensive review is to evaluate opportunities to reduce holdings in markets where we have excess supply so that future inventory spend will be focused on markets that create incremental cost-effective sales locations in areas of high customer demand. The result of this review could have a material impact on the carrying value of certain assets, which, in turn, would result in non-cash impairments.</w:t>
      </w:r>
    </w:p>
    <w:p>
      <w:pPr>
        <w:spacing w:after="0" w:line="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Subsequent to the end of the first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of $26 million in the first quarter of 2019. The impairment is primarily attributable to the fact that the book value of the assets to be sold exceeds the sales price because the book value includes allocations of common costs incurred when we built the infrastructure for the resort, including future phases.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46" w:right="23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b w:val="1"/>
          <w:bCs w:val="1"/>
          <w:color w:val="auto"/>
        </w:rPr>
        <w:t>11. CONTINGENCIES AND COMMITMENTS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Letters of Credit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2019, we had the following commitments outstanding:</w:t>
      </w:r>
    </w:p>
    <w:p>
      <w:pPr>
        <w:spacing w:after="0" w:line="117" w:lineRule="exact"/>
        <w:rPr>
          <w:sz w:val="20"/>
          <w:szCs w:val="20"/>
          <w:color w:val="auto"/>
        </w:rPr>
      </w:pPr>
    </w:p>
    <w:p>
      <w:pPr>
        <w:ind w:left="980" w:right="3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various contracts for the use of information technology hardware and software that we use in the normal course of business. Our aggregate commitments under these contracts were $52 million, of which we expect $29 million, $13 million, $5 million, $3 million and $2 million will be paid in the remainder of 2019, 2020, 2021, 2022 and 2023, respectively.</w:t>
      </w:r>
    </w:p>
    <w:p>
      <w:pPr>
        <w:spacing w:after="0" w:line="68"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commitments of $3 million to subsidize operating costs of vacation ownership property owners’ associations, which we expect to pay in 2019.</w:t>
      </w:r>
    </w:p>
    <w:p>
      <w:pPr>
        <w:spacing w:after="0" w:line="53"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to purchase an operating property located in New York, New York for $182 million, of which $7 million is attributed to a related finance lease arrangement and recorded in Debt. We expect to acquire the units in the property in their current form, over time, and we expect to make payments for these units of $120 million and $62 million in 2020 and 2021, respectively. We currently manage this property, which was rebranded as Marriott Vacation Club Pulse, New York City. See Footnote 17 “Variable Interest Entities” for additional information on this transaction and our activities relating to the variable interest entity involved in this transaction.</w:t>
      </w:r>
    </w:p>
    <w:p>
      <w:pPr>
        <w:spacing w:after="0" w:line="75" w:lineRule="exact"/>
        <w:rPr>
          <w:rFonts w:ascii="Times New Roman" w:cs="Times New Roman" w:eastAsia="Times New Roman" w:hAnsi="Times New Roman"/>
          <w:sz w:val="18"/>
          <w:szCs w:val="18"/>
          <w:color w:val="auto"/>
        </w:rPr>
      </w:pPr>
    </w:p>
    <w:p>
      <w:pPr>
        <w:ind w:left="980" w:right="360" w:hanging="324"/>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to purchase 88 vacation ownership units located in Bali, Indonesia for use in our Vacation Ownership segment, contingent upon completion of construction to agreed-upon standards within specified timeframes. We expect to complete the acquisition in 2020 and to make the remaining payments with respect to these units when specific construction milestones are completed, as follows: $7 million in 2019, $23 million in 2020 and $2 million in 2021.</w:t>
      </w:r>
    </w:p>
    <w:p>
      <w:pPr>
        <w:spacing w:after="0" w:line="71" w:lineRule="exact"/>
        <w:rPr>
          <w:rFonts w:ascii="Times New Roman" w:cs="Times New Roman" w:eastAsia="Times New Roman" w:hAnsi="Times New Roman"/>
          <w:sz w:val="18"/>
          <w:szCs w:val="18"/>
          <w:color w:val="auto"/>
        </w:rPr>
      </w:pPr>
    </w:p>
    <w:p>
      <w:pPr>
        <w:ind w:left="980" w:hanging="324"/>
        <w:spacing w:after="0" w:line="277" w:lineRule="auto"/>
        <w:tabs>
          <w:tab w:leader="none" w:pos="9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purchase an operating property located in San Francisco, California for $158 million of which $10 million is attributed to a related finance lease arrangement and recorded in Debt. We expect to acquire the operating property over time and expect to make payments for the operating property as follows: $56 million in 2019, $55 million in 2020 and $47 million in 2021. We currently manage this unbranded property, which we expect to rebrand as Marriott Vacation Club Pulse, San Francisco during 2019. See Footnote 17 “Variable Interest Entities” for additional information on this transaction and our activities relating to the variable interest entity involved in this transaction.</w:t>
      </w:r>
    </w:p>
    <w:p>
      <w:pPr>
        <w:spacing w:after="0" w:line="6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Surety bonds issued as of March 31, 2019 totaled $74 million, the majority of which were requested by federal, state or local governments in connection with our operations.</w:t>
      </w:r>
    </w:p>
    <w:p>
      <w:pPr>
        <w:spacing w:after="0" w:line="54"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Additionally, as of March 31, 2019, we had $4 million of letters of credit outstanding under our $600 million revolving credit facility (the “Revolving Corporate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At March 31, 2019, our maximum exposure under guarantees was $45 million which primarily relates to certain of our rental management agreements in our Exchange &amp; Third-Party Management segment. These agreements provide for owners of properties we manage to receive specified percentages or guaranteed dollar amounts of the rental revenue generated under our management. In these cases, the operating expenses for the rental operations are paid from the revenue generated by the rentals, the owners are then paid their contractual percentages or guaranteed dollar amounts, and our vacation rental business either retains the balance (if any) as its fee or makes up the deficit.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84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June 2013, Earl C. and Patricia A. Charles, owners of a fractional interest at The Ritz-Carlton Club &amp; Residences, Kapalua Bay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other entities that have equity investments in the joint venture in which we have an equity investment that developed and marketed vacation ownership and residential products at Kapalua Bay (the “Joint Venture”) and the Joint Venture. The plaintiffs alleged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included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In February 2019, the parties reached an agreement to settle the case, and during the fourth quarter of 2018, we recorded an accrual of $12 million in conjunction with the settlement.</w:t>
      </w:r>
    </w:p>
    <w:p>
      <w:pPr>
        <w:spacing w:after="0" w:line="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March 2017, RCHFU, L.L.C. and other owners of 232 fractional interests at The Ritz-Carlton Club, Aspen Highlands (“RCC Aspen Highlands”) served an amended complaint in an action pending in the U.S. District Court for the District of Colorado against us, certain of our subsidiaries, and other third party defendants. The amended complaint alleges that the plaintiffs’ fractional interests were devalued by the affiliation of the RCC Aspen Highlands and other Ritz-Carlton Clubs with our points-based Marriott Vacation Club Destinations (“MVCD”) program. The relief sought includes, among other things, unspecified damages, pre- and post-judgment interest, and attorneys’ fees. We filed a motion to dismiss the amended complaint, which the Court granted in part and denied in part in March 2018. In February 2018, the plaintiffs filed a motion seeking to add a claim for punitive damages to their complaint, which the Court granted in May 2018. In March 2019, plaintiffs filed a modified motion seeking to further amend their complaint. That motion remains pending. We dispute the plaintiffs’ material allegations and continue to defend against the action vigorously. Given the inherent uncertainties of litigation, we cannot estimate a range of the potential liability, if any, at this time.</w:t>
      </w:r>
    </w:p>
    <w:p>
      <w:pPr>
        <w:spacing w:after="0" w:line="8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May 2016, we, certain of our subsidiaries, and certain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challenged the characterization of the beneficial interests in the MVCD trust that are sold to customers as real estate interests under Florida law. They also challenged the structure of the trust and associated operational aspects of the trust product. The relief sought includes, among other things, declaratory relief, an unwinding of the MVCD product, and punitive damages. In October 2017, after the Court granted our motion to dismiss the initial complaint, the plaintiffs filed an amended complaint. In November 2017, we filed a motion to dismiss the amended complaint, and in March 2019, the Court partially granted our motion. In April 2019, we filed a motion for judgment on the pleadings regarding the sole remaining claim against us. In October 2018, the plaintiffs filed a motion for class certification, which was denied without prejudice in April 2019.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2016, individuals and entities who own or owned 107 fractional interests at the Fifth and Fifty-Fifth Residence Club located within The St. Regis, New York (the “St. Regis NY Club”) filed an action against ILG, certain of its subsidiaries, Marriott International and certain of its subsidiaries, including Starwood. The case is filed as a mass action in the U.S. District Court for the Southern District of New York. Plaintiffs principally challenge the sale of less than all interests offered in the fractional offering plan, the amendment of the plan to include additional units, and the rental of unsold fractional interests by the plan’s sponsor, claiming that the alleged acts breached the relevant agreements and harmed the value of plaintiffs’ fractional interests. The relief sought includes, among other things, compensatory damages, rescission, disgorgement, attorneys’ fees, and pre- and post-judgment interest. In April 2017, we filed a motion to dismiss the amended complaint, which the Court granted in part and denied in part in September 2018. Thereafter, in October 2018, the plaintiffs filed another amended complaint. We responded by filing a motion to dismiss, which remains pending. We dispute the material allegations and continue to defend against the action vigorously. Given the inherent uncertainties of litigation, we cannot estimate a range of the potential liability, if any, at this time.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78" w:right="259" w:bottom="1440" w:gutter="0" w:footer="0" w:header="0"/>
        </w:sectPr>
      </w:pPr>
    </w:p>
    <w:bookmarkStart w:id="29" w:name="page30"/>
    <w:bookmarkEnd w:id="29"/>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February 2017, the owners’ association for the St. Regis NY Club filed a separate suit against ILG and certain of its subsidiaries in the U.S. District Court for the Southern District of New York. In March 2017, before we were served with the initial complaint, plaintiff filed an amended complaint that added Marriott International and Starwood as defendants and added additional claims. Plaintiff filed a second amended complaint in July 2017. The complaint, as amended, asserts claims against the sponsor of the St. Regis NY Club (St. Regis Residence Club, New York, Inc.), the St. Regis NY Club manager (St. Regis New York Management, Inc.), and certain affiliated entities, as well as against Marriott International and Starwood, for alleged breach of fiduciary duties principally related to sale and rental practices, tortious interference with the management agreement, and alleged unjust enrichment, seeks certain declaratory relief in connection with the Starpoints conversion program and the exchange program at the St. Regis NY Club, and asserts claims based on alleged anticompetitive conduct by the defendants in connection with plaintiff’s renewal of the St. Regis NY Club management agreement. In addition to the declaratory relief sought, plaintiff seeks unspecified actual damages, punitive damages, and disgorgement of payments under the management and purchase agreements, as well as related agreements. In September 2017, we filed a motion to dismiss the second amended complaint, which the Court granted in part and denied in part in September 2018. In December 2018, the remaining claims were transferred to the U.S. District Court for the Middle District of Florida, and in April 2019, plaintiff filed a motion to amend the complaint in the federal court action. In February 2019, plaintiff filed a state court action in the New York State Supreme Court asserting claims similar to those pending in the federal court action. We have not been served with the complaint. We dispute the plaintiff’s material allegations and continue to defend against the actions vigorously. Given the inherent uncertainties of litigation, we cannot estimate a range of the potential liability, if any, at this time.</w:t>
      </w:r>
    </w:p>
    <w:p>
      <w:pPr>
        <w:spacing w:after="0" w:line="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2019, we, certain of our subsidiaries, Marriott International, and certain of its subsidiaries were served with a complaint in an action originally filed on January 24, 2019 in the Superior Court of the Virgin Islands, Division of St. Thomas by Alan and Marjorie Helman and 5 other named plaintiffs. The case is filed as a putative class action; the plaintiffs seek to represent a class consisting of themselves and all other owners of fractional interests at The Ritz-Carlton Club, St. Thomas (“RCC-St. Thomas”) from May 22, 2002 to January 26, 2014 (excluding those who have lost their interests via a loan foreclosure). Plaintiffs allege that their fractional interests were devalued by the affiliation of RCC-St. Thomas and other Ritz-Carlton Clubs with our MVCD program. The relief sought includes, among other things, unspecified damages, pre- and post-judgment interest, disgorgement of profits and attorneys’ fees. We dispute the plaintiffs’ material allegations and intend to defend against the action vigorously. Given the inherent uncertainties of litigation, we cannot estimate a range of the potential liability, if any, at this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June 2018, we identified forged and fraudulently induced electronic payment disbursements we made to third parties in an aggregate amount of $10 million resulting from unauthorized third-party access to our email system. Upon detection, we immediately notified law enforcement authorities and relevant financial institutions and commenced a forensic investigation. During 2018, we recovered $6 million. Subsequent to the first quarter of 2019, we received $3 million from our insurance company as final settlement of our claim, and the insurance company waived the requirement for us to reimburse the insurance company for any monies subsequently recovered. Any additional recoveries will be recorded in our results in the future. We have concluded that this event did not involve access to any of our other systems. No other misappropriation of assets was identified during our investigation.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Recoveries</w:t>
      </w:r>
    </w:p>
    <w:p>
      <w:pPr>
        <w:spacing w:after="0" w:line="11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During September 2017, the Westin St. John Resort Villas, a Legacy-ILG property, sustained damage as a result of Hurricane Irma and remained closed until January 2019. As of March 31, 2019, we received insurance payments in excess of spend of $5 million which is presented within Accrued liabilities on our Balance Sheet. This balance is subject to change.</w:t>
      </w:r>
    </w:p>
    <w:p>
      <w:pPr>
        <w:spacing w:after="0" w:line="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September 2017, over 20 of our Legacy-MVW properties were impacted by Hurricane Irma and Hurricane Maria and, as a result, as of December 31, 2017, we accrued $1 million for the estimated property damage insurance deductibles and impairment of property and equipment, which was recorded in the Gains and other income, net line on our Income Statement for the year ended December 31, 2017. In 2018, we received $32 million of insurance proceeds related to the settlement of Legacy-MVW business interruption insurance claims arising from Hurricane Irma. These proceeds, and the related deductible of $3 million, were recorded net in the Gains and other income, net line on our Income Statement for the year ended December 31, 2018. During the first quarter of 2019, we recorded an additional $9 million of other income relating to the final settlement of these business interruption insurance claims, which was recorded in the Gains and other income, net line on our Income Statement for the three months ended March 31, 2019.</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72" w:right="259"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48" w:lineRule="exact"/>
        <w:rPr>
          <w:sz w:val="20"/>
          <w:szCs w:val="20"/>
          <w:color w:val="auto"/>
        </w:rPr>
      </w:pPr>
    </w:p>
    <w:p>
      <w:pPr>
        <w:ind w:right="20" w:firstLine="662"/>
        <w:spacing w:after="0" w:line="266" w:lineRule="auto"/>
        <w:rPr>
          <w:sz w:val="20"/>
          <w:szCs w:val="20"/>
          <w:color w:val="auto"/>
        </w:rPr>
      </w:pPr>
      <w:r>
        <w:rPr>
          <w:rFonts w:ascii="Times New Roman" w:cs="Times New Roman" w:eastAsia="Times New Roman" w:hAnsi="Times New Roman"/>
          <w:sz w:val="18"/>
          <w:szCs w:val="18"/>
          <w:color w:val="auto"/>
        </w:rPr>
        <w:t>We account for leases in accordance with ASC 842, which we adopted using the optional transition method in the period of adoption as of January 1, 2019, without retrospective application to comparative periods. See Footnote 2 “Significant Accounting Policies and Recent Accounting Standards” for additional information.</w:t>
      </w:r>
    </w:p>
    <w:p>
      <w:pPr>
        <w:spacing w:after="0" w:line="68" w:lineRule="exact"/>
        <w:rPr>
          <w:sz w:val="20"/>
          <w:szCs w:val="20"/>
          <w:color w:val="auto"/>
        </w:rPr>
      </w:pPr>
    </w:p>
    <w:p>
      <w:pPr>
        <w:ind w:firstLine="662"/>
        <w:spacing w:after="0" w:line="261" w:lineRule="auto"/>
        <w:rPr>
          <w:sz w:val="20"/>
          <w:szCs w:val="20"/>
          <w:color w:val="auto"/>
        </w:rPr>
      </w:pPr>
      <w:r>
        <w:rPr>
          <w:rFonts w:ascii="Times New Roman" w:cs="Times New Roman" w:eastAsia="Times New Roman" w:hAnsi="Times New Roman"/>
          <w:sz w:val="18"/>
          <w:szCs w:val="18"/>
          <w:color w:val="auto"/>
        </w:rPr>
        <w:t>Operating leases include lease arrangements for various land, corporate facilities, real estate and equipment. Our land leases consist of long-term leases for a golf course (term of 30 years) and for land underlying an operating hotel (term of 50 years). Corporate facilities leases are for office space, including our corporate headquarters in Orlando, Florida, and have lease terms that range from nine to 14 years. Other operating leases are primarily for office and retail space, as well as various equipment supporting our operations, with varying terms and renewal option periods.</w:t>
      </w:r>
    </w:p>
    <w:p>
      <w:pPr>
        <w:spacing w:after="0" w:line="72" w:lineRule="exact"/>
        <w:rPr>
          <w:sz w:val="20"/>
          <w:szCs w:val="20"/>
          <w:color w:val="auto"/>
        </w:rPr>
      </w:pPr>
    </w:p>
    <w:p>
      <w:pPr>
        <w:ind w:right="120" w:firstLine="662"/>
        <w:spacing w:after="0" w:line="258" w:lineRule="auto"/>
        <w:rPr>
          <w:sz w:val="20"/>
          <w:szCs w:val="20"/>
          <w:color w:val="auto"/>
        </w:rPr>
      </w:pPr>
      <w:r>
        <w:rPr>
          <w:rFonts w:ascii="Times New Roman" w:cs="Times New Roman" w:eastAsia="Times New Roman" w:hAnsi="Times New Roman"/>
          <w:sz w:val="18"/>
          <w:szCs w:val="18"/>
          <w:color w:val="auto"/>
        </w:rPr>
        <w:t>Finance leases (analogous to capital leases under ASC 840) include lease arrangements for ancillary and operations space for which it is reasonably certain we will exercise the option to purchase the underlying assets in connection with the commitment to purchase the associated operating property. See Footnote 11 “Contingencies and Commitments” for additional information regarding these transactions. In addition, we also lease various equipment supporting our operations and classify these leases as finance leases in accordance with ASC 842. The depreciable life of these assets are limited to the expected lease term, unless there is a transfer of title or purchase option reasonably certain of exercise.</w:t>
      </w:r>
    </w:p>
    <w:p>
      <w:pPr>
        <w:spacing w:after="0" w:line="76" w:lineRule="exact"/>
        <w:rPr>
          <w:sz w:val="20"/>
          <w:szCs w:val="20"/>
          <w:color w:val="auto"/>
        </w:rPr>
      </w:pPr>
    </w:p>
    <w:p>
      <w:pPr>
        <w:ind w:right="20" w:firstLine="662"/>
        <w:spacing w:after="0" w:line="254" w:lineRule="auto"/>
        <w:rPr>
          <w:sz w:val="20"/>
          <w:szCs w:val="20"/>
          <w:color w:val="auto"/>
        </w:rPr>
      </w:pPr>
      <w:r>
        <w:rPr>
          <w:rFonts w:ascii="Times New Roman" w:cs="Times New Roman" w:eastAsia="Times New Roman" w:hAnsi="Times New Roman"/>
          <w:sz w:val="18"/>
          <w:szCs w:val="18"/>
          <w:color w:val="auto"/>
        </w:rPr>
        <w:t>Right-of-use assets and lease liabilities are recognized based on the present value of lease payments over the lease term at commencement date.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For existing leases that commenced prior to the adoption of ASC 842, we made an accounting policy election to use our incremental borrowing rate, considering the remaining lease term and remaining minimum rental payments during transition, in establishing our lease liabilities. For new leases entered into after the adoption of ASC 842, we will use an incremental borrowing rate based on the information available at the commencement date in determining the present value of lease payments. Right-of-use assets exclude the unamortized portion of lease incentives received. Certain of our lease agreements include variable rental payments that are based on a percentage of retail sales over contractual levels and others include rental payments adjusted periodically for inflation.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values of our leases and the classification on our Balance Sheet as of March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At March 31, 2019</w:t>
            </w:r>
          </w:p>
        </w:tc>
      </w:tr>
      <w:tr>
        <w:trPr>
          <w:trHeight w:val="249"/>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assets</w:t>
            </w:r>
          </w:p>
        </w:tc>
        <w:tc>
          <w:tcPr>
            <w:tcW w:w="4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assets</w:t>
            </w:r>
          </w:p>
        </w:tc>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39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9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Debt</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39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lease costs and the classification on our Income Statement for the three months ended March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0" w:type="dxa"/>
            <w:vAlign w:val="bottom"/>
          </w:tcPr>
          <w:p>
            <w:pPr>
              <w:spacing w:after="0"/>
              <w:rPr>
                <w:sz w:val="1"/>
                <w:szCs w:val="1"/>
                <w:color w:val="auto"/>
              </w:rPr>
            </w:pPr>
          </w:p>
        </w:tc>
      </w:tr>
      <w:tr>
        <w:trPr>
          <w:trHeight w:val="240"/>
        </w:trPr>
        <w:tc>
          <w:tcPr>
            <w:tcW w:w="3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Statement Classification</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Marketing and sales expense General and</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4440" w:type="dxa"/>
            <w:vAlign w:val="bottom"/>
            <w:tcBorders>
              <w:bottom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administrative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cost</w:t>
            </w: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40" w:type="dxa"/>
            <w:vAlign w:val="bottom"/>
            <w:tcBorders>
              <w:bottom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4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Marketing and sales expense</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340" w:type="dxa"/>
            <w:vAlign w:val="bottom"/>
            <w:vMerge w:val="restart"/>
          </w:tcPr>
          <w:p>
            <w:pPr>
              <w:jc w:val="right"/>
              <w:ind w:right="239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3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maturity of our operating and financing lease liabilities as of March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Pr>
          <w:p>
            <w:pPr>
              <w:spacing w:after="0"/>
              <w:rPr>
                <w:sz w:val="22"/>
                <w:szCs w:val="22"/>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6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Finance Leases</w:t>
            </w:r>
            <w:r>
              <w:rPr>
                <w:rFonts w:ascii="Times New Roman" w:cs="Times New Roman" w:eastAsia="Times New Roman" w:hAnsi="Times New Roman"/>
                <w:sz w:val="17"/>
                <w:szCs w:val="17"/>
                <w:b w:val="1"/>
                <w:bCs w:val="1"/>
                <w:color w:val="auto"/>
                <w:vertAlign w:val="superscript"/>
              </w:rPr>
              <w:t>(1)</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0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5"/>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ind w:right="16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6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160" w:hanging="1504"/>
        <w:spacing w:after="0" w:line="228" w:lineRule="auto"/>
        <w:tabs>
          <w:tab w:leader="none" w:pos="863"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Finance lease payments include $17 million related to residual value guarantees associated with purchase commitments for operating properties in San Francisco, California and New York, New York. See Footnote 11 “Contingencies and Commitments” for additional information regarding these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Term and Discount Rate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7"/>
              </w:rPr>
              <w:t>11.2 years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color w:val="auto"/>
                <w:w w:val="98"/>
              </w:rPr>
              <w:t>0.9 years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0" w:type="dxa"/>
            <w:vAlign w:val="bottom"/>
          </w:tcPr>
          <w:p>
            <w:pPr>
              <w:spacing w:after="0"/>
              <w:rPr>
                <w:sz w:val="20"/>
                <w:szCs w:val="20"/>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2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b w:val="1"/>
          <w:bCs w:val="1"/>
          <w:color w:val="auto"/>
        </w:rPr>
        <w:t>13. SECURITIZED DEBT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provides detail on our debt associated with vacation ownership notes receivable securitizations, net of unamortized debt issuance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ectPr>
          <w:pgSz w:w="11900" w:h="16838" w:orient="portrait"/>
          <w:cols w:equalWidth="0" w:num="1">
            <w:col w:w="11420"/>
          </w:cols>
          <w:pgMar w:left="240" w:top="846" w:right="239" w:bottom="1440" w:gutter="0" w:footer="0" w:header="0"/>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0" w:type="dxa"/>
            <w:vAlign w:val="bottom"/>
          </w:tcPr>
          <w:p>
            <w:pPr>
              <w:spacing w:after="0"/>
              <w:rPr>
                <w:sz w:val="1"/>
                <w:szCs w:val="1"/>
                <w:color w:val="auto"/>
              </w:rPr>
            </w:pPr>
          </w:p>
        </w:tc>
      </w:tr>
      <w:tr>
        <w:trPr>
          <w:trHeight w:val="253"/>
        </w:trPr>
        <w:tc>
          <w:tcPr>
            <w:tcW w:w="8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Vacation ownership notes receivable securitizations, gross</w:t>
            </w:r>
            <w:r>
              <w:rPr>
                <w:rFonts w:ascii="Times New Roman" w:cs="Times New Roman" w:eastAsia="Times New Roman" w:hAnsi="Times New Roman"/>
                <w:sz w:val="18"/>
                <w:szCs w:val="18"/>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59"/>
        </w:trPr>
        <w:tc>
          <w:tcPr>
            <w:tcW w:w="8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0"/>
        </w:trPr>
        <w:tc>
          <w:tcPr>
            <w:tcW w:w="8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Legacy-ILG</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Vacation ownership notes receivable securitizations</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24"/>
                <w:szCs w:val="24"/>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567"/>
        </w:trPr>
        <w:tc>
          <w:tcPr>
            <w:tcW w:w="8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Warehouse Credit Facility, gross</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4"/>
                <w:szCs w:val="24"/>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59"/>
        </w:trPr>
        <w:tc>
          <w:tcPr>
            <w:tcW w:w="8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7"/>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-1414145</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-1054100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-342265</wp:posOffset>
            </wp:positionV>
            <wp:extent cx="721233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-711200</wp:posOffset>
            </wp:positionV>
            <wp:extent cx="721233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-1765935</wp:posOffset>
            </wp:positionV>
            <wp:extent cx="721233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-2117725</wp:posOffset>
            </wp:positionV>
            <wp:extent cx="721233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ind w:left="660" w:hanging="652"/>
        <w:spacing w:after="0" w:line="225" w:lineRule="auto"/>
        <w:tabs>
          <w:tab w:leader="none" w:pos="66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rates as of March 31, 2019 range from 2.2% to 6.3%, with a weighted average interest rate of 2.9%.</w:t>
      </w:r>
    </w:p>
    <w:p>
      <w:pPr>
        <w:spacing w:after="0" w:line="2"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rates as of March 31, 2019 range from 2.3% to 4.0%, with a weighted average interest rate of 2.9%.</w:t>
      </w:r>
    </w:p>
    <w:p>
      <w:pPr>
        <w:spacing w:after="0" w:line="2"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Effective interest rate as of March 31, 2019 was 3.6%.</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At December 31,</w:t>
      </w:r>
    </w:p>
    <w:p>
      <w:pPr>
        <w:spacing w:after="0" w:line="28"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2018</w:t>
      </w:r>
    </w:p>
    <w:p>
      <w:pPr>
        <w:spacing w:after="0" w:line="74" w:lineRule="exact"/>
        <w:rPr>
          <w:sz w:val="20"/>
          <w:szCs w:val="20"/>
          <w:color w:val="auto"/>
        </w:rPr>
      </w:pPr>
    </w:p>
    <w:p>
      <w:pPr>
        <w:ind w:left="1072" w:hanging="1072"/>
        <w:spacing w:after="0"/>
        <w:tabs>
          <w:tab w:leader="none" w:pos="10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w:t>
      </w:r>
    </w:p>
    <w:p>
      <w:pPr>
        <w:spacing w:after="0" w:line="63" w:lineRule="exact"/>
        <w:rPr>
          <w:rFonts w:ascii="Times New Roman" w:cs="Times New Roman" w:eastAsia="Times New Roman" w:hAnsi="Times New Roman"/>
          <w:sz w:val="18"/>
          <w:szCs w:val="18"/>
          <w:color w:val="auto"/>
        </w:rPr>
      </w:pPr>
    </w:p>
    <w:p>
      <w:pPr>
        <w:ind w:left="11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(11)</w:t>
      </w:r>
    </w:p>
    <w:p>
      <w:pPr>
        <w:spacing w:after="0" w:line="99" w:lineRule="exact"/>
        <w:rPr>
          <w:rFonts w:ascii="Times New Roman" w:cs="Times New Roman" w:eastAsia="Times New Roman" w:hAnsi="Times New Roman"/>
          <w:sz w:val="18"/>
          <w:szCs w:val="18"/>
          <w:color w:val="auto"/>
        </w:rPr>
      </w:pPr>
    </w:p>
    <w:p>
      <w:pPr>
        <w:ind w:left="10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951</w:t>
      </w:r>
    </w:p>
    <w:p>
      <w:pPr>
        <w:spacing w:after="0" w:line="333" w:lineRule="exact"/>
        <w:rPr>
          <w:rFonts w:ascii="Times New Roman" w:cs="Times New Roman" w:eastAsia="Times New Roman" w:hAnsi="Times New Roman"/>
          <w:sz w:val="18"/>
          <w:szCs w:val="18"/>
          <w:color w:val="auto"/>
        </w:rPr>
      </w:pPr>
    </w:p>
    <w:p>
      <w:pPr>
        <w:ind w:left="10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w:t>
      </w:r>
    </w:p>
    <w:p>
      <w:pPr>
        <w:spacing w:after="0" w:line="360" w:lineRule="exact"/>
        <w:rPr>
          <w:rFonts w:ascii="Times New Roman" w:cs="Times New Roman" w:eastAsia="Times New Roman" w:hAnsi="Times New Roman"/>
          <w:sz w:val="18"/>
          <w:szCs w:val="18"/>
          <w:color w:val="auto"/>
        </w:rPr>
      </w:pPr>
    </w:p>
    <w:p>
      <w:pPr>
        <w:ind w:left="10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w:t>
      </w:r>
    </w:p>
    <w:p>
      <w:pPr>
        <w:spacing w:after="0" w:line="63" w:lineRule="exact"/>
        <w:rPr>
          <w:rFonts w:ascii="Times New Roman" w:cs="Times New Roman" w:eastAsia="Times New Roman" w:hAnsi="Times New Roman"/>
          <w:sz w:val="18"/>
          <w:szCs w:val="18"/>
          <w:color w:val="auto"/>
        </w:rPr>
      </w:pPr>
    </w:p>
    <w:p>
      <w:pPr>
        <w:ind w:left="11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p>
    <w:p>
      <w:pPr>
        <w:spacing w:after="0" w:line="88" w:lineRule="exact"/>
        <w:rPr>
          <w:rFonts w:ascii="Times New Roman" w:cs="Times New Roman" w:eastAsia="Times New Roman" w:hAnsi="Times New Roman"/>
          <w:sz w:val="18"/>
          <w:szCs w:val="18"/>
          <w:color w:val="auto"/>
        </w:rPr>
      </w:pPr>
    </w:p>
    <w:p>
      <w:pPr>
        <w:ind w:left="10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w:t>
      </w:r>
    </w:p>
    <w:p>
      <w:pPr>
        <w:spacing w:after="0" w:line="374" w:lineRule="exact"/>
        <w:rPr>
          <w:sz w:val="20"/>
          <w:szCs w:val="20"/>
          <w:color w:val="auto"/>
        </w:rPr>
      </w:pPr>
    </w:p>
    <w:p>
      <w:pPr>
        <w:ind w:left="932" w:hanging="932"/>
        <w:spacing w:after="0"/>
        <w:tabs>
          <w:tab w:leader="none" w:pos="9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210" w:lineRule="exact"/>
        <w:rPr>
          <w:sz w:val="20"/>
          <w:szCs w:val="20"/>
          <w:color w:val="auto"/>
        </w:rPr>
      </w:pPr>
    </w:p>
    <w:p>
      <w:pPr>
        <w:sectPr>
          <w:pgSz w:w="11900" w:h="16838" w:orient="portrait"/>
          <w:cols w:equalWidth="0" w:num="2">
            <w:col w:w="9820" w:space="128"/>
            <w:col w:w="1472"/>
          </w:cols>
          <w:pgMar w:left="240" w:top="846" w:right="239" w:bottom="1440" w:gutter="0" w:footer="0" w:header="0"/>
          <w:type w:val="continuous"/>
        </w:sect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See Footnote 17 “Variable Interest Entities” for a discussion of the collateral for the non-recourse debt associated with the securitized vacation ownership notes receivable and our non-recourse warehouse credit facility (the “Warehouse Credit Facility”). The debt associated with our vacation ownership notes receivable securitizations and our Warehouse Credit Facility is non-recourse to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Vacation Ownership Notes Receivable Securitizations</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2019, and as of March 31, 2019, no securitized vacation ownership notes receivable pools were out of compliance with their respective established parameters. As of March 31, 2019, we had 11 securitized vacation ownership notes receivable pools outstanding.</w:t>
      </w:r>
    </w:p>
    <w:p>
      <w:pPr>
        <w:spacing w:after="0" w:line="8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the contractual terms of the underlying securitized vacation ownership notes receivable determine the maturities of the non-recourse debt associated with them, actual maturities may occur earlier than shown below due to prepayments by the vacation ownership notes receivable obligors. The following table shows scheduled future principal payments for our vacation ownership notes receivable securitizations as of March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Vacation Ownership</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Notes Receivable Securitizations</w:t>
            </w:r>
          </w:p>
        </w:tc>
        <w:tc>
          <w:tcPr>
            <w:tcW w:w="260" w:type="dxa"/>
            <w:vAlign w:val="bottom"/>
          </w:tcPr>
          <w:p>
            <w:pPr>
              <w:spacing w:after="0"/>
              <w:rPr>
                <w:sz w:val="18"/>
                <w:szCs w:val="18"/>
                <w:color w:val="auto"/>
              </w:rPr>
            </w:pPr>
          </w:p>
        </w:tc>
        <w:tc>
          <w:tcPr>
            <w:tcW w:w="16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Warehouse</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2"/>
                <w:szCs w:val="22"/>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Legacy-MVW</w:t>
            </w:r>
          </w:p>
        </w:tc>
        <w:tc>
          <w:tcPr>
            <w:tcW w:w="30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60" w:type="dxa"/>
            <w:vAlign w:val="bottom"/>
          </w:tcPr>
          <w:p>
            <w:pPr>
              <w:spacing w:after="0"/>
              <w:rPr>
                <w:sz w:val="22"/>
                <w:szCs w:val="22"/>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Credit Facility</w:t>
            </w:r>
          </w:p>
        </w:tc>
        <w:tc>
          <w:tcPr>
            <w:tcW w:w="420" w:type="dxa"/>
            <w:vAlign w:val="bottom"/>
          </w:tcPr>
          <w:p>
            <w:pPr>
              <w:spacing w:after="0"/>
              <w:rPr>
                <w:sz w:val="22"/>
                <w:szCs w:val="22"/>
                <w:color w:val="auto"/>
              </w:rPr>
            </w:pPr>
          </w:p>
        </w:tc>
        <w:tc>
          <w:tcPr>
            <w:tcW w:w="140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Payments Year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 remaining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46"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846" w:right="239"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119"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The Warehouse Credit Facility, which has a borrowing capacity of $250 million, allows for the securitization of Legacy-MVW vacation ownership notes receivable on a revolving non-recourse basis through March 13, 2020. During the first quarter of 2019, we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DEBT</w:t>
      </w:r>
    </w:p>
    <w:p>
      <w:pPr>
        <w:spacing w:after="0" w:line="3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 on our debt balances, net of unamortized debt discount and issuance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0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0" w:type="dxa"/>
            <w:vAlign w:val="bottom"/>
          </w:tcPr>
          <w:p>
            <w:pPr>
              <w:spacing w:after="0"/>
              <w:rPr>
                <w:sz w:val="1"/>
                <w:szCs w:val="1"/>
                <w:color w:val="auto"/>
              </w:rPr>
            </w:pPr>
          </w:p>
        </w:tc>
      </w:tr>
      <w:tr>
        <w:trPr>
          <w:trHeight w:val="249"/>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Exchange Notes</w:t>
            </w:r>
            <w:r>
              <w:rPr>
                <w:rFonts w:ascii="Times New Roman" w:cs="Times New Roman" w:eastAsia="Times New Roman" w:hAnsi="Times New Roman"/>
                <w:sz w:val="18"/>
                <w:szCs w:val="18"/>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8"/>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8"/>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IAC Notes</w:t>
            </w:r>
            <w:r>
              <w:rPr>
                <w:rFonts w:ascii="Times New Roman" w:cs="Times New Roman" w:eastAsia="Times New Roman" w:hAnsi="Times New Roman"/>
                <w:sz w:val="18"/>
                <w:szCs w:val="18"/>
                <w:color w:val="auto"/>
                <w:vertAlign w:val="superscript"/>
              </w:rPr>
              <w:t>(3)</w:t>
            </w:r>
          </w:p>
        </w:tc>
        <w:tc>
          <w:tcPr>
            <w:tcW w:w="26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305"/>
        </w:trPr>
        <w:tc>
          <w:tcPr>
            <w:tcW w:w="7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Credit Facility</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Loan</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Revolving Corporate Credit Facility</w:t>
            </w:r>
            <w:r>
              <w:rPr>
                <w:rFonts w:ascii="Times New Roman" w:cs="Times New Roman" w:eastAsia="Times New Roman" w:hAnsi="Times New Roman"/>
                <w:sz w:val="18"/>
                <w:szCs w:val="18"/>
                <w:color w:val="auto"/>
                <w:vertAlign w:val="superscript"/>
              </w:rPr>
              <w:t>(4)</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Unamortized debt issuance costs</w:t>
            </w:r>
            <w:r>
              <w:rPr>
                <w:rFonts w:ascii="Times New Roman" w:cs="Times New Roman" w:eastAsia="Times New Roman" w:hAnsi="Times New Roman"/>
                <w:sz w:val="18"/>
                <w:szCs w:val="18"/>
                <w:color w:val="auto"/>
                <w:vertAlign w:val="superscript"/>
              </w:rPr>
              <w:t>(5)</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gross</w:t>
            </w:r>
            <w:r>
              <w:rPr>
                <w:rFonts w:ascii="Times New Roman" w:cs="Times New Roman" w:eastAsia="Times New Roman" w:hAnsi="Times New Roman"/>
                <w:sz w:val="18"/>
                <w:szCs w:val="18"/>
                <w:color w:val="auto"/>
                <w:vertAlign w:val="superscript"/>
              </w:rPr>
              <w:t>(6)</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Non-Interest bearing note payable</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discount</w:t>
            </w:r>
            <w:r>
              <w:rPr>
                <w:rFonts w:ascii="Times New Roman" w:cs="Times New Roman" w:eastAsia="Times New Roman" w:hAnsi="Times New Roman"/>
                <w:sz w:val="18"/>
                <w:szCs w:val="18"/>
                <w:color w:val="auto"/>
                <w:vertAlign w:val="superscript"/>
              </w:rPr>
              <w:t>(7)</w:t>
            </w:r>
          </w:p>
        </w:tc>
        <w:tc>
          <w:tcPr>
            <w:tcW w:w="260" w:type="dxa"/>
            <w:vAlign w:val="bottom"/>
          </w:tcPr>
          <w:p>
            <w:pPr>
              <w:spacing w:after="0"/>
              <w:rPr>
                <w:sz w:val="22"/>
                <w:szCs w:val="22"/>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8"/>
                <w:szCs w:val="18"/>
                <w:color w:val="auto"/>
                <w:vertAlign w:val="superscript"/>
              </w:rPr>
              <w:t>(8)</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rate of 5.625%, maturing on April 15, 2023.</w:t>
      </w:r>
    </w:p>
    <w:p>
      <w:pPr>
        <w:spacing w:after="0" w:line="2"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rate of 6.500%, maturing on September 15, 2026.</w:t>
      </w:r>
    </w:p>
    <w:p>
      <w:pPr>
        <w:spacing w:after="0" w:line="2"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rate of 5.625%, maturing on April 15, 2023.</w:t>
      </w:r>
    </w:p>
    <w:p>
      <w:pPr>
        <w:spacing w:after="0" w:line="2"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effective interest rate as of March 31, 2019 was 6.5%.</w:t>
      </w:r>
    </w:p>
    <w:p>
      <w:pPr>
        <w:spacing w:after="0" w:line="2" w:lineRule="exact"/>
        <w:rPr>
          <w:rFonts w:ascii="Times New Roman" w:cs="Times New Roman" w:eastAsia="Times New Roman" w:hAnsi="Times New Roman"/>
          <w:sz w:val="24"/>
          <w:szCs w:val="24"/>
          <w:color w:val="auto"/>
          <w:vertAlign w:val="superscript"/>
        </w:rPr>
      </w:pPr>
    </w:p>
    <w:p>
      <w:pPr>
        <w:ind w:left="660" w:right="660" w:hanging="652"/>
        <w:spacing w:after="0" w:line="208" w:lineRule="auto"/>
        <w:tabs>
          <w:tab w:leader="none" w:pos="66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$4 million of unamortized debt issuance costs as of December 31, 2018, as no cash borrowings were outstanding on the Revolving Corporate Credit Facility at that time.</w:t>
      </w:r>
    </w:p>
    <w:p>
      <w:pPr>
        <w:sectPr>
          <w:pgSz w:w="11900" w:h="16838" w:orient="portrait"/>
          <w:cols w:equalWidth="0" w:num="1">
            <w:col w:w="11420"/>
          </w:cols>
          <w:pgMar w:left="240" w:top="578"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78" w:right="239" w:bottom="1440" w:gutter="0" w:footer="0" w:header="0"/>
          <w:type w:val="continuous"/>
        </w:sectPr>
      </w:pPr>
    </w:p>
    <w:bookmarkStart w:id="34" w:name="page35"/>
    <w:bookmarkEnd w:id="34"/>
    <w:p>
      <w:pPr>
        <w:ind w:left="660" w:hanging="652"/>
        <w:spacing w:after="0"/>
        <w:tabs>
          <w:tab w:leader="none" w:pos="66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effective interest rate as of March 31, 2019 was 4.7%.</w:t>
      </w:r>
    </w:p>
    <w:p>
      <w:pPr>
        <w:spacing w:after="0" w:line="1" w:lineRule="exact"/>
        <w:rPr>
          <w:rFonts w:ascii="Times New Roman" w:cs="Times New Roman" w:eastAsia="Times New Roman" w:hAnsi="Times New Roman"/>
          <w:sz w:val="25"/>
          <w:szCs w:val="25"/>
          <w:color w:val="auto"/>
          <w:vertAlign w:val="superscript"/>
        </w:rPr>
      </w:pPr>
    </w:p>
    <w:p>
      <w:pPr>
        <w:ind w:left="660" w:hanging="652"/>
        <w:spacing w:after="0" w:line="182" w:lineRule="auto"/>
        <w:tabs>
          <w:tab w:leader="none" w:pos="66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Debt discount based on imputed interest rate of 6.0%.</w:t>
      </w:r>
    </w:p>
    <w:p>
      <w:pPr>
        <w:ind w:left="660" w:hanging="652"/>
        <w:spacing w:after="0" w:line="183" w:lineRule="auto"/>
        <w:tabs>
          <w:tab w:leader="none" w:pos="66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Non-recourse.</w:t>
      </w:r>
    </w:p>
    <w:p>
      <w:pPr>
        <w:spacing w:after="0" w:line="99"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shows scheduled future principal payments for our debt, excluding finance leases, as of March 31, 2019.</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Payments Year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7"/>
        </w:trPr>
        <w:tc>
          <w:tcPr>
            <w:tcW w:w="25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IAC Notes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Corporate Credit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41"/>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 Note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41"/>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2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Senior Notes include the following: $750 million aggregate principal amount of 6.500% senior unsecured notes due 2026 issued in the third quarter of 2018 (the “Senior Unsecured Notes”); $350 million in aggregate principal amount of outstanding 5.625% Senior Unsecured Notes due 2023 assumed in connection with the ILG Acquisition (the “IAC Notes”); and 5.625% Senior Unsecured Notes due 2023 offered in exchange for the IAC Notes during the third quarter of 2018 (the “Exchange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Credit Facility</w:t>
      </w:r>
    </w:p>
    <w:p>
      <w:pPr>
        <w:spacing w:after="0" w:line="1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Corporate Credit Facility with a borrowing capacity of $600 million that terminates on August 31, 2023. The Revolving Corporate Credit Facility also includes a letter of credit sub-facility of $75 million. As of March 31, 2019, we were in compliance with the applicable financial and operating covenants under the Corporate Credit Facility.</w:t>
      </w:r>
    </w:p>
    <w:p>
      <w:pPr>
        <w:spacing w:after="0" w:line="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Subsequent to the end of the first quarter of 2019, we borrowed $65 million under our Revolving Corporate Credit Facility to facilitate the funding of our short-term working capital needs, $20 million of which has been repaid.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$230 million of 1.50% Convertible Senior Notes due 2022 (the “Convertible Notes”) were convertible at an initial rate of 6.7482 shares of common stock per $1,000 principal amount of Convertible Notes (equivalent to an initial conversion price of approximately $148.19 per share of our common stock). The conversion rate is subject to adjustment for certain events as described in the indenture governing the notes and was subject to adjustment during the first quarter of 2019 to 6.7755 shares of common stock per $1,000 principal amount of Convertible Notes (equivalent to a conversion price of approximately $147.59 per share of our common stock) when we declared a quarterly dividend of $0.45 per share, which was greater than the quarterly dividend at the time of the issuance of the Convertible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 As of March 31, 2019, the remaining discount amortization period was 3.5 years.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11" w:right="2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The following table shows the net carrying value of the Convertible Notes.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At December 31, 2018</w:t>
            </w: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component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carrying amount of the liability component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amount of equity component, net of issuance costs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interest expense information related to the Convertible Notes.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gridSpan w:val="4"/>
          </w:tcPr>
          <w:p>
            <w:pPr>
              <w:jc w:val="right"/>
              <w:ind w:right="139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9"/>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22"/>
                <w:szCs w:val="22"/>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320" w:type="dxa"/>
            <w:vAlign w:val="bottom"/>
          </w:tcPr>
          <w:p>
            <w:pPr>
              <w:spacing w:after="0"/>
              <w:rPr>
                <w:sz w:val="22"/>
                <w:szCs w:val="22"/>
                <w:color w:val="auto"/>
              </w:rPr>
            </w:pPr>
          </w:p>
        </w:tc>
        <w:tc>
          <w:tcPr>
            <w:tcW w:w="18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4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Hedges and Warrants</w:t>
      </w:r>
    </w:p>
    <w:p>
      <w:pPr>
        <w:spacing w:after="0" w:line="1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Convertible Notes, we concurrently entered into the following privately-negotiated separate transactions: convertible note hedge transactions with respect to our common stock (“Convertible Note Hedges”), covering a total of approximately 1.55 million shares of our common stock, and warrant transactions (“Warrants”), whereby we sold to the counterparties to the Convertible Note Hedges warrants to acquire approximately 1.55 million shares of our common stock at an initial strike price of $176.68 per share. The strike price was subject to adjustment during the first quarter of 2019 to $175.97 per share when we declared a quarterly dividend of $0.45 per share. As of March 31, 2019, no Convertible Note Hedges or Warrants have been exercised.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Footnote 12 “Leases” for information on our finance leases accounted for under ASC 842.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119"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Corporate Credit Facility, as well as obligations with respect to letters of credit issued pursuant to that facility, are secured by a perfected first priority security interest in substantially all of the assets of the borrowers under, and guarantors of, that facility (which include Marriott Vacations Worldwide Corporation and certain of our direct and indirect, existing and future, domestic subsidiaries, excluding certain bankruptcy remote special purpose subsidiaries), in each case including inventory, subject to certain exceptions. In addition, the IAC Notes are guaranteed by Marriott Vacations Worldwide Corporation, ILG and certain other subsidiaries for which 100% of the voting securities are owned directly or indirectly by ILG. See Footnote 19 “Supplemental Guarantor Information” for additional information. The Exchange Notes are guaranteed by Marriott Vacations Worldwide Corporation and its domestic subsidiaries that guarantee the Corporate Credit Facility.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72" w:right="23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b w:val="1"/>
          <w:bCs w:val="1"/>
          <w:color w:val="auto"/>
        </w:rPr>
        <w:t>15. SHAREHOLDERS’ EQUITY</w:t>
      </w:r>
    </w:p>
    <w:p>
      <w:pPr>
        <w:spacing w:after="0" w:line="14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Marriott Vacations Worldwide has 100,000,000 authorized shares of common stock, par value of $0.01 per share. At March 31, 2019, there were 57,839,682 shares of Marriott Vacations Worldwide common stock issued, of which 44,982,314 shares were outstanding and 12,857,368 shares were held as treasury stock. At December 31, 2018, there were 57,626,462 shares of Marriott Vacations Worldwide common stock issued, of which 45,992,731 shares were outstanding and 11,633,731 shares were held as treasury stock. Marriott Vacations Worldwide has 2,000,000 authorized shares of preferred stock, par value of $0.01 per share, none of which were issued or outstanding as of March 31, 2019 or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Cost of Shares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r>
      <w:tr>
        <w:trPr>
          <w:trHeight w:val="240"/>
        </w:trPr>
        <w:tc>
          <w:tcPr>
            <w:tcW w:w="5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Share</w:t>
            </w: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2018</w:t>
            </w:r>
          </w:p>
        </w:tc>
        <w:tc>
          <w:tcPr>
            <w:tcW w:w="2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11,687,774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13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67.85</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the first quarter of 2019</w:t>
            </w:r>
          </w:p>
        </w:tc>
        <w:tc>
          <w:tcPr>
            <w:tcW w:w="2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1,230,268</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86.32</w:t>
            </w:r>
          </w:p>
        </w:tc>
      </w:tr>
      <w:tr>
        <w:trPr>
          <w:trHeight w:val="27"/>
        </w:trPr>
        <w:tc>
          <w:tcPr>
            <w:tcW w:w="52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March 31, 2019</w:t>
            </w:r>
          </w:p>
        </w:tc>
        <w:tc>
          <w:tcPr>
            <w:tcW w:w="2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12,918,042</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69.61</w:t>
            </w:r>
          </w:p>
        </w:tc>
      </w:tr>
      <w:tr>
        <w:trPr>
          <w:trHeight w:val="20"/>
        </w:trPr>
        <w:tc>
          <w:tcPr>
            <w:tcW w:w="5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December 6, 2018, our Board of Directors authorized the extension of the duration of our existing share repurchase program to March 31, 2019, as well as the repurchase of up to 3.0 million additional shares of our common stock through December 31, 2019. As of March 31, 2019, our Board of Directors had authorized the repurchase of an aggregate of up to 14.9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2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declared cash dividends to holders of common stock during the first quarter of 2019 as follows: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Shareholder Record Date</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 Share</w:t>
            </w:r>
          </w:p>
        </w:tc>
      </w:tr>
      <w:tr>
        <w:trPr>
          <w:trHeight w:val="33"/>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2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2019</w:t>
            </w:r>
          </w:p>
        </w:tc>
        <w:tc>
          <w:tcPr>
            <w:tcW w:w="2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14, 2019</w:t>
            </w:r>
          </w:p>
        </w:tc>
        <w:tc>
          <w:tcPr>
            <w:tcW w:w="254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$0.45</w:t>
            </w:r>
          </w:p>
        </w:tc>
      </w:tr>
      <w:tr>
        <w:trPr>
          <w:trHeight w:val="27"/>
        </w:trPr>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future dividend payments will be subject to Board approval, and there can be no assurance that we will pay dividends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Owners’ Associations</w:t>
      </w:r>
    </w:p>
    <w:p>
      <w:pPr>
        <w:spacing w:after="0" w:line="11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As part of the ILG Acquisition we established a noncontrolling interest in property owners’ associations that Legacy-ILG consolidates under the voting interest model, which represents the portion of the property owners’ associations related to individual or third-party VOI owners. As of March 31, 2019, this noncontrolling interest amounts to $9 million and is included on our Balance Sheet as a component of equity.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846" w:right="23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b w:val="1"/>
          <w:bCs w:val="1"/>
          <w:color w:val="auto"/>
        </w:rPr>
        <w:t>16. SHARE-BASED COMPENSATION</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maintain the Marriott Vacations Worldwide Corporation Stock and Cash Incentive Plan (the “MVW Stock Plan”) for the benefit of our officers, directors and employees. Under the MVW Stock Plan, we award: (1) restricted stock units (“RSUs”) of our common stock, (2) SARs relating to our common stock and (3) stock options to purchase our common stock. A total of 6 million shares are authorized for issuance pursuant to grants under the MVW Stock Plan. As of March 31, 2019, 1 million shares were available for grants under the MVW Stock Plan.</w:t>
      </w:r>
    </w:p>
    <w:p>
      <w:pPr>
        <w:spacing w:after="0" w:line="72" w:lineRule="exact"/>
        <w:rPr>
          <w:sz w:val="20"/>
          <w:szCs w:val="20"/>
          <w:color w:val="auto"/>
        </w:rPr>
      </w:pPr>
    </w:p>
    <w:p>
      <w:pPr>
        <w:ind w:right="40" w:firstLine="662"/>
        <w:spacing w:after="0" w:line="266" w:lineRule="auto"/>
        <w:rPr>
          <w:sz w:val="20"/>
          <w:szCs w:val="20"/>
          <w:color w:val="auto"/>
        </w:rPr>
      </w:pPr>
      <w:r>
        <w:rPr>
          <w:rFonts w:ascii="Times New Roman" w:cs="Times New Roman" w:eastAsia="Times New Roman" w:hAnsi="Times New Roman"/>
          <w:sz w:val="18"/>
          <w:szCs w:val="18"/>
          <w:color w:val="auto"/>
        </w:rPr>
        <w:t>As part of the ILG Acquisition, we assumed the Interval Leisure Group, Inc. 2013 Stock and Incentive Plan (the “ILG Stock Plan”) and equity based awards outstanding under the ILG Stock Plan. As of March 31, 2019, 1 million shares were available for grants under the ILG Stock Plan to Legacy-ILG employees.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our share-based compensation expense related to award grants to our officers, directors and employees: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4"/>
          </w:tcPr>
          <w:p>
            <w:pPr>
              <w:jc w:val="right"/>
              <w:ind w:right="12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2"/>
                <w:szCs w:val="22"/>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 2019</w:t>
            </w:r>
          </w:p>
        </w:tc>
        <w:tc>
          <w:tcPr>
            <w:tcW w:w="200" w:type="dxa"/>
            <w:vAlign w:val="bottom"/>
          </w:tcPr>
          <w:p>
            <w:pPr>
              <w:spacing w:after="0"/>
              <w:rPr>
                <w:sz w:val="22"/>
                <w:szCs w:val="22"/>
                <w:color w:val="auto"/>
              </w:rPr>
            </w:pPr>
          </w:p>
        </w:tc>
        <w:tc>
          <w:tcPr>
            <w:tcW w:w="18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Service-based RSUs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Performance-based RSUs</w:t>
            </w: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 Converted RSUs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8"/>
                <w:szCs w:val="18"/>
                <w:color w:val="auto"/>
              </w:rPr>
              <w:t>The following table details our deferred compensation costs related to unvested awards: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7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4"/>
                <w:szCs w:val="24"/>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200" w:type="dxa"/>
            <w:vAlign w:val="bottom"/>
          </w:tcPr>
          <w:p>
            <w:pPr>
              <w:spacing w:after="0"/>
              <w:rPr>
                <w:sz w:val="24"/>
                <w:szCs w:val="24"/>
                <w:color w:val="auto"/>
              </w:rPr>
            </w:pPr>
          </w:p>
        </w:tc>
        <w:tc>
          <w:tcPr>
            <w:tcW w:w="1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0" w:type="dxa"/>
            <w:vAlign w:val="bottom"/>
          </w:tcPr>
          <w:p>
            <w:pPr>
              <w:spacing w:after="0"/>
              <w:rPr>
                <w:sz w:val="1"/>
                <w:szCs w:val="1"/>
                <w:color w:val="auto"/>
              </w:rPr>
            </w:pPr>
          </w:p>
        </w:tc>
      </w:tr>
      <w:tr>
        <w:trPr>
          <w:trHeight w:val="249"/>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RSUs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Performance-based RSUs</w:t>
            </w: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 Converted RSUs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granted 170,289 service-based RSUs, which are subject to time-based vesting conditions, with a weighted average grant-date fair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$96.38, to our employees and non-employee directors during the first quarter of 2019. During the first quarter of 2019, we also granted performance-based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which are subject to performance-based vesting conditions, to members of management. A maximum of 287,876 RSUs may be earned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RSU awards granted during the first quarter of 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granted 111,111 SARs, with a weighted average grant-date fair value of $28.89 and a weighted average exercise price of $100.52, to members of management during the first quarter of 2019.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46" w:right="2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The following table outlines the assumptions used to estimate the fair value of grants during the first quarter of 2019:</w:t>
      </w:r>
    </w:p>
    <w:p>
      <w:pPr>
        <w:spacing w:after="0" w:line="162"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31.10%</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1.76%</w:t>
            </w:r>
          </w:p>
        </w:tc>
      </w:tr>
      <w:tr>
        <w:trPr>
          <w:trHeight w:val="27"/>
        </w:trPr>
        <w:tc>
          <w:tcPr>
            <w:tcW w:w="3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76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2.59%</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7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Legacy-ILG Deferred Compensation Plan</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Certain deferred share units (“DSUs”) of ILG common stock were outstanding on the Acquisition Date under the Interval Leisure Group, Inc. Deferred Compensation Plan for Non-Employee Directors. On the Acquisition Date, these DSUs were converted to equity-based awards with respect to MVW’s common stock and cash-based awards, resulting in 12,265 DSUs (“ILG DSUs”) and $1 million of cash-based awards. The ILG DSUs had a weighted average fair value of $114.31 on the Acquisition Date. The services associated with the ILG DSUs were completed as of the Acquisition Date, resulting in no deferred compensation costs. The ILG DSUs and related cash-based awards were paid in full during the first quarter of 2019 and there is no remaining obligation as of March 31, 2019.</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VARIABLE INTEREST ENTITIES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 Related to Our Vacation Ownership Notes Receivable Securitizations</w:t>
      </w:r>
    </w:p>
    <w:p>
      <w:pPr>
        <w:spacing w:after="0" w:line="11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76"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6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consolidated assets, which are collateral for the obligations of these variable interest entities, and consolidated liabilities included on our Balance Sheet at March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Vacation Ownership</w:t>
            </w: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Notes Receivable</w:t>
            </w:r>
          </w:p>
        </w:tc>
        <w:tc>
          <w:tcPr>
            <w:tcW w:w="380" w:type="dxa"/>
            <w:vAlign w:val="bottom"/>
          </w:tcPr>
          <w:p>
            <w:pPr>
              <w:spacing w:after="0"/>
              <w:rPr>
                <w:sz w:val="17"/>
                <w:szCs w:val="17"/>
                <w:color w:val="auto"/>
              </w:rPr>
            </w:pPr>
          </w:p>
        </w:tc>
        <w:tc>
          <w:tcPr>
            <w:tcW w:w="20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Warehouse</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Securitizations</w:t>
            </w:r>
          </w:p>
        </w:tc>
        <w:tc>
          <w:tcPr>
            <w:tcW w:w="380" w:type="dxa"/>
            <w:vAlign w:val="bottom"/>
          </w:tcPr>
          <w:p>
            <w:pPr>
              <w:spacing w:after="0"/>
              <w:rPr>
                <w:sz w:val="20"/>
                <w:szCs w:val="20"/>
                <w:color w:val="auto"/>
              </w:rPr>
            </w:pPr>
          </w:p>
        </w:tc>
        <w:tc>
          <w:tcPr>
            <w:tcW w:w="20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540" w:type="dxa"/>
            <w:vAlign w:val="bottom"/>
          </w:tcPr>
          <w:p>
            <w:pPr>
              <w:spacing w:after="0"/>
              <w:rPr>
                <w:sz w:val="20"/>
                <w:szCs w:val="20"/>
                <w:color w:val="auto"/>
              </w:rPr>
            </w:pPr>
          </w:p>
        </w:tc>
        <w:tc>
          <w:tcPr>
            <w:tcW w:w="1740" w:type="dxa"/>
            <w:vAlign w:val="bottom"/>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net of reserves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Liabilities</w:t>
            </w: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9" w:name="page40"/>
    <w:bookmarkEnd w:id="39"/>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 the first quarter of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Vacation Ownership</w:t>
            </w: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Notes Receivable</w:t>
            </w:r>
          </w:p>
        </w:tc>
        <w:tc>
          <w:tcPr>
            <w:tcW w:w="380" w:type="dxa"/>
            <w:vAlign w:val="bottom"/>
          </w:tcPr>
          <w:p>
            <w:pPr>
              <w:spacing w:after="0"/>
              <w:rPr>
                <w:sz w:val="17"/>
                <w:szCs w:val="17"/>
                <w:color w:val="auto"/>
              </w:rPr>
            </w:pPr>
          </w:p>
        </w:tc>
        <w:tc>
          <w:tcPr>
            <w:tcW w:w="20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Warehouse</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Securitizations</w:t>
            </w:r>
          </w:p>
        </w:tc>
        <w:tc>
          <w:tcPr>
            <w:tcW w:w="380" w:type="dxa"/>
            <w:vAlign w:val="bottom"/>
          </w:tcPr>
          <w:p>
            <w:pPr>
              <w:spacing w:after="0"/>
              <w:rPr>
                <w:sz w:val="20"/>
                <w:szCs w:val="20"/>
                <w:color w:val="auto"/>
              </w:rPr>
            </w:pPr>
          </w:p>
        </w:tc>
        <w:tc>
          <w:tcPr>
            <w:tcW w:w="20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540" w:type="dxa"/>
            <w:vAlign w:val="bottom"/>
          </w:tcPr>
          <w:p>
            <w:pPr>
              <w:spacing w:after="0"/>
              <w:rPr>
                <w:sz w:val="20"/>
                <w:szCs w:val="20"/>
                <w:color w:val="auto"/>
              </w:rPr>
            </w:pPr>
          </w:p>
        </w:tc>
        <w:tc>
          <w:tcPr>
            <w:tcW w:w="1740" w:type="dxa"/>
            <w:vAlign w:val="bottom"/>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vacation ownership notes receivable securitization variable interest entities: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49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9"/>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Pr>
          <w:p>
            <w:pPr>
              <w:spacing w:after="0"/>
              <w:rPr>
                <w:sz w:val="22"/>
                <w:szCs w:val="22"/>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360" w:type="dxa"/>
            <w:vAlign w:val="bottom"/>
          </w:tcPr>
          <w:p>
            <w:pPr>
              <w:spacing w:after="0"/>
              <w:rPr>
                <w:sz w:val="22"/>
                <w:szCs w:val="22"/>
                <w:color w:val="auto"/>
              </w:rPr>
            </w:pPr>
          </w:p>
        </w:tc>
        <w:tc>
          <w:tcPr>
            <w:tcW w:w="19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receipts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receipts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 release</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to investors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Voluntary repurchases of defaulted vacation ownership notes receivable</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Voluntary clean-up call</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to investors</w:t>
            </w: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our vacation ownership notes receivable securitizations, we have the right to substitute loans for, or repurchase, defaulted loans at our option, subject to certain limitations.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Warehouse Credit Facility variable interest entity: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gridSpan w:val="4"/>
          </w:tcPr>
          <w:p>
            <w:pPr>
              <w:ind w:left="1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360" w:type="dxa"/>
            <w:vAlign w:val="bottom"/>
          </w:tcPr>
          <w:p>
            <w:pPr>
              <w:spacing w:after="0"/>
              <w:rPr>
                <w:sz w:val="22"/>
                <w:szCs w:val="22"/>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249"/>
        </w:trPr>
        <w:tc>
          <w:tcPr>
            <w:tcW w:w="5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vacation ownership notes receivable securitizations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receipts</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receipts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14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to investors</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to investors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Funding of restricted cash</w:t>
            </w: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Other Variable Interest Entities</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commitment to purchase an operating property located in San Francisco, California. Refer to Footnote 11 “Contingencies and Commitments” for additional information on the commitment. We are required to purchase the operating property from the third party developer unless the developer has sold the property to another party. The operating property is held by a variable interest entity for which we are not the primary beneficiary as we cannot prevent the variable interest entity from selling the operating property at a higher price. Accordingly, we have not consolidated the variable interest entity. As of March 31, 2019, our Balance Sheet reflected $13 million in Property and equipment related to a finance lease and leasehold improvements, $1 million in Accrued liabilities and $10 million in Debt related to the finance lease liability for ancillary and operations space we lease from the variable interest entity. In addition, a note receivable of less than $1 million is included in the Accounts receivable line. We believe that our maximum exposure to loss as a result of our involvement with this variable interest entity is $3 million as of March 31, 2019.</w:t>
      </w:r>
    </w:p>
    <w:p>
      <w:pPr>
        <w:spacing w:after="0" w:line="7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March 31, 2019, our Balance Sheet reflected $8 million in Property and equipment related to a finance lease and leasehold improvements, $1 million in Accrued liabilities and $7 million in Debt related to the finance lease liability for ancillary and operations space we lease from the variable interest entity. In addition, a note receivable of less than $1 million is included in the Accounts receivable line on the Balance Sheet as of March 31, 2019. We believe that our maximum exposure to loss as a result of our involvement with this variable interest entity is less than $1 million as of March 31,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consolidate the liabilities of the Marriott Vacations Worldwide Deferred Compensation Plan and the related assets, which consist of the COLI policies held in the rabbi trust. The rabbi trust is considered a variable interest entity. We are considered the primary beneficiary of the rabbi trust because we direct the activities of the trust and are the beneficiary of the trust. At March 31, 2019, the value of the assets held in the rabbi trust was $31 million, which is included in the Other line within assets on our Balance Sheets.</w:t>
      </w:r>
    </w:p>
    <w:p>
      <w:pPr>
        <w:spacing w:after="0" w:line="200" w:lineRule="exact"/>
        <w:rPr>
          <w:sz w:val="20"/>
          <w:szCs w:val="20"/>
          <w:color w:val="auto"/>
        </w:rPr>
      </w:pPr>
    </w:p>
    <w:p>
      <w:pPr>
        <w:spacing w:after="0" w:line="246" w:lineRule="exact"/>
        <w:rPr>
          <w:sz w:val="20"/>
          <w:szCs w:val="20"/>
          <w:color w:val="auto"/>
        </w:rPr>
      </w:pPr>
    </w:p>
    <w:p>
      <w:pPr>
        <w:ind w:left="520" w:hanging="485"/>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w:t>
      </w:r>
    </w:p>
    <w:p>
      <w:pPr>
        <w:spacing w:after="0" w:line="14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68" w:lineRule="exact"/>
        <w:rPr>
          <w:sz w:val="20"/>
          <w:szCs w:val="20"/>
          <w:color w:val="auto"/>
        </w:rPr>
      </w:pPr>
    </w:p>
    <w:p>
      <w:pPr>
        <w:ind w:left="980" w:right="40" w:hanging="324"/>
        <w:spacing w:after="0" w:line="255"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81" w:lineRule="exact"/>
        <w:rPr>
          <w:rFonts w:ascii="Times New Roman" w:cs="Times New Roman" w:eastAsia="Times New Roman" w:hAnsi="Times New Roman"/>
          <w:sz w:val="18"/>
          <w:szCs w:val="18"/>
          <w:color w:val="auto"/>
        </w:rPr>
      </w:pPr>
    </w:p>
    <w:p>
      <w:pPr>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68"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Aqua-Aston and Great Destinations. Exchange &amp; Third-Party Management revenue generally is fee-based and derived from membership, exchange and rental transactions, property and association management, and other related products and services.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578" w:right="259" w:bottom="1440" w:gutter="0" w:footer="0" w:header="0"/>
        </w:sectPr>
      </w:pPr>
    </w:p>
    <w:bookmarkStart w:id="41" w:name="page42"/>
    <w:bookmarkEnd w:id="41"/>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81" w:lineRule="exact"/>
        <w:rPr>
          <w:sz w:val="20"/>
          <w:szCs w:val="20"/>
          <w:color w:val="auto"/>
        </w:rPr>
      </w:pPr>
    </w:p>
    <w:p>
      <w:pPr>
        <w:ind w:right="180" w:firstLine="662"/>
        <w:spacing w:after="0" w:line="258" w:lineRule="auto"/>
        <w:rPr>
          <w:sz w:val="20"/>
          <w:szCs w:val="20"/>
          <w:color w:val="auto"/>
        </w:rPr>
      </w:pPr>
      <w:r>
        <w:rPr>
          <w:rFonts w:ascii="Times New Roman" w:cs="Times New Roman" w:eastAsia="Times New Roman" w:hAnsi="Times New Roman"/>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income taxes, depreciation and amortization, excluding share-based compensation expense and adjusted for certain items that affect the comparability or our operating performance. Our reconciliation of the aggregate amount of Adjusted EBITDA for our reportable segments to consolidated net income attributable to common shareholders is presented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2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9"/>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Pr>
          <w:p>
            <w:pPr>
              <w:spacing w:after="0"/>
              <w:rPr>
                <w:sz w:val="22"/>
                <w:szCs w:val="22"/>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320" w:type="dxa"/>
            <w:vAlign w:val="bottom"/>
          </w:tcPr>
          <w:p>
            <w:pPr>
              <w:spacing w:after="0"/>
              <w:rPr>
                <w:sz w:val="22"/>
                <w:szCs w:val="22"/>
                <w:color w:val="auto"/>
              </w:rPr>
            </w:pPr>
          </w:p>
        </w:tc>
        <w:tc>
          <w:tcPr>
            <w:tcW w:w="17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3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Reconciliation to Net Income Attributable to Common Shareholders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22"/>
                <w:szCs w:val="22"/>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760" w:type="dxa"/>
            <w:vAlign w:val="bottom"/>
            <w:gridSpan w:val="5"/>
          </w:tcPr>
          <w:p>
            <w:pPr>
              <w:jc w:val="right"/>
              <w:ind w:right="140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Vacation Ownership</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Exchange &amp; Third-Party Management</w:t>
            </w:r>
          </w:p>
        </w:tc>
        <w:tc>
          <w:tcPr>
            <w:tcW w:w="200" w:type="dxa"/>
            <w:vAlign w:val="bottom"/>
          </w:tcPr>
          <w:p>
            <w:pPr>
              <w:spacing w:after="0"/>
              <w:rPr>
                <w:sz w:val="21"/>
                <w:szCs w:val="21"/>
                <w:color w:val="auto"/>
              </w:rPr>
            </w:pPr>
          </w:p>
        </w:tc>
        <w:tc>
          <w:tcPr>
            <w:tcW w:w="14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provision</w:t>
            </w:r>
          </w:p>
        </w:tc>
        <w:tc>
          <w:tcPr>
            <w:tcW w:w="2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Certain items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9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9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At March 31, 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0" w:type="dxa"/>
            <w:vAlign w:val="bottom"/>
          </w:tcPr>
          <w:p>
            <w:pPr>
              <w:spacing w:after="0"/>
              <w:rPr>
                <w:sz w:val="1"/>
                <w:szCs w:val="1"/>
                <w:color w:val="auto"/>
              </w:rPr>
            </w:pPr>
          </w:p>
        </w:tc>
      </w:tr>
      <w:tr>
        <w:trPr>
          <w:trHeight w:val="249"/>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43"/>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segment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r>
        <w:trPr>
          <w:trHeight w:val="243"/>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9,018</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conduct business globally, and our operations outside the United States represented approximately 13 percent and 12 percent of our revenues, excluding cost reimbursements, for the three months ended March 31, 2019 and March 31, 2018,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72" w:right="239"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b w:val="1"/>
          <w:bCs w:val="1"/>
          <w:color w:val="auto"/>
        </w:rPr>
        <w:t>19. SUPPLEMENTAL GUARANTOR INFORMATION</w:t>
      </w:r>
    </w:p>
    <w:p>
      <w:pPr>
        <w:spacing w:after="0" w:line="14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IAC Notes are guaranteed by Marriott Vacations Worldwide Corporation, ILG and certain other subsidiaries for which 100% of the voting securities are owned directly or indirectly by ILG (collectively, the “Guarantor Subsidiaries”). These guarantees are full and unconditional and joint and several. The guarantees of the Guarantor Subsidiaries are subject to release in limited circumstances only upon the occurrence of certain customary conditions. The indenture governing the IAC Notes contains covenants that, among other things, limit the ability of Interval Acquisition Corp. (the “Issuer”) and the Guarantor Subsidiaries to pay dividends to us or make distributions, loans or advances to us.</w:t>
      </w:r>
    </w:p>
    <w:p>
      <w:pPr>
        <w:spacing w:after="0" w:line="76"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The following tables present consolidating financial information as of March 31, 2019 and December 31, 2018, and for the quarter ended March 31, 2019 for MVW and ILG on a stand-alone basis, the Issuer on a stand-alone basis, the combined Guarantor Subsidiaries of MVW (collectively, the “Guarantor Subsidiaries”), the combined non-guarantor subsidiaries of MVW (collectively, the “Non-Guarantor Subsidiaries”) and MVW on a consolidated basis.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Condensed Consolidating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Interval</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4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MVW</w:t>
            </w:r>
          </w:p>
        </w:tc>
      </w:tr>
      <w:tr>
        <w:trPr>
          <w:trHeight w:val="240"/>
        </w:trPr>
        <w:tc>
          <w:tcPr>
            <w:tcW w:w="2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MVW</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Corp.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9"/>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w:t>
            </w:r>
          </w:p>
        </w:tc>
      </w:tr>
      <w:tr>
        <w:trPr>
          <w:trHeight w:val="225"/>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 net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2,055</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2,828</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1,092</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9,112</w:t>
            </w: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deposits</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520</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Securitized debt,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1,688</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2,201</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 equity</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MVW shareholders' equity</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3,346</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9,112</w:t>
            </w: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43" w:name="page44"/>
    <w:bookmarkEnd w:id="43"/>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244"/>
        </w:trPr>
        <w:tc>
          <w:tcPr>
            <w:tcW w:w="1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6"/>
                <w:szCs w:val="16"/>
                <w:b w:val="1"/>
                <w:bCs w:val="1"/>
                <w:color w:val="auto"/>
              </w:rPr>
              <w:t>As of December 31, 2018</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Interval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7"/>
                <w:szCs w:val="17"/>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MVW</w:t>
            </w:r>
          </w:p>
        </w:tc>
        <w:tc>
          <w:tcPr>
            <w:tcW w:w="0" w:type="dxa"/>
            <w:vAlign w:val="bottom"/>
          </w:tcPr>
          <w:p>
            <w:pPr>
              <w:spacing w:after="0"/>
              <w:rPr>
                <w:sz w:val="1"/>
                <w:szCs w:val="1"/>
                <w:color w:val="auto"/>
              </w:rPr>
            </w:pPr>
          </w:p>
        </w:tc>
      </w:tr>
      <w:tr>
        <w:trPr>
          <w:trHeight w:val="240"/>
        </w:trPr>
        <w:tc>
          <w:tcPr>
            <w:tcW w:w="1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MVW</w:t>
            </w:r>
          </w:p>
        </w:tc>
        <w:tc>
          <w:tcPr>
            <w:tcW w:w="26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ILG</w:t>
            </w:r>
          </w:p>
        </w:tc>
        <w:tc>
          <w:tcPr>
            <w:tcW w:w="16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Corp.</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17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receivable, net</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2,828</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deposits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and benefits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liability</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Securitized debt, net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net</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MVW shareholders'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3,461</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25"/>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liabilities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3,732</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45" w:lineRule="exact"/>
        <w:rPr>
          <w:sz w:val="20"/>
          <w:szCs w:val="20"/>
          <w:color w:val="auto"/>
        </w:rPr>
      </w:pPr>
    </w:p>
    <w:p>
      <w:pPr>
        <w:ind w:left="5620" w:right="1259" w:hanging="5612"/>
        <w:spacing w:after="0" w:line="470" w:lineRule="auto"/>
        <w:tabs>
          <w:tab w:leader="none" w:pos="652"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have been revised to correct certain immaterial prior period errors as reported in the 2018 Annual Report. 42</w:t>
      </w:r>
    </w:p>
    <w:p>
      <w:pPr>
        <w:sectPr>
          <w:pgSz w:w="11900" w:h="16838" w:orient="portrait"/>
          <w:cols w:equalWidth="0" w:num="1">
            <w:col w:w="10219"/>
          </w:cols>
          <w:pgMar w:left="240" w:top="542"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Condensed Consolidating Statement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Interval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4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MVW</w:t>
            </w:r>
          </w:p>
        </w:tc>
        <w:tc>
          <w:tcPr>
            <w:tcW w:w="0" w:type="dxa"/>
            <w:vAlign w:val="bottom"/>
          </w:tcPr>
          <w:p>
            <w:pPr>
              <w:spacing w:after="0"/>
              <w:rPr>
                <w:sz w:val="1"/>
                <w:szCs w:val="1"/>
                <w:color w:val="auto"/>
              </w:rPr>
            </w:pPr>
          </w:p>
        </w:tc>
      </w:tr>
      <w:tr>
        <w:trPr>
          <w:trHeight w:val="240"/>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MVW</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Corp.</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49"/>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from</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unconsolidated entities</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income of</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1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attributable to</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Condensed Consolidating Statement of Cash Flows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Interval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4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MVW</w:t>
            </w:r>
          </w:p>
        </w:tc>
        <w:tc>
          <w:tcPr>
            <w:tcW w:w="0" w:type="dxa"/>
            <w:vAlign w:val="bottom"/>
          </w:tcPr>
          <w:p>
            <w:pPr>
              <w:spacing w:after="0"/>
              <w:rPr>
                <w:sz w:val="1"/>
                <w:szCs w:val="1"/>
                <w:color w:val="auto"/>
              </w:rPr>
            </w:pPr>
          </w:p>
        </w:tc>
      </w:tr>
      <w:tr>
        <w:trPr>
          <w:trHeight w:val="240"/>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MVW</w:t>
            </w:r>
          </w:p>
        </w:tc>
        <w:tc>
          <w:tcPr>
            <w:tcW w:w="340" w:type="dxa"/>
            <w:vAlign w:val="bottom"/>
          </w:tcPr>
          <w:p>
            <w:pPr>
              <w:spacing w:after="0"/>
              <w:rPr>
                <w:sz w:val="20"/>
                <w:szCs w:val="20"/>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ILG</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20"/>
                <w:szCs w:val="20"/>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and restricted cash provided</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by (used in) operating</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cash equivalents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restricted cash (used in)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provided by investing</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cash equivalents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and restricted cash (used in)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provided by financing</w:t>
            </w:r>
          </w:p>
        </w:tc>
        <w:tc>
          <w:tcPr>
            <w:tcW w:w="24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changes in</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rates on cash, cash</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equivalents and restricted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beginning of</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Cash, cash equivalents and</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 end of period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6"/>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0" w:right="239" w:bottom="1440" w:gutter="0" w:footer="0" w:header="0"/>
        </w:sectPr>
      </w:pPr>
    </w:p>
    <w:bookmarkStart w:id="45" w:name="page46"/>
    <w:bookmarkEnd w:id="4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6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risk factors discussed in “Risk Factors” in our most recent Annual Report on Form 10-K, and which may be discussed in subsequent Quarterly Reports on Form 10-Q or other filings with the Securities and Exchange Commission (“SEC”),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30"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On September 1, 2018, we completed the ILG Acquisition for approximately $4.2 billion in aggregate consideration. In connection with the ILG Acquisition, we entered into multiple financing arrangements, which include the issuance of senior notes and the replacement of our previously existing corporate credit facility with a new senior secured corporate credit agreement, our Corporate Credit Facility, that provides for a term loan and revolving loans.</w:t>
      </w:r>
    </w:p>
    <w:p>
      <w:pPr>
        <w:spacing w:after="0" w:line="5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refer to our business associated with the brands that existed prior to the ILG Acquisition as “Legacy-MVW” and to ILG’s business and brands that we acquired as “Legacy-ILG.”</w:t>
      </w:r>
    </w:p>
    <w:p>
      <w:pPr>
        <w:spacing w:after="0" w:line="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81"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76" w:right="239" w:bottom="1440" w:gutter="0" w:footer="0" w:header="0"/>
        </w:sectPr>
      </w:pPr>
    </w:p>
    <w:bookmarkStart w:id="46" w:name="page47"/>
    <w:bookmarkEnd w:id="46"/>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Vacation Resorts International, Aqua-Aston and Great Destinations. Exchange &amp; Third-Party Management revenue generally is fee-based and derived from membership, exchange and rental transactions, property and association management, and other related products and services.</w:t>
      </w:r>
    </w:p>
    <w:p>
      <w:pPr>
        <w:spacing w:after="0" w:line="7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Hurricane Activity</w:t>
      </w:r>
    </w:p>
    <w:p>
      <w:pPr>
        <w:spacing w:after="0" w:line="11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During the third quarter of 2017, over 20 Legacy-MVW properties and two Legacy-ILG properties were negatively impacted by one or both of Hurricane Irma and Hurricane Maria (collectively, the “2017 Hurricanes”). All of the Legacy-MVW properties reopened prior to the end of 2018. The Legacy-ILG property in St. John partially reopened in the first quarter of 2019 and the Legacy-ILG resort in Puerto Rico is expected to open in 2020.</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received $29 million and $9 million of net insurance proceeds in 2018 and 2019, respectively, related to the settlement of Legacy-MVW business interruption insurance claims arising from the 2017 Hurricanes. We have submitted most of the insurance claims for our Legacy-ILG business interruption losses as well as Legacy-MVW and Legacy-ILG property damage experienced by both us and associated property owners’ associations from these 2017 Hurricanes. We received an initial $25 million advance of insurance proceeds related to the Legacy-ILG business interruption losses in 2018 and we received advances of $108 million of insurance proceeds related to the Legacy-ILG property damage experienced by the related property owners’ associations as of the first quarter of 2019. However, we cannot quantify the extent of any additional payments under such claims at this time.</w:t>
      </w:r>
    </w:p>
    <w:p>
      <w:pPr>
        <w:spacing w:after="0" w:line="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2018, our Legacy-MVW properties in Hawaii and South Carolina were negatively impacted by Hurricane Lane and Hurricane Florence, respectively (collectively, the “2018 Hurricanes”). We expect to submit insurance claims for our business interruption losses as well as property damage experienced by both us and associated property owners’ associations from these 2018 Hurricanes. However, we cannot quantify the extent of any payments under such claims at this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66" w:lineRule="exact"/>
        <w:rPr>
          <w:sz w:val="20"/>
          <w:szCs w:val="20"/>
          <w:color w:val="auto"/>
        </w:rPr>
      </w:pPr>
    </w:p>
    <w:p>
      <w:pPr>
        <w:jc w:val="both"/>
        <w:ind w:right="280" w:firstLine="648"/>
        <w:spacing w:after="0" w:line="290" w:lineRule="auto"/>
        <w:rPr>
          <w:sz w:val="20"/>
          <w:szCs w:val="20"/>
          <w:color w:val="auto"/>
        </w:rPr>
      </w:pPr>
      <w:r>
        <w:rPr>
          <w:rFonts w:ascii="Times New Roman" w:cs="Times New Roman" w:eastAsia="Times New Roman" w:hAnsi="Times New Roman"/>
          <w:sz w:val="17"/>
          <w:szCs w:val="17"/>
          <w:color w:val="auto"/>
        </w:rPr>
        <w:t>As a result of the revenue recognition requirements included in Accounting Standards Codification (“ASC”) Topic 606, “</w:t>
      </w:r>
      <w:r>
        <w:rPr>
          <w:rFonts w:ascii="Times New Roman" w:cs="Times New Roman" w:eastAsia="Times New Roman" w:hAnsi="Times New Roman"/>
          <w:sz w:val="17"/>
          <w:szCs w:val="17"/>
          <w:i w:val="1"/>
          <w:iCs w:val="1"/>
          <w:color w:val="auto"/>
        </w:rPr>
        <w:t>Revenue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(“ASC 606”), there may be timing differences between the date of the contract with the customer and when revenue is recognized.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comparing results year-over-year, this timing difference may generate significant variances, which we refer to as the impact of revenue reportability.</w:t>
      </w:r>
    </w:p>
    <w:p>
      <w:pPr>
        <w:spacing w:after="0" w:line="4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Finally, as more fully described in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6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report, on a supplemental basis, contract sales for our Vacation Ownership segment. Contract sales consist of the total amount of vacation ownership product sales under contract signed during the period where we have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72" w:right="239" w:bottom="1440" w:gutter="0" w:footer="0" w:header="0"/>
        </w:sectPr>
      </w:pPr>
    </w:p>
    <w:bookmarkStart w:id="47" w:name="page48"/>
    <w:bookmarkEnd w:id="47"/>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8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Management and Exchange</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6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6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our Vacation Ownership segment and Consolidated Property Owners’ Associations, we refer to these activities as “Resort Management and Other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24" w:lineRule="exact"/>
        <w:rPr>
          <w:sz w:val="20"/>
          <w:szCs w:val="20"/>
          <w:color w:val="auto"/>
        </w:rPr>
      </w:pPr>
    </w:p>
    <w:tbl>
      <w:tblPr>
        <w:tblLayout w:type="fixed"/>
        <w:tblInd w:w="106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3800" w:type="dxa"/>
            <w:vAlign w:val="bottom"/>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55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FICO score</w:t>
            </w:r>
          </w:p>
        </w:tc>
        <w:tc>
          <w:tcPr>
            <w:tcW w:w="1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55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6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Acquired vacation ownership notes receivable are accounted for using the expected cash flow method of recognizing discount accretion based on the expected cash flows. At acquisition, we recorded these vacation ownership notes receivable at a preliminary estimate of fair value, including a credit discount which is accreted as an adjustment to yield over the estimated life of the vacation ownership notes receivable. Our acquired vacation ownership notes receivable are remeasured at each reporting date based on expected future cash flows which takes into consideration an estimated measure of anticipated defaults and early repayments. See Footnote 6 “Vacation Ownership Notes Receivable” for further information regarding the accounting for acquired vacation ownership notes receivable.</w:t>
      </w:r>
    </w:p>
    <w:p>
      <w:pPr>
        <w:spacing w:after="0" w:line="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72" w:right="239" w:bottom="1440" w:gutter="0" w:footer="0" w:header="0"/>
        </w:sectPr>
      </w:pPr>
    </w:p>
    <w:bookmarkStart w:id="48" w:name="page49"/>
    <w:bookmarkEnd w:id="48"/>
    <w:p>
      <w:pPr>
        <w:ind w:right="20"/>
        <w:spacing w:after="0" w:line="256" w:lineRule="auto"/>
        <w:rPr>
          <w:sz w:val="20"/>
          <w:szCs w:val="20"/>
          <w:color w:val="auto"/>
        </w:rPr>
      </w:pPr>
      <w:r>
        <w:rPr>
          <w:rFonts w:ascii="Times New Roman" w:cs="Times New Roman" w:eastAsia="Times New Roman" w:hAnsi="Times New Roman"/>
          <w:sz w:val="18"/>
          <w:szCs w:val="18"/>
          <w:color w:val="auto"/>
        </w:rPr>
        <w:t>which, for originated vacation ownership notes receivable,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We do not include resales contract sales in the financing propensity calculation. Financing propensity was 62 percent in the first quarter of 2018 and 62 percent in the first quarter of 2019. We expect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42" w:lineRule="exact"/>
        <w:rPr>
          <w:sz w:val="20"/>
          <w:szCs w:val="20"/>
          <w:color w:val="auto"/>
        </w:rPr>
      </w:pPr>
    </w:p>
    <w:tbl>
      <w:tblPr>
        <w:tblLayout w:type="fixed"/>
        <w:tblInd w:w="106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3800" w:type="dxa"/>
            <w:vAlign w:val="bottom"/>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55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default rates</w:t>
            </w:r>
          </w:p>
        </w:tc>
        <w:tc>
          <w:tcPr>
            <w:tcW w:w="1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55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MVCD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Times New Roman" w:cs="Times New Roman" w:eastAsia="Times New Roman" w:hAnsi="Times New Roman"/>
          <w:sz w:val="18"/>
          <w:szCs w:val="18"/>
          <w:i w:val="1"/>
          <w:iCs w:val="1"/>
          <w:color w:val="auto"/>
        </w:rPr>
        <w:t>Real Estate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Time-Sharing Activities</w:t>
      </w:r>
      <w:r>
        <w:rPr>
          <w:rFonts w:ascii="Times New Roman" w:cs="Times New Roman" w:eastAsia="Times New Roman" w:hAnsi="Times New Roman"/>
          <w:sz w:val="18"/>
          <w:szCs w:val="18"/>
          <w:color w:val="auto"/>
        </w:rPr>
        <w:t>” (“ASC 978”). The rental activity associated with discounted vacation packages requiring a tour (“preview stays”) is not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transient rental metrics, and because the majority of these preview stays are sourced directly or indirectly from unsold inventory, the associated revenues and expenses are reported net in Marketing and sales expense.</w:t>
      </w:r>
    </w:p>
    <w:p>
      <w:pPr>
        <w:spacing w:after="0" w:line="7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our Exchange &amp; Third-Party Management segment, we offer vacation rental opportunities to members of the Interval International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on unsold inventory;</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provide alternative usage options, including Marriott Bonvoy points and offerings available as part of third-party offerings, for owners who elect to exchange their inventory;</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costs and direct operating and related expenses in connection with the rental business (such as housekeeping, credit card expenses and reservation services);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secure resort accommodations for use in Getaways.</w:t>
      </w:r>
    </w:p>
    <w:p>
      <w:pPr>
        <w:spacing w:after="0" w:line="11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72" w:right="279" w:bottom="1440" w:gutter="0" w:footer="0" w:header="0"/>
        </w:sectPr>
      </w:pPr>
    </w:p>
    <w:bookmarkStart w:id="49" w:name="page50"/>
    <w:bookmarkEnd w:id="49"/>
    <w:p>
      <w:pPr>
        <w:spacing w:after="0" w:line="261" w:lineRule="auto"/>
        <w:rPr>
          <w:sz w:val="20"/>
          <w:szCs w:val="20"/>
          <w:color w:val="auto"/>
        </w:rPr>
      </w:pPr>
      <w:r>
        <w:rPr>
          <w:rFonts w:ascii="Times New Roman" w:cs="Times New Roman" w:eastAsia="Times New Roman" w:hAnsi="Times New Roman"/>
          <w:sz w:val="18"/>
          <w:szCs w:val="18"/>
          <w:color w:val="auto"/>
        </w:rPr>
        <w:t>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Reimbursements</w:t>
      </w:r>
    </w:p>
    <w:p>
      <w:pPr>
        <w:spacing w:after="0" w:line="11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all interest expense other than consumer financing interest expense, which is included with Financing expense.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sales from the sale of vacation ownership products;</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contract sales include contract sales from the sale of vacation ownership products including joint ventures</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contract sales exclude contracts sales from the sale of vacation ownership products for joint ventures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margin percentage;</w:t>
      </w:r>
    </w:p>
    <w:p>
      <w:pPr>
        <w:spacing w:after="0" w:line="117" w:lineRule="exact"/>
        <w:rPr>
          <w:rFonts w:ascii="Times New Roman" w:cs="Times New Roman" w:eastAsia="Times New Roman" w:hAnsi="Times New Roman"/>
          <w:sz w:val="18"/>
          <w:szCs w:val="18"/>
          <w:color w:val="auto"/>
        </w:rPr>
      </w:pPr>
    </w:p>
    <w:p>
      <w:pPr>
        <w:ind w:left="1300" w:right="360" w:hanging="320"/>
        <w:spacing w:after="0" w:line="258"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75" w:lineRule="exact"/>
        <w:rPr>
          <w:rFonts w:ascii="Times New Roman" w:cs="Times New Roman" w:eastAsia="Times New Roman" w:hAnsi="Times New Roman"/>
          <w:sz w:val="18"/>
          <w:szCs w:val="18"/>
          <w:color w:val="auto"/>
        </w:rPr>
      </w:pPr>
    </w:p>
    <w:p>
      <w:pPr>
        <w:ind w:left="1300" w:right="60" w:hanging="320"/>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6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active members, which is the number of Interval International network active members at the end of the applicable period.</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240" w:top="472"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Royalty fee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 AND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4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Vacation Ownership</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contract sales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Legacy-MVW North America</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VPG</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3,777</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Tour flow</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2,923</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active members at end of period (000's)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for the first quarter of 2019 compared to the first quarter of 2018 and, as a result of the ILG Acquisition on September 1, 2018, includes results for Legacy-ILG for the first quarter of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3"/>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3"/>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3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Borders>
              <w:top w:val="single" w:sz="8" w:color="auto"/>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Property Owners’ Associations</w:t>
            </w:r>
          </w:p>
        </w:tc>
        <w:tc>
          <w:tcPr>
            <w:tcW w:w="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EBITDA, a financial measure that is not prescribed by GAAP, is defined as earnings, or net income attributable to common shareholders, before interest expense (excluding consumer financing interest expense), income taxes, depreciation and amortization.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76" w:right="239" w:bottom="1440" w:gutter="0" w:footer="0" w:header="0"/>
        </w:sectPr>
      </w:pPr>
    </w:p>
    <w:bookmarkStart w:id="52" w:name="page53"/>
    <w:bookmarkEnd w:id="52"/>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3"/>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due to</w:t>
            </w:r>
          </w:p>
        </w:tc>
        <w:tc>
          <w:tcPr>
            <w:tcW w:w="160" w:type="dxa"/>
            <w:vAlign w:val="bottom"/>
          </w:tcPr>
          <w:p>
            <w:pPr>
              <w:spacing w:after="0"/>
              <w:rPr>
                <w:sz w:val="15"/>
                <w:szCs w:val="15"/>
                <w:color w:val="auto"/>
              </w:rPr>
            </w:pPr>
          </w:p>
        </w:tc>
        <w:tc>
          <w:tcPr>
            <w:tcW w:w="1100" w:type="dxa"/>
            <w:vAlign w:val="bottom"/>
          </w:tcPr>
          <w:p>
            <w:pPr>
              <w:jc w:val="center"/>
              <w:ind w:right="73"/>
              <w:spacing w:after="0" w:line="181" w:lineRule="exact"/>
              <w:rPr>
                <w:sz w:val="20"/>
                <w:szCs w:val="20"/>
                <w:color w:val="auto"/>
              </w:rPr>
            </w:pPr>
            <w:r>
              <w:rPr>
                <w:rFonts w:ascii="Times New Roman" w:cs="Times New Roman" w:eastAsia="Times New Roman" w:hAnsi="Times New Roman"/>
                <w:sz w:val="16"/>
                <w:szCs w:val="16"/>
                <w:b w:val="1"/>
                <w:bCs w:val="1"/>
                <w:color w:val="auto"/>
              </w:rPr>
              <w:t>Legacy-ILG</w:t>
            </w:r>
          </w:p>
        </w:tc>
        <w:tc>
          <w:tcPr>
            <w:tcW w:w="0" w:type="dxa"/>
            <w:vAlign w:val="bottom"/>
          </w:tcPr>
          <w:p>
            <w:pPr>
              <w:spacing w:after="0"/>
              <w:rPr>
                <w:sz w:val="1"/>
                <w:szCs w:val="1"/>
                <w:color w:val="auto"/>
              </w:rPr>
            </w:pPr>
          </w:p>
        </w:tc>
      </w:tr>
      <w:tr>
        <w:trPr>
          <w:trHeight w:val="24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4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Certain items for the first quarter of 2019 consisted of $26 million of ILG acquisition-related costs, $26 million of asset impairments, $1 million of litigation settlements, $1 million of other severance costs and $1 million of purchase accounting adjustments, partially offset by $8 million of gains and other income.</w:t>
      </w:r>
    </w:p>
    <w:p>
      <w:pPr>
        <w:spacing w:after="0" w:line="6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Certain items for the first quarter of 2018 consisted of $3 million of acquisition costs, including $2 million of acquisition costs associated with the then anticipated future capital efficient acquisition of the operating property in San Francisco and $1 million of other acquisition costs, partially offset by a $1 million favorable true up of previously recorded costs associated with Hurricane Irma and Hurricane Maria (recorded in Gains and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4"/>
                <w:szCs w:val="4"/>
                <w:color w:val="auto"/>
              </w:rPr>
            </w:pP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0" w:type="dxa"/>
            <w:vAlign w:val="bottom"/>
          </w:tcPr>
          <w:p>
            <w:pPr>
              <w:spacing w:after="0"/>
              <w:rPr>
                <w:sz w:val="1"/>
                <w:szCs w:val="1"/>
                <w:color w:val="auto"/>
              </w:rPr>
            </w:pPr>
          </w:p>
        </w:tc>
      </w:tr>
      <w:tr>
        <w:trPr>
          <w:trHeight w:val="24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40" w:type="dxa"/>
            <w:vAlign w:val="bottom"/>
          </w:tcPr>
          <w:p>
            <w:pPr>
              <w:spacing w:after="0"/>
              <w:rPr>
                <w:sz w:val="20"/>
                <w:szCs w:val="20"/>
                <w:color w:val="auto"/>
              </w:rPr>
            </w:pP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0" w:type="dxa"/>
            <w:vAlign w:val="bottom"/>
          </w:tcPr>
          <w:p>
            <w:pPr>
              <w:spacing w:after="0"/>
              <w:rPr>
                <w:sz w:val="1"/>
                <w:szCs w:val="1"/>
                <w:color w:val="auto"/>
              </w:rPr>
            </w:pPr>
          </w:p>
        </w:tc>
      </w:tr>
      <w:tr>
        <w:trPr>
          <w:trHeight w:val="249"/>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property owners’ associations</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The following tables present Adjusted EBITDA for our reportable segments reconciled to segment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 Ownership</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3"/>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due to</w:t>
            </w:r>
          </w:p>
        </w:tc>
        <w:tc>
          <w:tcPr>
            <w:tcW w:w="160" w:type="dxa"/>
            <w:vAlign w:val="bottom"/>
          </w:tcPr>
          <w:p>
            <w:pPr>
              <w:spacing w:after="0"/>
              <w:rPr>
                <w:sz w:val="15"/>
                <w:szCs w:val="15"/>
                <w:color w:val="auto"/>
              </w:rPr>
            </w:pPr>
          </w:p>
        </w:tc>
        <w:tc>
          <w:tcPr>
            <w:tcW w:w="11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6"/>
                <w:szCs w:val="16"/>
                <w:b w:val="1"/>
                <w:bCs w:val="1"/>
                <w:color w:val="auto"/>
              </w:rPr>
              <w:t>Legacy-ILG</w:t>
            </w:r>
          </w:p>
        </w:tc>
        <w:tc>
          <w:tcPr>
            <w:tcW w:w="0" w:type="dxa"/>
            <w:vAlign w:val="bottom"/>
          </w:tcPr>
          <w:p>
            <w:pPr>
              <w:spacing w:after="0"/>
              <w:rPr>
                <w:sz w:val="1"/>
                <w:szCs w:val="1"/>
                <w:color w:val="auto"/>
              </w:rPr>
            </w:pPr>
          </w:p>
        </w:tc>
      </w:tr>
      <w:tr>
        <w:trPr>
          <w:trHeight w:val="24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Vacation Ownership segment for the first quarter of 2019 consisted of $26 million of asset impairments, $1 million of litigation settlements and $1 million of purchase accounting adjustments, partially offset by $9 million of Gains and other income.</w:t>
      </w:r>
    </w:p>
    <w:p>
      <w:pPr>
        <w:spacing w:after="0" w:line="5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Certain items in the Vacation Ownership segment for the first quarter of 2018 consisted of $2 million of acquisition costs associated with the then anticipated future capital efficient acquisition of the operating property in San Francisco, partially offset by a $1 million favorable true up of previously recorded costs associated with Hurricane Irma and Hurricane Maria (recorded in Gains and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9"/>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Exchange &amp; Third-Party Management segment for the first quarter of 2019 consisted of $1 million of purchase accounting adjustments.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business is grouped into two reportable business segments: Vacation Ownership and Exchange &amp; Third-Party Management. See Footnote 18 “Business Segments” to our Financial Statements for further information on our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 Ownership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Royalty fee</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FINANCIAL RESULTS BEFORE NONCONTROLLING INTERESTS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FINANCIAL RESULTS ATTRIBUTABLE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Legacy-MVW North America consolidated contract sales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consolidated contract sales</w:t>
            </w:r>
          </w:p>
        </w:tc>
        <w:tc>
          <w:tcPr>
            <w:tcW w:w="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consolidated contract sales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venture contract sales</w:t>
            </w:r>
          </w:p>
        </w:tc>
        <w:tc>
          <w:tcPr>
            <w:tcW w:w="3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contract sales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increase in Legacy-MVW contract sales reflected a 6 percent increase in the number of North America tours and a 1 percent increase in North America VPG to $3,777 in the first quarter of 2019 from $3,728 in the first quarter of 2018. The 6 percent increase in the number of North America tours was due to increases in both owner tours and first time buyer tours. In addition, the increase in the number of total tours reflected the continued ramp up of new sales locations as well as an increase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76"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in tours from existing sales locations. The increase in VPG resulted from a 0.5 percentage point increase in closing efficiency and higher pricing.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 sales</w:t>
            </w:r>
          </w:p>
        </w:tc>
        <w:tc>
          <w:tcPr>
            <w:tcW w:w="3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resales contract sales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joint venture contract sales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contract sales, net of resales</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Settlement revenue</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Resales revenue</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Reportability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reserve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2"/>
                <w:szCs w:val="22"/>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Previously included in Resort management and other services revenue prior to the adoption of ASC 606.</w:t>
      </w:r>
    </w:p>
    <w:p>
      <w:pPr>
        <w:spacing w:after="0" w:line="56" w:lineRule="exact"/>
        <w:rPr>
          <w:rFonts w:ascii="Times New Roman" w:cs="Times New Roman" w:eastAsia="Times New Roman" w:hAnsi="Times New Roman"/>
          <w:sz w:val="25"/>
          <w:szCs w:val="25"/>
          <w:color w:val="auto"/>
          <w:vertAlign w:val="superscript"/>
        </w:rPr>
      </w:pPr>
    </w:p>
    <w:p>
      <w:pPr>
        <w:ind w:left="660" w:right="40" w:hanging="652"/>
        <w:spacing w:after="0" w:line="208" w:lineRule="auto"/>
        <w:tabs>
          <w:tab w:leader="none" w:pos="66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 and other adjustments to Sale of vacation ownership products revenue.</w:t>
      </w:r>
    </w:p>
    <w:p>
      <w:pPr>
        <w:spacing w:after="0" w:line="20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the ILG Acquisition, sale of vacation ownership products increased $1 million, driven by the increase in contract sales. Revenue reportability had a negative impact in the first quarter of 2019 and the first quarter of 2018 due to an increase in unclosed contracts during the respective quarters.</w:t>
      </w:r>
    </w:p>
    <w:p>
      <w:pPr>
        <w:spacing w:after="0" w:line="6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higher Legacy-MVW sales reserve reflected a higher required reserve in the first quarter of 2019 due to the increase in financing propensity as compared to the first quarter of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Marketing and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Development margin</w:t>
            </w: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0.6 pts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Excluding the impact of the ILG Acquisition, development margin remained relatively flat year-over-year. The change in Legacy-MVW development margin reflected $8 million from higher vacation ownership contract sales volume net of the sales reserve and direct variable expenses (i.e., cost of vacation ownership products and marketing and sales), $2 million from favorable product cost true-up activity year-over-year, and $2 million from a favorable mix of inventory being sold, offset by a $12 million decline due to unfavorable revenue reportability compared to the first quarter of 2018.</w:t>
      </w:r>
    </w:p>
    <w:p>
      <w:pPr>
        <w:spacing w:after="0" w:line="7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development margin percentage reflected a positive 1.0 percentage point impact from the inclusion of Legacy-ILG results for the first quarter of 2019 and, from Legacy-MVW results, a 3.6 percentage point improvement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72" w:right="239" w:bottom="1440" w:gutter="0" w:footer="0" w:header="0"/>
        </w:sectPr>
      </w:pPr>
    </w:p>
    <w:bookmarkStart w:id="56" w:name="page57"/>
    <w:bookmarkEnd w:id="56"/>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marketing and sales costs due to leveraging fixed costs on the increase in contract sales, a 1.4 percentage point increase from favorable product cost true-up activity, and a 0.9 percentage point increase due to a favorable mix of higher cost vacation ownership real estate inventory being sold. These increases were partially offset by a 5.3 percentage point decline due to the unfavorable revenue reportability and a 1.0 percentage point decline related to sales reserve and other activity year-over-year. Legacy-MVW development margin percentage was 13.5 percent in the first quarter of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68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2019   March 31, 2018</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6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Management fee revenues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Ancillary revenues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management and exchange revenues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expenses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margin</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Rental revenues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Rental expenses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Rental margin</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Rental margin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Transient keys rented</w:t>
      </w:r>
      <w:r>
        <w:rPr>
          <w:rFonts w:ascii="Times New Roman" w:cs="Times New Roman" w:eastAsia="Times New Roman" w:hAnsi="Times New Roman"/>
          <w:sz w:val="21"/>
          <w:szCs w:val="21"/>
          <w:color w:val="auto"/>
          <w:vertAlign w:val="superscript"/>
        </w:rPr>
        <w:t>(1)</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transient key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Resort occupancy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5%</w:t>
            </w:r>
          </w:p>
        </w:tc>
      </w:tr>
      <w:tr>
        <w:trPr>
          <w:trHeight w:val="270"/>
        </w:trPr>
        <w:tc>
          <w:tcPr>
            <w:tcW w:w="2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8%</w:t>
            </w:r>
          </w:p>
        </w:tc>
      </w:tr>
      <w:tr>
        <w:trPr>
          <w:trHeight w:val="270"/>
        </w:trPr>
        <w:tc>
          <w:tcPr>
            <w:tcW w:w="2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 pts)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-882650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-530860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-170815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4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68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2019   March 31, 2018</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6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20955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5.4 pts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240" w:type="dxa"/>
            <w:vAlign w:val="bottom"/>
          </w:tcPr>
          <w:p>
            <w:pPr>
              <w:spacing w:after="0"/>
              <w:rPr>
                <w:sz w:val="24"/>
                <w:szCs w:val="24"/>
                <w:color w:val="auto"/>
              </w:rPr>
            </w:pPr>
          </w:p>
        </w:tc>
        <w:tc>
          <w:tcPr>
            <w:tcW w:w="2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60" w:type="dxa"/>
            <w:vAlign w:val="bottom"/>
          </w:tcPr>
          <w:p>
            <w:pPr>
              <w:spacing w:after="0"/>
              <w:rPr>
                <w:sz w:val="4"/>
                <w:szCs w:val="4"/>
                <w:color w:val="auto"/>
              </w:rPr>
            </w:pPr>
          </w:p>
        </w:tc>
        <w:tc>
          <w:tcPr>
            <w:tcW w:w="176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60" w:type="dxa"/>
            <w:vAlign w:val="bottom"/>
          </w:tcPr>
          <w:p>
            <w:pPr>
              <w:spacing w:after="0"/>
              <w:rPr>
                <w:sz w:val="18"/>
                <w:szCs w:val="18"/>
                <w:color w:val="auto"/>
              </w:rPr>
            </w:pPr>
          </w:p>
        </w:tc>
        <w:tc>
          <w:tcPr>
            <w:tcW w:w="176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33"/>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611,754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332,908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278,846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275,321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3,525</w:t>
            </w:r>
          </w:p>
        </w:tc>
        <w:tc>
          <w:tcPr>
            <w:tcW w:w="10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0"/>
        </w:trPr>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244.78</w:t>
            </w:r>
          </w:p>
        </w:tc>
        <w:tc>
          <w:tcPr>
            <w:tcW w:w="1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5.27</w:t>
            </w:r>
          </w:p>
        </w:tc>
        <w:tc>
          <w:tcPr>
            <w:tcW w:w="10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0.6 pts</w:t>
            </w: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(2.3 pts)</w:t>
            </w:r>
          </w:p>
        </w:tc>
        <w:tc>
          <w:tcPr>
            <w:tcW w:w="160" w:type="dxa"/>
            <w:vAlign w:val="bottom"/>
          </w:tcPr>
          <w:p>
            <w:pPr>
              <w:spacing w:after="0"/>
              <w:rPr>
                <w:sz w:val="23"/>
                <w:szCs w:val="23"/>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 pts</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-1388745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-505460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-153670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200" w:space="260"/>
            <w:col w:w="6960"/>
          </w:cols>
          <w:pgMar w:left="240" w:top="472" w:right="239" w:bottom="1440" w:gutter="0" w:footer="0" w:header="0"/>
          <w:type w:val="continuous"/>
        </w:sectPr>
      </w:pPr>
    </w:p>
    <w:p>
      <w:pPr>
        <w:ind w:left="5620" w:right="3940" w:hanging="5612"/>
        <w:spacing w:after="0" w:line="470" w:lineRule="auto"/>
        <w:tabs>
          <w:tab w:leader="none" w:pos="652"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Transient keys rented exclude those occupied through the use of plus points and preview stays. 55</w:t>
      </w:r>
    </w:p>
    <w:p>
      <w:pPr>
        <w:sectPr>
          <w:pgSz w:w="11900" w:h="16838" w:orient="portrait"/>
          <w:cols w:equalWidth="0" w:num="1">
            <w:col w:w="11420"/>
          </w:cols>
          <w:pgMar w:left="240" w:top="472" w:right="2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revenues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expenses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Financing margin</w:t>
            </w: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CCEEFF"/>
            </w:tcBorders>
          </w:tcPr>
          <w:p>
            <w:pPr>
              <w:jc w:val="center"/>
              <w:ind w:lef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propensity</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Legacy-MVW financing revenues increased due to a $169 million increase in the average gross vacation ownership notes receivable balance (nearly $6 million), partially offset by slightly higher financing program incentive costs (less than $1 million). The higher consumer financing interest expense was due to a higher average outstanding debt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Fee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Royalty fee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Excluding the impact of the ILG Acquisition, Legacy-MVW royalty fee expense increased $1 million in the first quarter of 2019 due to an increase in the dollar volume of closings and a decrease in the mix of sales of pre-owned inventory, which carry a lower royalty fee as compared to initial sales of our inventory (one percent versus two percent), and an increase in the fixed portion of the royalty fee. The prior year period benefited from a contractual decrease in the fixed portion of the royalty fee owed to Marriott International as a result of amendments to our licensing agreements with Marriott International entered into during the first quarter of 2018. This decrease in the fixed portion of the royalty fee was terminated upon completion of the ILG Acquisition on September 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240"/>
        </w:trPr>
        <w:tc>
          <w:tcPr>
            <w:tcW w:w="1160" w:type="dxa"/>
            <w:vAlign w:val="bottom"/>
          </w:tcPr>
          <w:p>
            <w:pPr>
              <w:spacing w:after="0"/>
              <w:rPr>
                <w:sz w:val="20"/>
                <w:szCs w:val="20"/>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gridSpan w:val="2"/>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00" w:type="dxa"/>
            <w:vAlign w:val="bottom"/>
          </w:tcPr>
          <w:p>
            <w:pPr>
              <w:spacing w:after="0"/>
              <w:rPr>
                <w:sz w:val="18"/>
                <w:szCs w:val="18"/>
                <w:color w:val="auto"/>
              </w:rPr>
            </w:pPr>
          </w:p>
        </w:tc>
        <w:tc>
          <w:tcPr>
            <w:tcW w:w="1400" w:type="dxa"/>
            <w:vAlign w:val="bottom"/>
            <w:gridSpan w:val="2"/>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240"/>
        </w:trPr>
        <w:tc>
          <w:tcPr>
            <w:tcW w:w="1160" w:type="dxa"/>
            <w:vAlign w:val="bottom"/>
          </w:tcPr>
          <w:p>
            <w:pPr>
              <w:spacing w:after="0"/>
              <w:rPr>
                <w:sz w:val="20"/>
                <w:szCs w:val="20"/>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1"/>
                <w:szCs w:val="21"/>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ILG Acquisition, we are performing a comprehensive review of our property and equipment to determine the best strategic direction with respect to these assets, for the combined company. These assets include undeveloped parcels, future phases of existing resorts, operating hotels and other non-core assets. A key focus of the comprehensive review is to evaluate opportunities to reduce holdings in markets where we have excess supply so that future inventory spend will be focused on markets that create incremental cost-effective sales locations in areas of high customer demand. The result of this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76"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 could have a material impact on the carrying value of certain assets, which, in turn, would result in non-cash impairments.</w:t>
      </w:r>
    </w:p>
    <w:p>
      <w:pPr>
        <w:spacing w:after="0" w:line="1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Subsequent to the end of the first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of $26 million in the first quarter of 2019. The impairment is primarily attributable to the fact that the book value of the assets to be sold exceeds the sales price because the book value includes allocations of common costs incurred when we built the infrastructure for the resort, including future phases.</w:t>
      </w:r>
    </w:p>
    <w:p>
      <w:pPr>
        <w:sectPr>
          <w:pgSz w:w="11900" w:h="16838" w:orient="portrait"/>
          <w:cols w:equalWidth="0" w:num="1">
            <w:col w:w="11420"/>
          </w:cols>
          <w:pgMar w:left="240" w:top="121" w:right="2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Reimbursements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 reimbursements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Other Income, net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Gains and 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17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18"/>
                <w:szCs w:val="18"/>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-162560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17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-162560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18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72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-162560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740" w:space="720"/>
            <w:col w:w="6960"/>
          </w:cols>
          <w:pgMar w:left="240" w:top="121" w:right="239" w:bottom="1440" w:gutter="0" w:footer="0" w:header="0"/>
          <w:type w:val="continuous"/>
        </w:sect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2019, we recorded $9 million of gains and other income, including $9 million of net insurance proceeds related to the settlement of Legacy-MVW business interruption insurance claims arising from the 2017 Hurricanes.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Aqua-Aston and Great Destinations. These brands were acquired as part of our acquisition of ILG on September 1, 2018 and, consequently, are only included in our results for the periods subsequent to that date.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2"/>
                <w:szCs w:val="22"/>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FINANCIAL RESULTS BEFORE NONCONTROLLING INTERESTS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revenues and expenses from the Consolidated Property Owners’ Associations.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2"/>
                <w:szCs w:val="22"/>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Losses and 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RESULTS BEFORE INCOME TAXES AND NONCONTROLLING INTERESTS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RESULTS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Property Owners’ Associations</w:t>
      </w:r>
    </w:p>
    <w:p>
      <w:pPr>
        <w:spacing w:after="0" w:line="12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impact of the Consolidated Property Owners’ Associations of the acquired Legacy-ILG vacation ownership properties under the voting interest model, which represents the portion related to individual or third-party VOI owners.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2"/>
                <w:szCs w:val="22"/>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RESULTS BEFORE INCOME TAXES AND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RESULTS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Excluding the impact of the ILG Acquisition, general and administrative expenses increased $4 million due to higher litigation costs as well as higher personnel related and other expenses. The higher personnel related and other expenses included annual merit, bonus and inflationary cost increases.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84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160" w:type="dxa"/>
            <w:vAlign w:val="bottom"/>
          </w:tcPr>
          <w:p>
            <w:pPr>
              <w:spacing w:after="0"/>
              <w:rPr>
                <w:sz w:val="20"/>
                <w:szCs w:val="20"/>
                <w:color w:val="auto"/>
              </w:rPr>
            </w:pPr>
          </w:p>
        </w:tc>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(4)</w:t>
            </w:r>
          </w:p>
        </w:tc>
        <w:tc>
          <w:tcPr>
            <w:tcW w:w="68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$30 million due to $26 million of interest expense associated with the new debt issued in the third quarter of 2018 in connection with the ILG Acquisition, $2 million of higher interest expense associated with the Warehouse Credit Facility due to higher usage in the first quarter of 2019 and $2 million of interest expense associated with assumed Legacy-ILG debt in the first quarter of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ILG Acquisition-Related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2019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9"/>
        </w:trPr>
        <w:tc>
          <w:tcPr>
            <w:tcW w:w="4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200" w:type="dxa"/>
            <w:vAlign w:val="bottom"/>
          </w:tcPr>
          <w:p>
            <w:pPr>
              <w:spacing w:after="0"/>
              <w:rPr>
                <w:sz w:val="22"/>
                <w:szCs w:val="22"/>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2"/>
        </w:trPr>
        <w:tc>
          <w:tcPr>
            <w:tcW w:w="44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income taxes was primarily due to the timing effects of tax reform and decreases in excess tax deductions related to the vesting and exercise of share-based awards.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76"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capital needs are supported by cash on hand ($222 million at the end of the first quarter of 2019),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March 31, 2019, we had $4.0 billion of total gross debt outstanding, which included $1.7 billion of non-recourse debt associated with vacation ownership notes receivable securitizations, $1.0 billion of Senior Notes, $1.0 billion on our Corporate Credit Facility, $230 million of Convertible Notes, a non-interest bearing note payable issued in connection with the acquisition of completed vacation ownership units on the Big Island of Hawaii for $31 million and financed lease obligations of $23 million.</w:t>
      </w:r>
    </w:p>
    <w:p>
      <w:pPr>
        <w:spacing w:after="0" w:line="7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At the end of the first quarter of 2019, we had $899 million of real estate inventory on hand, comprised of $862 million of finished goods and $37 million of work in progress. In addition, we had $53 million of completed vacation ownership units that have been classified as a component of Property and equipment until the time at which they are legally registered and held for sale as vacation ownership products.</w:t>
      </w:r>
    </w:p>
    <w:p>
      <w:pPr>
        <w:spacing w:after="0" w:line="6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 We are continuing to standardize our sales inventory acquisition policies across our portfolio of vacation ownership brands acquired as part of the ILG Acquisition.</w:t>
      </w:r>
    </w:p>
    <w:p>
      <w:pPr>
        <w:spacing w:after="0" w:line="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selectively pursuing growth opportunities in North America and Asia Pacific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Exchange &amp; Third-Party Management segment includes exchange networks, membership programs and third-party property management services that were acquired as part of the ILG Acquisition. These networks, programs and services generate revenue that is generally fee-based and derived from membership, exchange and rental transactions, property and association management and other related products and services.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cash, cash equivalents and restricted cash:</w:t>
      </w:r>
    </w:p>
    <w:p>
      <w:pPr>
        <w:spacing w:after="0" w:line="18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38735</wp:posOffset>
            </wp:positionV>
            <wp:extent cx="23837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40" w:type="dxa"/>
            <w:vAlign w:val="bottom"/>
          </w:tcPr>
          <w:p>
            <w:pPr>
              <w:spacing w:after="0"/>
              <w:rPr>
                <w:sz w:val="20"/>
                <w:szCs w:val="20"/>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provided by (used in):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change in exchange rates on cash, cash equivalents and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2019, we generated $28 million of cash flows from operating activities, compared to $23 million in the first quarter of 2018. Excluding the impact of changes in net income and adjustments for non-cash items, the change in cash flows from operations reflected higher collections due to an increasing portfolio of outstanding vacation ownership notes receivable, timing of collections of maintenance fees, management fees and exchange club dues, and lower inventory spending. These increases were partially offset by higher originations of vacation ownership notes receivable driven by higher contract sales, timing of maintenance fee payments on unsold inventory and higher payments related to employee benefits programs.</w:t>
      </w:r>
    </w:p>
    <w:p>
      <w:pPr>
        <w:spacing w:after="0" w:line="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addition to net income and adjustments for non-cash items, the following operating activities are key drivers of our cash flow from operating activities: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 Spending Less Than Cost of Sales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9"/>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40" w:type="dxa"/>
            <w:vAlign w:val="bottom"/>
          </w:tcPr>
          <w:p>
            <w:pPr>
              <w:spacing w:after="0"/>
              <w:rPr>
                <w:sz w:val="22"/>
                <w:szCs w:val="22"/>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spending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costs</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spending less than 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54" w:lineRule="exact"/>
        <w:rPr>
          <w:sz w:val="20"/>
          <w:szCs w:val="20"/>
          <w:color w:val="auto"/>
        </w:rPr>
      </w:pPr>
    </w:p>
    <w:p>
      <w:pPr>
        <w:ind w:right="40" w:firstLine="662"/>
        <w:spacing w:after="0" w:line="256" w:lineRule="auto"/>
        <w:rPr>
          <w:sz w:val="20"/>
          <w:szCs w:val="20"/>
          <w:color w:val="auto"/>
        </w:rPr>
      </w:pPr>
      <w:r>
        <w:rPr>
          <w:rFonts w:ascii="Times New Roman" w:cs="Times New Roman" w:eastAsia="Times New Roman" w:hAnsi="Times New Roman"/>
          <w:sz w:val="18"/>
          <w:szCs w:val="18"/>
          <w:color w:val="auto"/>
        </w:rPr>
        <w:t>Given the significant level of completed real estate inventory on hand, as well as the capital efficiency resulting from our points programs and capital efficient transactions, our spending for real estate inventory remained below the amount of real estate inventory costs in both the first quarter of 2019 and the first quarter of 2018. We expect our 2019 full year inventory spending to be lower than our inventory costs, even including payments to satisfy our remaining commitments to purchase vacation ownership units. We entered into these commitments in prior periods as part of our capital efficiency strategy to limit our up-front capital investment and purchase finished inventory closer to the time it is needed for sale. See Footnote 11 “Contingencies and Commitments” to our Financial Statements for additional information regarding our remaining commitments.</w:t>
      </w:r>
    </w:p>
    <w:p>
      <w:pPr>
        <w:spacing w:after="0" w:line="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inventory spending was less than inventory costs in the first quarter of 2018, even including payments to satisfy a portion of our then remaining commitment to purchase vacation ownership units located at our resort in Marco Island, Florida. During the first quarter of 2018, inventory spending included $24 million for the acquisition of 20 completed vacation ownership units at our resort in Marco Island, Florida, as well as a deposit of $2 million for the purchase of completed vacation ownership units located in Bali, Indonesia.</w:t>
      </w:r>
    </w:p>
    <w:p>
      <w:pPr>
        <w:spacing w:after="0" w:line="7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78" w:right="2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i w:val="1"/>
          <w:iCs w:val="1"/>
          <w:color w:val="auto"/>
        </w:rPr>
        <w:t>Vacation Ownership Notes Receivable Collections Less Than Originations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9"/>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40" w:type="dxa"/>
            <w:vAlign w:val="bottom"/>
          </w:tcPr>
          <w:p>
            <w:pPr>
              <w:spacing w:after="0"/>
              <w:rPr>
                <w:sz w:val="22"/>
                <w:szCs w:val="22"/>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collections — non-securitized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collections — securitized</w:t>
            </w: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collections less than originations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Vacation ownership notes receivable collections include principal from non-securitized and securitized vacation ownership notes receivable. Vacation ownership notes receivable collections increased during the first quarter of 2019, as compared to the first quarter of 2018, due to an increase in the portfolio of outstanding vacation ownership notes receivable, including vacation ownership notes receivable acquired as part of the ILG acquisition. Vacation ownership notes receivable originations in the first quarter of 2019 increased due to higher vacation ownership contract sales subsequent to the ILG Acquisition. Financing propensity was stable at 62 percent for the first quarter of 2019 and for the first quarter of 2018.</w:t>
      </w:r>
    </w:p>
    <w:p>
      <w:pPr>
        <w:sectPr>
          <w:pgSz w:w="11900" w:h="16838" w:orient="portrait"/>
          <w:cols w:equalWidth="0" w:num="1">
            <w:col w:w="11420"/>
          </w:cols>
          <w:pgMar w:left="240" w:top="578" w:right="2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from collection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 of company owned life insurance</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 investing activities</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 for Property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2383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40" w:type="dxa"/>
            <w:vAlign w:val="bottom"/>
          </w:tcPr>
          <w:p>
            <w:pPr>
              <w:spacing w:after="0"/>
              <w:rPr>
                <w:sz w:val="18"/>
                <w:szCs w:val="18"/>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33"/>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6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21" w:lineRule="exact"/>
        <w:rPr>
          <w:sz w:val="20"/>
          <w:szCs w:val="20"/>
          <w:color w:val="auto"/>
        </w:rPr>
      </w:pPr>
    </w:p>
    <w:p>
      <w:pPr>
        <w:sectPr>
          <w:pgSz w:w="11900" w:h="16838" w:orient="portrait"/>
          <w:cols w:equalWidth="0" w:num="2">
            <w:col w:w="6940" w:space="720"/>
            <w:col w:w="3760"/>
          </w:cols>
          <w:pgMar w:left="240" w:top="578" w:right="239" w:bottom="1440" w:gutter="0" w:footer="0" w:header="0"/>
          <w:type w:val="continuous"/>
        </w:sect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6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2019, capital expenditures for property and equipment of $10 million included $4 million to support business operations (including $1 million for ancillary and other operations assets and $3 million for sales locations) and $6 million for technology spending.</w:t>
      </w:r>
    </w:p>
    <w:p>
      <w:pPr>
        <w:spacing w:after="0" w:line="5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2018, capital expenditures for property and equipment of $3 million included $2 million to support business operations (including $1 million for ancillary and other operations assets and $1 million for sales locations) and $1 million for technology spending.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Proceeds from Collection of Notes Receivable</w:t>
      </w:r>
    </w:p>
    <w:p>
      <w:pPr>
        <w:spacing w:after="0" w:line="11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we collected $23 million of notes receivable related to the disposition of our interest in VRI Europe in the fourth quarter of 2018. In addition, we collected a $15 million note receivable acquired in the ILG Acquisition.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of Company Owned Life Insurance</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During the first quarter of 2019, we paid $1 million to acquire these policies as compared to $9 million during the first quarter of 2018.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78" w:right="2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9"/>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40" w:type="dxa"/>
            <w:vAlign w:val="bottom"/>
          </w:tcPr>
          <w:p>
            <w:pPr>
              <w:spacing w:after="0"/>
              <w:rPr>
                <w:sz w:val="22"/>
                <w:szCs w:val="22"/>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31, 2018</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debt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debt</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cash equivalents and restricted cash used in financing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Borrowings from / Repayment of Debt Related to Securitization Transactions</w:t>
      </w:r>
    </w:p>
    <w:p>
      <w:pPr>
        <w:spacing w:after="0" w:line="11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2019, $132 million of gross vacation ownership notes receivable were eligible for securitization.</w:t>
      </w:r>
    </w:p>
    <w:p>
      <w:pPr>
        <w:spacing w:after="0" w:line="11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2019, we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 There was $235 million outstanding under our Warehouse Credit Facility as of March 31, 2019. See Footnote 13 “Securitized Debt” to our Financial Statements for additional information regarding our Warehouse Credit Facility.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Borrowings from / Repayment of Corporate Credit Facility</w:t>
      </w:r>
    </w:p>
    <w:p>
      <w:pPr>
        <w:spacing w:after="0" w:line="1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2019, we borrowed $125 million under our Revolving Corporate Credit Facility to facilitate the funding of our short-term working capital needs, $50 million of which has been repaid, and had $75 million outstanding as of March 31, 2019. Subsequent to the end of the first quarter of 2019, we borrowed an additional $65 million under our Revolving Corporate Credit Facility to facilitate the funding of our short-term working capital needs, of which $20 million has been repaid. During the first quarter of 2019, we also repaid $2 million of the amount outstanding under the Term Loan, which is part of our Corporate Credit Facility. See Footnote 14 “Debt” to our Financial Statements for additional information regarding our Corporate Credit Facility that includes our Revolving Corporate Credit Facility and the Term Loan.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had no debt issuance costs during the first quarter of 2019, and during the first quarter of 2018, we incurred $1 million of debt issuance costs associated with the amendment and extension of our Warehouse Credit Facility.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 of Shares</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r>
      <w:tr>
        <w:trPr>
          <w:trHeight w:val="240"/>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4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2018</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11,687,774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67.85</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the first quarter of 2019</w:t>
            </w: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1,230,268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86.32</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March 31, 2019</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12,918,042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69.61</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460"/>
        <w:spacing w:after="0" w:line="564" w:lineRule="auto"/>
        <w:rPr>
          <w:sz w:val="20"/>
          <w:szCs w:val="20"/>
          <w:color w:val="auto"/>
        </w:rPr>
      </w:pPr>
      <w:r>
        <w:rPr>
          <w:rFonts w:ascii="Times New Roman" w:cs="Times New Roman" w:eastAsia="Times New Roman" w:hAnsi="Times New Roman"/>
          <w:sz w:val="18"/>
          <w:szCs w:val="18"/>
          <w:color w:val="auto"/>
        </w:rPr>
        <w:t>See Footnote 15 “Shareholders' Equity” to our Financial Statements for further information related to our share repurchase program. 64</w:t>
      </w:r>
    </w:p>
    <w:p>
      <w:pPr>
        <w:sectPr>
          <w:pgSz w:w="11900" w:h="16838" w:orient="portrait"/>
          <w:cols w:equalWidth="0" w:num="1">
            <w:col w:w="11420"/>
          </w:cols>
          <w:pgMar w:left="240" w:top="578" w:right="2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distributed cash dividends to holders of common stock during the first quarter of 2019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Shareholder Record Date</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6, 2018</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20, 2018</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3, 2019</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$0.45</w:t>
            </w:r>
          </w:p>
        </w:tc>
      </w:tr>
      <w:tr>
        <w:trPr>
          <w:trHeight w:val="243"/>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2019</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14, 2019</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$0.45</w:t>
            </w:r>
          </w:p>
        </w:tc>
      </w:tr>
    </w:tbl>
    <w:p>
      <w:pPr>
        <w:spacing w:after="0" w:line="11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Off-Balance Sheet Arrangements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Remainder</w:t>
            </w:r>
          </w:p>
        </w:tc>
        <w:tc>
          <w:tcPr>
            <w:tcW w:w="18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8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of 2019</w:t>
            </w:r>
          </w:p>
        </w:tc>
        <w:tc>
          <w:tcPr>
            <w:tcW w:w="180" w:type="dxa"/>
            <w:vAlign w:val="bottom"/>
          </w:tcPr>
          <w:p>
            <w:pPr>
              <w:spacing w:after="0"/>
              <w:rPr>
                <w:sz w:val="20"/>
                <w:szCs w:val="20"/>
                <w:color w:val="auto"/>
              </w:rPr>
            </w:pPr>
          </w:p>
        </w:tc>
        <w:tc>
          <w:tcPr>
            <w:tcW w:w="10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2020 - 2021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2022 - 2023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18"/>
                <w:szCs w:val="18"/>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58"/>
        </w:trPr>
        <w:tc>
          <w:tcPr>
            <w:tcW w:w="1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shd w:val="clear" w:color="auto" w:fill="CCEEFF"/>
              </w:rPr>
              <w:t>Purchase obligations</w:t>
            </w:r>
          </w:p>
        </w:tc>
        <w:tc>
          <w:tcPr>
            <w:tcW w:w="2920" w:type="dxa"/>
            <w:vAlign w:val="bottom"/>
            <w:tcBorders>
              <w:bottom w:val="single" w:sz="8" w:color="CCEEFF"/>
            </w:tcBorders>
            <w:shd w:val="clear" w:color="auto" w:fill="CCEEFF"/>
          </w:tcPr>
          <w:p>
            <w:pPr>
              <w:jc w:val="right"/>
              <w:ind w:right="2775"/>
              <w:spacing w:after="0"/>
              <w:rPr>
                <w:sz w:val="20"/>
                <w:szCs w:val="20"/>
                <w:color w:val="auto"/>
              </w:rPr>
            </w:pPr>
            <w:r>
              <w:rPr>
                <w:rFonts w:ascii="Times New Roman" w:cs="Times New Roman" w:eastAsia="Times New Roman" w:hAnsi="Times New Roman"/>
                <w:sz w:val="9"/>
                <w:szCs w:val="9"/>
                <w:color w:val="auto"/>
                <w:w w:val="75"/>
              </w:rPr>
              <w:t>(2)</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18"/>
                <w:szCs w:val="18"/>
                <w:color w:val="auto"/>
                <w:vertAlign w:val="superscript"/>
              </w:rPr>
              <w:t>(3)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Other long-term obligations</w:t>
            </w:r>
            <w:r>
              <w:rPr>
                <w:rFonts w:ascii="Times New Roman" w:cs="Times New Roman" w:eastAsia="Times New Roman" w:hAnsi="Times New Roman"/>
                <w:sz w:val="18"/>
                <w:szCs w:val="18"/>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principal as well as interest payments and excludes unamortized debt discount and issuance costs.</w:t>
      </w:r>
    </w:p>
    <w:p>
      <w:pPr>
        <w:spacing w:after="0" w:line="56" w:lineRule="exact"/>
        <w:rPr>
          <w:rFonts w:ascii="Times New Roman" w:cs="Times New Roman" w:eastAsia="Times New Roman" w:hAnsi="Times New Roman"/>
          <w:sz w:val="25"/>
          <w:szCs w:val="25"/>
          <w:color w:val="auto"/>
          <w:vertAlign w:val="superscript"/>
        </w:rPr>
      </w:pPr>
    </w:p>
    <w:p>
      <w:pPr>
        <w:ind w:left="660" w:right="540" w:hanging="652"/>
        <w:spacing w:after="0" w:line="221" w:lineRule="auto"/>
        <w:tabs>
          <w:tab w:leader="none" w:pos="66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interest.</w:t>
      </w:r>
    </w:p>
    <w:p>
      <w:pPr>
        <w:spacing w:after="0" w:line="56" w:lineRule="exact"/>
        <w:rPr>
          <w:rFonts w:ascii="Times New Roman" w:cs="Times New Roman" w:eastAsia="Times New Roman" w:hAnsi="Times New Roman"/>
          <w:sz w:val="25"/>
          <w:szCs w:val="25"/>
          <w:color w:val="auto"/>
          <w:vertAlign w:val="superscript"/>
        </w:rPr>
      </w:pPr>
    </w:p>
    <w:p>
      <w:pPr>
        <w:ind w:left="660" w:right="80" w:hanging="652"/>
        <w:spacing w:after="0" w:line="208" w:lineRule="auto"/>
        <w:tabs>
          <w:tab w:leader="none" w:pos="66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relates to future guaranteed purchases of rental inventory, operational support services, marketing related benefits, membership fulfillment benefits and other commitments.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our adoption of Accounting Standards Update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 amended, which is discussed in Footnote 2 “Significant Accounting Policies and Recent Accounting Standards” and Footnote 12 “Leases” to our interim consolidated financial statements presented in Part 1, Item 1 of this Quarterly Report on 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78" w:right="239" w:bottom="1440" w:gutter="0" w:footer="0" w:header="0"/>
        </w:sectPr>
      </w:pPr>
    </w:p>
    <w:bookmarkStart w:id="67" w:name="page68"/>
    <w:bookmarkEnd w:id="6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from that disclosed in Part I, Item 7A of our Annual Report on Form 10-K for the year ended December 31, 2018.</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We made no changes in our internal control over financial reporting during the period covered by this Quarterly Report on Form 10-Q that have materially affected, or are reasonably likely to materially affect, our internal control over financial reporting other than changes in control over financial reporting to integrate the business we acquired in the ILG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of our Annual Report on Form 10-K for the fiscal year ended December 31, 2018.</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576" w:right="259" w:bottom="1440" w:gutter="0" w:footer="0" w:header="0"/>
        </w:sectPr>
      </w:pPr>
    </w:p>
    <w:bookmarkStart w:id="68" w:name="page69"/>
    <w:bookmarkEnd w:id="6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45"/>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Programs</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2019 – January 31, 2019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654,148</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654,148</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2,558,078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 2019 – February 28, 2019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307,000</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307,000</w:t>
            </w:r>
          </w:p>
        </w:tc>
        <w:tc>
          <w:tcPr>
            <w:tcW w:w="2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2,251,078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2019 – March 31, 2019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269,120</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269,120</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1,981,958</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1,230,268</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1,230,268</w:t>
            </w:r>
          </w:p>
        </w:tc>
        <w:tc>
          <w:tcPr>
            <w:tcW w:w="2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1,981,958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20" w:hanging="652"/>
        <w:spacing w:after="0" w:line="233" w:lineRule="auto"/>
        <w:tabs>
          <w:tab w:leader="none" w:pos="66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December 6, 2018, our Board of Directors authorized the extension of the duration of our existing share repurchase program to March 31, 2019, as well as the repurchase of up to 3.0 million additional shares of our common stock through December 31, 2019. As of March 31, 2019, our Board of Directors had authorized the repurchase of an aggregate of up to 14.9 million shares of our common stock under the share repurchase program since the initiation of the program in October 2013.</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documents referenced below are being filed as a part of this Quarterly Report on Form 10-Q, unless otherwise noted.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Filed</w:t>
            </w:r>
          </w:p>
        </w:tc>
        <w:tc>
          <w:tcPr>
            <w:tcW w:w="31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040" w:type="dxa"/>
            <w:vAlign w:val="bottom"/>
            <w:gridSpan w:val="2"/>
            <w:vMerge w:val="continue"/>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6160" w:type="dxa"/>
            <w:vAlign w:val="bottom"/>
            <w:gridSpan w:val="2"/>
          </w:tcPr>
          <w:p>
            <w:pPr>
              <w:ind w:left="26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16"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39">
        <w:r>
          <w:rPr>
            <w:rFonts w:ascii="Times New Roman" w:cs="Times New Roman" w:eastAsia="Times New Roman" w:hAnsi="Times New Roman"/>
            <w:sz w:val="18"/>
            <w:szCs w:val="18"/>
            <w:u w:val="single" w:color="auto"/>
            <w:color w:val="0000FF"/>
          </w:rPr>
          <w:t>2.1</w:t>
        </w:r>
      </w:hyperlink>
    </w:p>
    <w:p>
      <w:pPr>
        <w:spacing w:after="0" w:line="200" w:lineRule="exact"/>
        <w:rPr>
          <w:sz w:val="20"/>
          <w:szCs w:val="20"/>
          <w:color w:val="auto"/>
        </w:rPr>
      </w:pPr>
    </w:p>
    <w:p>
      <w:pPr>
        <w:spacing w:after="0" w:line="349"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0">
        <w:r>
          <w:rPr>
            <w:rFonts w:ascii="Times New Roman" w:cs="Times New Roman" w:eastAsia="Times New Roman" w:hAnsi="Times New Roman"/>
            <w:sz w:val="18"/>
            <w:szCs w:val="18"/>
            <w:u w:val="single" w:color="auto"/>
            <w:color w:val="0000FF"/>
          </w:rPr>
          <w:t>3.1</w:t>
        </w:r>
      </w:hyperlink>
    </w:p>
    <w:p>
      <w:pPr>
        <w:spacing w:after="0" w:line="279"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3.2</w:t>
        </w:r>
      </w:hyperlink>
    </w:p>
    <w:p>
      <w:pPr>
        <w:spacing w:after="0" w:line="279"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4.1</w:t>
        </w:r>
      </w:hyperlink>
    </w:p>
    <w:p>
      <w:pPr>
        <w:spacing w:after="0" w:line="387"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4.2</w:t>
        </w:r>
      </w:hyperlink>
    </w:p>
    <w:p>
      <w:pPr>
        <w:spacing w:after="0" w:line="387"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4.5</w:t>
        </w:r>
      </w:hyperlink>
    </w:p>
    <w:p>
      <w:pPr>
        <w:spacing w:after="0" w:line="200" w:lineRule="exact"/>
        <w:rPr>
          <w:sz w:val="20"/>
          <w:szCs w:val="20"/>
          <w:color w:val="auto"/>
        </w:rPr>
      </w:pPr>
    </w:p>
    <w:p>
      <w:pPr>
        <w:spacing w:after="0" w:line="241"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4.6</w:t>
        </w:r>
      </w:hyperlink>
    </w:p>
    <w:p>
      <w:pPr>
        <w:spacing w:after="0" w:line="200" w:lineRule="exact"/>
        <w:rPr>
          <w:sz w:val="20"/>
          <w:szCs w:val="20"/>
          <w:color w:val="auto"/>
        </w:rPr>
      </w:pPr>
    </w:p>
    <w:p>
      <w:pPr>
        <w:spacing w:after="0" w:line="295"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4.7</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4.8</w:t>
        </w:r>
      </w:hyperlink>
    </w:p>
    <w:p>
      <w:pPr>
        <w:spacing w:after="0" w:line="20" w:lineRule="exact"/>
        <w:rPr>
          <w:sz w:val="20"/>
          <w:szCs w:val="20"/>
          <w:color w:val="auto"/>
        </w:rPr>
      </w:pPr>
      <w:r>
        <w:rPr>
          <w:sz w:val="20"/>
          <w:szCs w:val="20"/>
          <w:color w:val="auto"/>
        </w:rPr>
        <w:br w:type="column"/>
      </w:r>
    </w:p>
    <w:p>
      <w:pPr>
        <w:ind w:right="720"/>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April 30, 2018, by and among Marriott Vacations Worldwide Corporation, ILG, Inc., Ignite Holdco, Inc., Ignite Holdco Subsidiary, Inc., Volt Merger Sub, Inc., and Volt Merger Sub LLC*</w:t>
      </w:r>
    </w:p>
    <w:p>
      <w:pPr>
        <w:spacing w:after="0" w:line="176" w:lineRule="exact"/>
        <w:rPr>
          <w:sz w:val="20"/>
          <w:szCs w:val="20"/>
          <w:color w:val="auto"/>
        </w:rPr>
      </w:pPr>
    </w:p>
    <w:p>
      <w:pPr>
        <w:ind w:right="1600"/>
        <w:spacing w:after="0" w:line="282" w:lineRule="auto"/>
        <w:rPr>
          <w:sz w:val="20"/>
          <w:szCs w:val="20"/>
          <w:color w:val="auto"/>
        </w:rPr>
      </w:pPr>
      <w:r>
        <w:rPr>
          <w:rFonts w:ascii="Times New Roman" w:cs="Times New Roman" w:eastAsia="Times New Roman" w:hAnsi="Times New Roman"/>
          <w:sz w:val="18"/>
          <w:szCs w:val="18"/>
          <w:color w:val="auto"/>
        </w:rPr>
        <w:t>Restated Certificate of Incorporation of Marriott Vacations Worldwide Corporation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Bylaws of Marriott Vacations Worldwide Corporation</w:t>
      </w:r>
    </w:p>
    <w:p>
      <w:pPr>
        <w:spacing w:after="0" w:line="171"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Form of certificate representing shares of common stock, par value $0.01 per share, of Marriott Vacations Worldwide Corporation</w:t>
      </w:r>
    </w:p>
    <w:p>
      <w:pPr>
        <w:spacing w:after="0" w:line="108" w:lineRule="exact"/>
        <w:rPr>
          <w:sz w:val="20"/>
          <w:szCs w:val="20"/>
          <w:color w:val="auto"/>
        </w:rPr>
      </w:pPr>
    </w:p>
    <w:p>
      <w:pPr>
        <w:ind w:right="940"/>
        <w:spacing w:after="0" w:line="313" w:lineRule="auto"/>
        <w:rPr>
          <w:sz w:val="20"/>
          <w:szCs w:val="20"/>
          <w:color w:val="auto"/>
        </w:rPr>
      </w:pPr>
      <w:r>
        <w:rPr>
          <w:rFonts w:ascii="Times New Roman" w:cs="Times New Roman" w:eastAsia="Times New Roman" w:hAnsi="Times New Roman"/>
          <w:sz w:val="17"/>
          <w:szCs w:val="17"/>
          <w:color w:val="auto"/>
        </w:rPr>
        <w:t>Indenture between Marriott Vacations Worldwide Corporation and The Bank of New York Mellon Trust Company, N.A., as trustee, dated September 25, 2017</w:t>
      </w:r>
    </w:p>
    <w:p>
      <w:pPr>
        <w:spacing w:after="0" w:line="84"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Form of 1.50% Convertible Senior Note due 2022 (included as Exhibit A to Exhibit 4.2 above)</w:t>
      </w:r>
    </w:p>
    <w:p>
      <w:pPr>
        <w:spacing w:after="0" w:line="108"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26" w:lineRule="exact"/>
        <w:rPr>
          <w:sz w:val="20"/>
          <w:szCs w:val="20"/>
          <w:color w:val="auto"/>
        </w:rPr>
      </w:pPr>
    </w:p>
    <w:p>
      <w:pPr>
        <w:ind w:right="840"/>
        <w:spacing w:after="0" w:line="266" w:lineRule="auto"/>
        <w:rPr>
          <w:sz w:val="20"/>
          <w:szCs w:val="20"/>
          <w:color w:val="auto"/>
        </w:rPr>
      </w:pPr>
      <w:r>
        <w:rPr>
          <w:rFonts w:ascii="Times New Roman" w:cs="Times New Roman" w:eastAsia="Times New Roman" w:hAnsi="Times New Roman"/>
          <w:sz w:val="18"/>
          <w:szCs w:val="18"/>
          <w:color w:val="auto"/>
        </w:rPr>
        <w:t>Supplemental Indenture, dated September 1, 2018, by and among Marriott Ownership Resorts, Inc., ILG, LLC, the guarantors party thereto and the Bank of New York Mellon Trust Company, N.A., as trustee</w:t>
      </w:r>
    </w:p>
    <w:p>
      <w:pPr>
        <w:spacing w:after="0" w:line="68" w:lineRule="exact"/>
        <w:rPr>
          <w:sz w:val="20"/>
          <w:szCs w:val="20"/>
          <w:color w:val="auto"/>
        </w:rPr>
      </w:pPr>
    </w:p>
    <w:p>
      <w:pPr>
        <w:ind w:right="1160"/>
        <w:spacing w:after="0" w:line="281" w:lineRule="auto"/>
        <w:rPr>
          <w:sz w:val="20"/>
          <w:szCs w:val="20"/>
          <w:color w:val="auto"/>
        </w:rPr>
      </w:pPr>
      <w:r>
        <w:rPr>
          <w:rFonts w:ascii="Times New Roman" w:cs="Times New Roman" w:eastAsia="Times New Roman" w:hAnsi="Times New Roman"/>
          <w:sz w:val="18"/>
          <w:szCs w:val="18"/>
          <w:color w:val="auto"/>
        </w:rPr>
        <w:t>Form of 6.500% Senior Note due 2026 (included as Exhibit A to Exhibit 4.4 above)</w:t>
      </w:r>
    </w:p>
    <w:p>
      <w:pPr>
        <w:spacing w:after="0" w:line="2" w:lineRule="exact"/>
        <w:rPr>
          <w:sz w:val="20"/>
          <w:szCs w:val="20"/>
          <w:color w:val="auto"/>
        </w:rPr>
      </w:pPr>
    </w:p>
    <w:p>
      <w:pPr>
        <w:ind w:right="840"/>
        <w:spacing w:after="0" w:line="261" w:lineRule="auto"/>
        <w:rPr>
          <w:sz w:val="20"/>
          <w:szCs w:val="20"/>
          <w:color w:val="auto"/>
        </w:rPr>
      </w:pPr>
      <w:r>
        <w:rPr>
          <w:rFonts w:ascii="Times New Roman" w:cs="Times New Roman" w:eastAsia="Times New Roman" w:hAnsi="Times New Roman"/>
          <w:sz w:val="18"/>
          <w:szCs w:val="18"/>
          <w:color w:val="auto"/>
        </w:rPr>
        <w:t>Registration Rights Agreement, dated as of August 23, 2018, by and among Marriott Ownership Resorts, Inc., Marriott Vacations Worldwide Corporation, as guarantor, the other guarantors party thereto and Merrill Lynch, Pierce, Fenner &amp; Smith Incorporated</w:t>
      </w:r>
    </w:p>
    <w:p>
      <w:pPr>
        <w:spacing w:after="0" w:line="18"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5/1/2018</w:t>
            </w:r>
          </w:p>
        </w:tc>
      </w:tr>
      <w:tr>
        <w:trPr>
          <w:trHeight w:val="756"/>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11/22/2011</w:t>
            </w:r>
          </w:p>
        </w:tc>
      </w:tr>
      <w:tr>
        <w:trPr>
          <w:trHeight w:val="486"/>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11/22/2011</w:t>
            </w:r>
          </w:p>
        </w:tc>
      </w:tr>
      <w:tr>
        <w:trPr>
          <w:trHeight w:val="486"/>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10/14/2011</w:t>
            </w:r>
          </w:p>
        </w:tc>
      </w:tr>
      <w:tr>
        <w:trPr>
          <w:trHeight w:val="594"/>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11/2/2017</w:t>
            </w:r>
          </w:p>
        </w:tc>
      </w:tr>
      <w:tr>
        <w:trPr>
          <w:trHeight w:val="594"/>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11/2/2017</w:t>
            </w:r>
          </w:p>
        </w:tc>
      </w:tr>
      <w:tr>
        <w:trPr>
          <w:trHeight w:val="810"/>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8/23/2018</w:t>
            </w:r>
          </w:p>
        </w:tc>
      </w:tr>
      <w:tr>
        <w:trPr>
          <w:trHeight w:val="918"/>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648"/>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8/23/2018</w:t>
            </w:r>
          </w:p>
        </w:tc>
      </w:tr>
      <w:tr>
        <w:trPr>
          <w:trHeight w:val="70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8/23/2018</w:t>
            </w:r>
          </w:p>
        </w:tc>
      </w:tr>
      <w:tr>
        <w:trPr>
          <w:trHeight w:val="810"/>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9/5/2018</w:t>
            </w:r>
          </w:p>
        </w:tc>
      </w:tr>
    </w:tbl>
    <w:p>
      <w:pPr>
        <w:spacing w:after="0" w:line="437" w:lineRule="exact"/>
        <w:rPr>
          <w:sz w:val="20"/>
          <w:szCs w:val="20"/>
          <w:color w:val="auto"/>
        </w:rPr>
      </w:pPr>
    </w:p>
    <w:p>
      <w:pPr>
        <w:sectPr>
          <w:pgSz w:w="11900" w:h="16838" w:orient="portrait"/>
          <w:cols w:equalWidth="0" w:num="3">
            <w:col w:w="620" w:space="480"/>
            <w:col w:w="6680" w:space="720"/>
            <w:col w:w="2920"/>
          </w:cols>
          <w:pgMar w:left="240" w:top="576"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76" w:right="239" w:bottom="1440" w:gutter="0" w:footer="0" w:header="0"/>
          <w:type w:val="continuous"/>
        </w:sectPr>
      </w:pPr>
    </w:p>
    <w:bookmarkStart w:id="69" w:name="page70"/>
    <w:bookmarkEnd w:id="69"/>
    <w:tbl>
      <w:tblPr>
        <w:tblLayout w:type="fixed"/>
        <w:tblInd w:w="60" w:type="dxa"/>
        <w:tblCellMar>
          <w:top w:w="0" w:type="dxa"/>
          <w:left w:w="0" w:type="dxa"/>
          <w:bottom w:w="0" w:type="dxa"/>
          <w:right w:w="0" w:type="dxa"/>
        </w:tblCellMar>
      </w:tblPr>
      <w:tr>
        <w:trPr>
          <w:trHeight w:val="212"/>
        </w:trPr>
        <w:tc>
          <w:tcPr>
            <w:tcW w:w="2020" w:type="dxa"/>
            <w:vAlign w:val="bottom"/>
            <w:vMerge w:val="restart"/>
          </w:tcPr>
          <w:p>
            <w:pPr>
              <w:jc w:val="center"/>
              <w:ind w:right="1379"/>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680" w:type="dxa"/>
            <w:vAlign w:val="bottom"/>
          </w:tcPr>
          <w:p>
            <w:pPr>
              <w:spacing w:after="0"/>
              <w:rPr>
                <w:sz w:val="18"/>
                <w:szCs w:val="18"/>
                <w:color w:val="auto"/>
              </w:rPr>
            </w:pPr>
          </w:p>
        </w:tc>
        <w:tc>
          <w:tcPr>
            <w:tcW w:w="2320" w:type="dxa"/>
            <w:vAlign w:val="bottom"/>
            <w:vMerge w:val="restart"/>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Filed</w:t>
            </w:r>
          </w:p>
        </w:tc>
        <w:tc>
          <w:tcPr>
            <w:tcW w:w="31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020" w:type="dxa"/>
            <w:vAlign w:val="bottom"/>
            <w:vMerge w:val="continue"/>
          </w:tcPr>
          <w:p>
            <w:pPr>
              <w:spacing w:after="0"/>
              <w:rPr>
                <w:sz w:val="2"/>
                <w:szCs w:val="2"/>
                <w:color w:val="auto"/>
              </w:rPr>
            </w:pPr>
          </w:p>
        </w:tc>
        <w:tc>
          <w:tcPr>
            <w:tcW w:w="3680" w:type="dxa"/>
            <w:vAlign w:val="bottom"/>
          </w:tcPr>
          <w:p>
            <w:pPr>
              <w:spacing w:after="0"/>
              <w:rPr>
                <w:sz w:val="2"/>
                <w:szCs w:val="2"/>
                <w:color w:val="auto"/>
              </w:rPr>
            </w:pPr>
          </w:p>
        </w:tc>
        <w:tc>
          <w:tcPr>
            <w:tcW w:w="2320" w:type="dxa"/>
            <w:vAlign w:val="bottom"/>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20" w:type="dxa"/>
            <w:vAlign w:val="bottom"/>
          </w:tcPr>
          <w:p>
            <w:pPr>
              <w:jc w:val="center"/>
              <w:ind w:right="1379"/>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68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32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9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20955</wp:posOffset>
            </wp:positionV>
            <wp:extent cx="7203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400" w:top="542" w:right="25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Indenture, dated as of September 4, 2018, by and among Marriott Ownership</w:t>
            </w:r>
          </w:p>
        </w:tc>
        <w:tc>
          <w:tcPr>
            <w:tcW w:w="0" w:type="dxa"/>
            <w:vAlign w:val="bottom"/>
          </w:tcPr>
          <w:p>
            <w:pPr>
              <w:spacing w:after="0"/>
              <w:rPr>
                <w:sz w:val="1"/>
                <w:szCs w:val="1"/>
                <w:color w:val="auto"/>
              </w:rPr>
            </w:pPr>
          </w:p>
        </w:tc>
      </w:tr>
      <w:tr>
        <w:trPr>
          <w:trHeight w:val="216"/>
        </w:trPr>
        <w:tc>
          <w:tcPr>
            <w:tcW w:w="500" w:type="dxa"/>
            <w:vAlign w:val="bottom"/>
            <w:gridSpan w:val="4"/>
            <w:vMerge w:val="restart"/>
          </w:tcPr>
          <w:p>
            <w:pPr>
              <w:jc w:val="center"/>
              <w:ind w:left="9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3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Resorts, Inc., ILG, LLC, Marriott Vacations Worldwide Corporation, as guarantor,</w:t>
            </w:r>
          </w:p>
        </w:tc>
        <w:tc>
          <w:tcPr>
            <w:tcW w:w="0" w:type="dxa"/>
            <w:vAlign w:val="bottom"/>
          </w:tcPr>
          <w:p>
            <w:pPr>
              <w:spacing w:after="0"/>
              <w:rPr>
                <w:sz w:val="1"/>
                <w:szCs w:val="1"/>
                <w:color w:val="auto"/>
              </w:rPr>
            </w:pPr>
          </w:p>
        </w:tc>
      </w:tr>
      <w:tr>
        <w:trPr>
          <w:trHeight w:val="86"/>
        </w:trPr>
        <w:tc>
          <w:tcPr>
            <w:tcW w:w="50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 other guarantors party thereto and HSBC Bank USA, National Association, as</w:t>
            </w:r>
          </w:p>
        </w:tc>
        <w:tc>
          <w:tcPr>
            <w:tcW w:w="0" w:type="dxa"/>
            <w:vAlign w:val="bottom"/>
          </w:tcPr>
          <w:p>
            <w:pPr>
              <w:spacing w:after="0"/>
              <w:rPr>
                <w:sz w:val="1"/>
                <w:szCs w:val="1"/>
                <w:color w:val="auto"/>
              </w:rPr>
            </w:pPr>
          </w:p>
        </w:tc>
      </w:tr>
      <w:tr>
        <w:trPr>
          <w:trHeight w:val="110"/>
        </w:trPr>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r>
        <w:trPr>
          <w:trHeight w:val="252"/>
        </w:trPr>
        <w:tc>
          <w:tcPr>
            <w:tcW w:w="820" w:type="dxa"/>
            <w:vAlign w:val="bottom"/>
            <w:gridSpan w:val="5"/>
            <w:vMerge w:val="restart"/>
          </w:tcPr>
          <w:p>
            <w:pPr>
              <w:jc w:val="center"/>
              <w:ind w:right="14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5.625% Senior Note due 2023 (included as Exhibit A to Exhibit 4.9</w:t>
            </w:r>
          </w:p>
        </w:tc>
        <w:tc>
          <w:tcPr>
            <w:tcW w:w="0" w:type="dxa"/>
            <w:vAlign w:val="bottom"/>
          </w:tcPr>
          <w:p>
            <w:pPr>
              <w:spacing w:after="0"/>
              <w:rPr>
                <w:sz w:val="1"/>
                <w:szCs w:val="1"/>
                <w:color w:val="auto"/>
              </w:rPr>
            </w:pPr>
          </w:p>
        </w:tc>
      </w:tr>
      <w:tr>
        <w:trPr>
          <w:trHeight w:val="86"/>
        </w:trPr>
        <w:tc>
          <w:tcPr>
            <w:tcW w:w="820" w:type="dxa"/>
            <w:vAlign w:val="bottom"/>
            <w:gridSpan w:val="5"/>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above)</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Registration Rights Agreement, dated as of September 4, 2018, by and among</w:t>
            </w:r>
          </w:p>
        </w:tc>
        <w:tc>
          <w:tcPr>
            <w:tcW w:w="0" w:type="dxa"/>
            <w:vAlign w:val="bottom"/>
          </w:tcPr>
          <w:p>
            <w:pPr>
              <w:spacing w:after="0"/>
              <w:rPr>
                <w:sz w:val="1"/>
                <w:szCs w:val="1"/>
                <w:color w:val="auto"/>
              </w:rPr>
            </w:pPr>
          </w:p>
        </w:tc>
      </w:tr>
      <w:tr>
        <w:trPr>
          <w:trHeight w:val="216"/>
        </w:trPr>
        <w:tc>
          <w:tcPr>
            <w:tcW w:w="500" w:type="dxa"/>
            <w:vAlign w:val="bottom"/>
            <w:gridSpan w:val="4"/>
            <w:vMerge w:val="restart"/>
          </w:tcPr>
          <w:p>
            <w:pPr>
              <w:jc w:val="center"/>
              <w:ind w:left="9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11</w:t>
              </w:r>
            </w:hyperlink>
          </w:p>
        </w:tc>
        <w:tc>
          <w:tcPr>
            <w:tcW w:w="3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Marriott Ownership Resorts, Inc., ILG, LLC, Marriott Vacations Worldwide</w:t>
            </w:r>
          </w:p>
        </w:tc>
        <w:tc>
          <w:tcPr>
            <w:tcW w:w="0" w:type="dxa"/>
            <w:vAlign w:val="bottom"/>
          </w:tcPr>
          <w:p>
            <w:pPr>
              <w:spacing w:after="0"/>
              <w:rPr>
                <w:sz w:val="1"/>
                <w:szCs w:val="1"/>
                <w:color w:val="auto"/>
              </w:rPr>
            </w:pPr>
          </w:p>
        </w:tc>
      </w:tr>
      <w:tr>
        <w:trPr>
          <w:trHeight w:val="86"/>
        </w:trPr>
        <w:tc>
          <w:tcPr>
            <w:tcW w:w="50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Corporation, as a guarantor, the other guarantors party thereto and Merrill Lynch,</w:t>
            </w:r>
          </w:p>
        </w:tc>
        <w:tc>
          <w:tcPr>
            <w:tcW w:w="0" w:type="dxa"/>
            <w:vAlign w:val="bottom"/>
          </w:tcPr>
          <w:p>
            <w:pPr>
              <w:spacing w:after="0"/>
              <w:rPr>
                <w:sz w:val="1"/>
                <w:szCs w:val="1"/>
                <w:color w:val="auto"/>
              </w:rPr>
            </w:pPr>
          </w:p>
        </w:tc>
      </w:tr>
      <w:tr>
        <w:trPr>
          <w:trHeight w:val="110"/>
        </w:trPr>
        <w:tc>
          <w:tcPr>
            <w:tcW w:w="180" w:type="dxa"/>
            <w:vAlign w:val="bottom"/>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20" w:type="dxa"/>
            <w:vAlign w:val="bottom"/>
          </w:tcPr>
          <w:p>
            <w:pPr>
              <w:spacing w:after="0"/>
              <w:rPr>
                <w:sz w:val="9"/>
                <w:szCs w:val="9"/>
                <w:color w:val="auto"/>
              </w:rPr>
            </w:pPr>
          </w:p>
        </w:tc>
        <w:tc>
          <w:tcPr>
            <w:tcW w:w="6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Pierce, Fenner &amp; Smith Incorporated and J.P. Morgan Securities LLC</w:t>
            </w: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Indenture, dated April 10, 2015, among Interval Acquisition Corp., Interval</w:t>
            </w:r>
          </w:p>
        </w:tc>
        <w:tc>
          <w:tcPr>
            <w:tcW w:w="0" w:type="dxa"/>
            <w:vAlign w:val="bottom"/>
          </w:tcPr>
          <w:p>
            <w:pPr>
              <w:spacing w:after="0"/>
              <w:rPr>
                <w:sz w:val="1"/>
                <w:szCs w:val="1"/>
                <w:color w:val="auto"/>
              </w:rPr>
            </w:pPr>
          </w:p>
        </w:tc>
      </w:tr>
      <w:tr>
        <w:trPr>
          <w:trHeight w:val="194"/>
        </w:trPr>
        <w:tc>
          <w:tcPr>
            <w:tcW w:w="820" w:type="dxa"/>
            <w:vAlign w:val="bottom"/>
            <w:gridSpan w:val="5"/>
          </w:tcPr>
          <w:p>
            <w:pPr>
              <w:jc w:val="center"/>
              <w:ind w:right="140"/>
              <w:spacing w:after="0" w:line="194"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60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Leisure Group, Inc., the other Guarantors party thereto and HSBC Bank UA,</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National Association, as trustee</w:t>
            </w:r>
          </w:p>
        </w:tc>
        <w:tc>
          <w:tcPr>
            <w:tcW w:w="0" w:type="dxa"/>
            <w:vAlign w:val="bottom"/>
          </w:tcPr>
          <w:p>
            <w:pPr>
              <w:spacing w:after="0"/>
              <w:rPr>
                <w:sz w:val="1"/>
                <w:szCs w:val="1"/>
                <w:color w:val="auto"/>
              </w:rPr>
            </w:pPr>
          </w:p>
        </w:tc>
      </w:tr>
      <w:tr>
        <w:trPr>
          <w:trHeight w:val="252"/>
        </w:trPr>
        <w:tc>
          <w:tcPr>
            <w:tcW w:w="820" w:type="dxa"/>
            <w:vAlign w:val="bottom"/>
            <w:gridSpan w:val="5"/>
            <w:vMerge w:val="restart"/>
          </w:tcPr>
          <w:p>
            <w:pPr>
              <w:jc w:val="center"/>
              <w:ind w:right="14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Interval Acquisition Corp. 5.625% Senior Note due 2023 (included as</w:t>
            </w:r>
          </w:p>
        </w:tc>
        <w:tc>
          <w:tcPr>
            <w:tcW w:w="0" w:type="dxa"/>
            <w:vAlign w:val="bottom"/>
          </w:tcPr>
          <w:p>
            <w:pPr>
              <w:spacing w:after="0"/>
              <w:rPr>
                <w:sz w:val="1"/>
                <w:szCs w:val="1"/>
                <w:color w:val="auto"/>
              </w:rPr>
            </w:pPr>
          </w:p>
        </w:tc>
      </w:tr>
      <w:tr>
        <w:trPr>
          <w:trHeight w:val="86"/>
        </w:trPr>
        <w:tc>
          <w:tcPr>
            <w:tcW w:w="820" w:type="dxa"/>
            <w:vAlign w:val="bottom"/>
            <w:gridSpan w:val="5"/>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Exhibit A to Exhibit 4.12 above)</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820" w:type="dxa"/>
            <w:vAlign w:val="bottom"/>
            <w:gridSpan w:val="5"/>
            <w:vMerge w:val="restart"/>
          </w:tcPr>
          <w:p>
            <w:pPr>
              <w:jc w:val="center"/>
              <w:ind w:right="140"/>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Supplemental Indenture, dated as of June 29, 2016, among Interval Acquisition</w:t>
            </w:r>
          </w:p>
        </w:tc>
        <w:tc>
          <w:tcPr>
            <w:tcW w:w="0" w:type="dxa"/>
            <w:vAlign w:val="bottom"/>
          </w:tcPr>
          <w:p>
            <w:pPr>
              <w:spacing w:after="0"/>
              <w:rPr>
                <w:sz w:val="1"/>
                <w:szCs w:val="1"/>
                <w:color w:val="auto"/>
              </w:rPr>
            </w:pPr>
          </w:p>
        </w:tc>
      </w:tr>
      <w:tr>
        <w:trPr>
          <w:trHeight w:val="86"/>
        </w:trPr>
        <w:tc>
          <w:tcPr>
            <w:tcW w:w="820" w:type="dxa"/>
            <w:vAlign w:val="bottom"/>
            <w:gridSpan w:val="5"/>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Corp., certain subsidiary guarantors and HSBC Bank USA, National Association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820" w:type="dxa"/>
            <w:vAlign w:val="bottom"/>
            <w:gridSpan w:val="5"/>
            <w:vMerge w:val="restart"/>
          </w:tcPr>
          <w:p>
            <w:pPr>
              <w:jc w:val="center"/>
              <w:ind w:right="140"/>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w:t>
            </w:r>
          </w:p>
        </w:tc>
        <w:tc>
          <w:tcPr>
            <w:tcW w:w="0" w:type="dxa"/>
            <w:vAlign w:val="bottom"/>
          </w:tcPr>
          <w:p>
            <w:pPr>
              <w:spacing w:after="0"/>
              <w:rPr>
                <w:sz w:val="1"/>
                <w:szCs w:val="1"/>
                <w:color w:val="auto"/>
              </w:rPr>
            </w:pPr>
          </w:p>
        </w:tc>
      </w:tr>
      <w:tr>
        <w:trPr>
          <w:trHeight w:val="86"/>
        </w:trPr>
        <w:tc>
          <w:tcPr>
            <w:tcW w:w="820" w:type="dxa"/>
            <w:vAlign w:val="bottom"/>
            <w:gridSpan w:val="5"/>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820" w:type="dxa"/>
            <w:vAlign w:val="bottom"/>
            <w:gridSpan w:val="5"/>
            <w:vMerge w:val="restart"/>
          </w:tcPr>
          <w:p>
            <w:pPr>
              <w:jc w:val="center"/>
              <w:ind w:right="140"/>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w:t>
            </w:r>
          </w:p>
        </w:tc>
        <w:tc>
          <w:tcPr>
            <w:tcW w:w="0" w:type="dxa"/>
            <w:vAlign w:val="bottom"/>
          </w:tcPr>
          <w:p>
            <w:pPr>
              <w:spacing w:after="0"/>
              <w:rPr>
                <w:sz w:val="1"/>
                <w:szCs w:val="1"/>
                <w:color w:val="auto"/>
              </w:rPr>
            </w:pPr>
          </w:p>
        </w:tc>
      </w:tr>
      <w:tr>
        <w:trPr>
          <w:trHeight w:val="86"/>
        </w:trPr>
        <w:tc>
          <w:tcPr>
            <w:tcW w:w="820" w:type="dxa"/>
            <w:vAlign w:val="bottom"/>
            <w:gridSpan w:val="5"/>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820" w:type="dxa"/>
            <w:vAlign w:val="bottom"/>
            <w:gridSpan w:val="5"/>
            <w:vMerge w:val="restart"/>
          </w:tcPr>
          <w:p>
            <w:pPr>
              <w:jc w:val="center"/>
              <w:ind w:right="140"/>
              <w:spacing w:after="0"/>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13a-14(b) and</w:t>
            </w:r>
          </w:p>
        </w:tc>
        <w:tc>
          <w:tcPr>
            <w:tcW w:w="0" w:type="dxa"/>
            <w:vAlign w:val="bottom"/>
          </w:tcPr>
          <w:p>
            <w:pPr>
              <w:spacing w:after="0"/>
              <w:rPr>
                <w:sz w:val="1"/>
                <w:szCs w:val="1"/>
                <w:color w:val="auto"/>
              </w:rPr>
            </w:pPr>
          </w:p>
        </w:tc>
      </w:tr>
      <w:tr>
        <w:trPr>
          <w:trHeight w:val="86"/>
        </w:trPr>
        <w:tc>
          <w:tcPr>
            <w:tcW w:w="820" w:type="dxa"/>
            <w:vAlign w:val="bottom"/>
            <w:gridSpan w:val="5"/>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820" w:type="dxa"/>
            <w:vAlign w:val="bottom"/>
            <w:gridSpan w:val="5"/>
            <w:vMerge w:val="restart"/>
          </w:tcPr>
          <w:p>
            <w:pPr>
              <w:jc w:val="center"/>
              <w:ind w:right="140"/>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13a-14(b) and</w:t>
            </w:r>
          </w:p>
        </w:tc>
        <w:tc>
          <w:tcPr>
            <w:tcW w:w="0" w:type="dxa"/>
            <w:vAlign w:val="bottom"/>
          </w:tcPr>
          <w:p>
            <w:pPr>
              <w:spacing w:after="0"/>
              <w:rPr>
                <w:sz w:val="1"/>
                <w:szCs w:val="1"/>
                <w:color w:val="auto"/>
              </w:rPr>
            </w:pPr>
          </w:p>
        </w:tc>
      </w:tr>
      <w:tr>
        <w:trPr>
          <w:trHeight w:val="86"/>
        </w:trPr>
        <w:tc>
          <w:tcPr>
            <w:tcW w:w="820" w:type="dxa"/>
            <w:vAlign w:val="bottom"/>
            <w:gridSpan w:val="5"/>
            <w:vMerge w:val="continue"/>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0" w:type="dxa"/>
            <w:vAlign w:val="bottom"/>
          </w:tcPr>
          <w:p>
            <w:pPr>
              <w:spacing w:after="0"/>
              <w:rPr>
                <w:sz w:val="1"/>
                <w:szCs w:val="1"/>
                <w:color w:val="auto"/>
              </w:rPr>
            </w:pPr>
          </w:p>
        </w:tc>
      </w:tr>
      <w:tr>
        <w:trPr>
          <w:trHeight w:val="216"/>
        </w:trPr>
        <w:tc>
          <w:tcPr>
            <w:tcW w:w="8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101.INS</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101.SCH</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101.CAL</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101.DEF</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101.LAB</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101.PRE</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860" w:type="dxa"/>
        <w:tblCellMar>
          <w:top w:w="0" w:type="dxa"/>
          <w:left w:w="0" w:type="dxa"/>
          <w:bottom w:w="0" w:type="dxa"/>
          <w:right w:w="0" w:type="dxa"/>
        </w:tblCellMar>
      </w:tblPr>
      <w:tr>
        <w:trPr>
          <w:trHeight w:val="234"/>
        </w:trPr>
        <w:tc>
          <w:tcPr>
            <w:tcW w:w="740" w:type="dxa"/>
            <w:vAlign w:val="bottom"/>
          </w:tcPr>
          <w:p>
            <w:pPr>
              <w:jc w:val="center"/>
              <w:ind w:right="222"/>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702"/>
        </w:trPr>
        <w:tc>
          <w:tcPr>
            <w:tcW w:w="740" w:type="dxa"/>
            <w:vAlign w:val="bottom"/>
          </w:tcPr>
          <w:p>
            <w:pPr>
              <w:jc w:val="center"/>
              <w:ind w:right="222"/>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702"/>
        </w:trPr>
        <w:tc>
          <w:tcPr>
            <w:tcW w:w="740" w:type="dxa"/>
            <w:vAlign w:val="bottom"/>
          </w:tcPr>
          <w:p>
            <w:pPr>
              <w:jc w:val="center"/>
              <w:ind w:right="222"/>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865"/>
        </w:trPr>
        <w:tc>
          <w:tcPr>
            <w:tcW w:w="740" w:type="dxa"/>
            <w:vAlign w:val="bottom"/>
          </w:tcPr>
          <w:p>
            <w:pPr>
              <w:jc w:val="center"/>
              <w:ind w:right="242"/>
              <w:spacing w:after="0"/>
              <w:rPr>
                <w:sz w:val="20"/>
                <w:szCs w:val="20"/>
                <w:color w:val="auto"/>
              </w:rPr>
            </w:pPr>
            <w:r>
              <w:rPr>
                <w:rFonts w:ascii="Times New Roman" w:cs="Times New Roman" w:eastAsia="Times New Roman" w:hAnsi="Times New Roman"/>
                <w:sz w:val="18"/>
                <w:szCs w:val="18"/>
                <w:color w:val="auto"/>
                <w:w w:val="94"/>
              </w:rPr>
              <w:t>8-K</w:t>
            </w:r>
            <w:r>
              <w:rPr>
                <w:rFonts w:ascii="Times New Roman" w:cs="Times New Roman" w:eastAsia="Times New Roman" w:hAnsi="Times New Roman"/>
                <w:sz w:val="21"/>
                <w:szCs w:val="21"/>
                <w:color w:val="auto"/>
                <w:w w:val="94"/>
                <w:vertAlign w:val="superscript"/>
              </w:rPr>
              <w:t>(1)</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4/10/2015</w:t>
            </w:r>
          </w:p>
        </w:tc>
      </w:tr>
      <w:tr>
        <w:trPr>
          <w:trHeight w:val="539"/>
        </w:trPr>
        <w:tc>
          <w:tcPr>
            <w:tcW w:w="740" w:type="dxa"/>
            <w:vAlign w:val="bottom"/>
          </w:tcPr>
          <w:p>
            <w:pPr>
              <w:jc w:val="center"/>
              <w:ind w:right="242"/>
              <w:spacing w:after="0"/>
              <w:rPr>
                <w:sz w:val="20"/>
                <w:szCs w:val="20"/>
                <w:color w:val="auto"/>
              </w:rPr>
            </w:pPr>
            <w:r>
              <w:rPr>
                <w:rFonts w:ascii="Times New Roman" w:cs="Times New Roman" w:eastAsia="Times New Roman" w:hAnsi="Times New Roman"/>
                <w:sz w:val="36"/>
                <w:szCs w:val="36"/>
                <w:color w:val="auto"/>
                <w:w w:val="83"/>
                <w:vertAlign w:val="subscript"/>
              </w:rPr>
              <w:t>8-K</w:t>
            </w:r>
            <w:r>
              <w:rPr>
                <w:rFonts w:ascii="Times New Roman" w:cs="Times New Roman" w:eastAsia="Times New Roman" w:hAnsi="Times New Roman"/>
                <w:sz w:val="11"/>
                <w:szCs w:val="11"/>
                <w:color w:val="auto"/>
                <w:w w:val="83"/>
              </w:rPr>
              <w:t>(1)</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4/10/2015</w:t>
            </w:r>
          </w:p>
        </w:tc>
      </w:tr>
      <w:tr>
        <w:trPr>
          <w:trHeight w:val="486"/>
        </w:trPr>
        <w:tc>
          <w:tcPr>
            <w:tcW w:w="740" w:type="dxa"/>
            <w:vAlign w:val="bottom"/>
          </w:tcPr>
          <w:p>
            <w:pPr>
              <w:jc w:val="center"/>
              <w:ind w:right="242"/>
              <w:spacing w:after="0"/>
              <w:rPr>
                <w:sz w:val="20"/>
                <w:szCs w:val="20"/>
                <w:color w:val="auto"/>
              </w:rPr>
            </w:pPr>
            <w:r>
              <w:rPr>
                <w:rFonts w:ascii="Times New Roman" w:cs="Times New Roman" w:eastAsia="Times New Roman" w:hAnsi="Times New Roman"/>
                <w:sz w:val="36"/>
                <w:szCs w:val="36"/>
                <w:color w:val="auto"/>
                <w:w w:val="83"/>
                <w:vertAlign w:val="subscript"/>
              </w:rPr>
              <w:t>8-K</w:t>
            </w:r>
            <w:r>
              <w:rPr>
                <w:rFonts w:ascii="Times New Roman" w:cs="Times New Roman" w:eastAsia="Times New Roman" w:hAnsi="Times New Roman"/>
                <w:sz w:val="11"/>
                <w:szCs w:val="11"/>
                <w:color w:val="auto"/>
                <w:w w:val="83"/>
              </w:rPr>
              <w:t>(1)</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7/1/2016</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Furnished</w:t>
      </w:r>
    </w:p>
    <w:p>
      <w:pPr>
        <w:spacing w:after="0" w:line="27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Furnished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7" w:lineRule="exact"/>
        <w:rPr>
          <w:sz w:val="20"/>
          <w:szCs w:val="20"/>
          <w:color w:val="auto"/>
        </w:rPr>
      </w:pPr>
    </w:p>
    <w:p>
      <w:pPr>
        <w:sectPr>
          <w:pgSz w:w="11900" w:h="16838" w:orient="portrait"/>
          <w:cols w:equalWidth="0" w:num="2">
            <w:col w:w="6880" w:space="580"/>
            <w:col w:w="3780"/>
          </w:cols>
          <w:pgMar w:left="400" w:top="542" w:right="259" w:bottom="1440" w:gutter="0" w:footer="0" w:header="0"/>
          <w:type w:val="continuous"/>
        </w:sectPr>
      </w:pPr>
    </w:p>
    <w:p>
      <w:pPr>
        <w:spacing w:after="0" w:line="79" w:lineRule="exact"/>
        <w:rPr>
          <w:sz w:val="20"/>
          <w:szCs w:val="20"/>
          <w:color w:val="auto"/>
        </w:rPr>
      </w:pPr>
    </w:p>
    <w:p>
      <w:pPr>
        <w:ind w:left="940" w:right="180" w:hanging="651"/>
        <w:spacing w:after="0" w:line="184" w:lineRule="auto"/>
        <w:tabs>
          <w:tab w:leader="none" w:pos="940" w:val="left"/>
        </w:tabs>
        <w:numPr>
          <w:ilvl w:val="0"/>
          <w:numId w:val="4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Schedules have been omitted pursuant to Item 601(b)(2) of Regulation S-K. The Company agrees to furnish supplemental copies to the SEC of any omitted schedule upon request by the SEC.</w:t>
      </w:r>
    </w:p>
    <w:p>
      <w:pPr>
        <w:spacing w:after="0" w:line="145" w:lineRule="exact"/>
        <w:rPr>
          <w:sz w:val="20"/>
          <w:szCs w:val="20"/>
          <w:color w:val="auto"/>
        </w:rPr>
      </w:pPr>
    </w:p>
    <w:p>
      <w:pPr>
        <w:ind w:left="940" w:hanging="690"/>
        <w:spacing w:after="0"/>
        <w:tabs>
          <w:tab w:leader="none" w:pos="9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Filing made by ILG, LLC under SEC File No. 001-34062.</w:t>
      </w:r>
    </w:p>
    <w:p>
      <w:pPr>
        <w:spacing w:after="0" w:line="2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400" w:top="542" w:right="259" w:bottom="1440" w:gutter="0" w:footer="0" w:header="0"/>
          <w:type w:val="continuous"/>
        </w:sectPr>
      </w:pPr>
    </w:p>
    <w:bookmarkStart w:id="70" w:name="page71"/>
    <w:bookmarkEnd w:id="7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8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CORPORATION</w:t>
            </w:r>
          </w:p>
        </w:tc>
      </w:tr>
      <w:tr>
        <w:trPr>
          <w:trHeight w:val="59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May 7, 2019</w:t>
            </w:r>
          </w:p>
        </w:tc>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Stephen P. Weisz</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P. Weisz</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6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34290</wp:posOffset>
            </wp:positionV>
            <wp:extent cx="4210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Executive Vice President and Chief Financial and Administrative Officer</w:t>
      </w: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0"/>
          </w:cols>
          <w:pgMar w:left="240" w:top="360" w:right="3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00" w:lineRule="exact"/>
        <w:rPr>
          <w:sz w:val="20"/>
          <w:szCs w:val="20"/>
          <w:color w:val="auto"/>
        </w:rPr>
      </w:pPr>
    </w:p>
    <w:p>
      <w:pPr>
        <w:spacing w:after="0" w:line="29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42710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Stephen P. Weisz</w:t>
      </w:r>
    </w:p>
    <w:p>
      <w:pPr>
        <w:spacing w:after="0" w:line="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00" w:lineRule="exact"/>
        <w:rPr>
          <w:sz w:val="20"/>
          <w:szCs w:val="20"/>
          <w:color w:val="auto"/>
        </w:rPr>
      </w:pPr>
    </w:p>
    <w:p>
      <w:pPr>
        <w:spacing w:after="0" w:line="26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34290</wp:posOffset>
            </wp:positionV>
            <wp:extent cx="4236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Executive Vice President and Chief Financial and Administrative Officer</w:t>
      </w:r>
    </w:p>
    <w:p>
      <w:pPr>
        <w:spacing w:after="0" w:line="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74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2019 (the “Quarterly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34290</wp:posOffset>
            </wp:positionV>
            <wp:extent cx="3456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Stephen P. Weisz</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Executive Vice President and Chief Financial Officer of Marriott Vacations Worldwide Corporation (the “Company”) certify that:</w:t>
      </w:r>
    </w:p>
    <w:p>
      <w:pPr>
        <w:spacing w:after="0" w:line="117" w:lineRule="exact"/>
        <w:rPr>
          <w:sz w:val="20"/>
          <w:szCs w:val="20"/>
          <w:color w:val="auto"/>
        </w:rPr>
      </w:pPr>
    </w:p>
    <w:p>
      <w:pPr>
        <w:ind w:left="660" w:right="74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2019 (the “Quarterly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Executive Vice President and Chief Financial and Administrative Officer</w:t>
      </w:r>
    </w:p>
    <w:p>
      <w:pPr>
        <w:spacing w:after="0" w:line="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Roman"/>
      <w:start w:val="3"/>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3"/>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4"/>
    </w:lvl>
  </w:abstractNum>
  <w:abstractNum w:abstractNumId="10">
    <w:nsid w:val="836C40E"/>
    <w:multiLevelType w:val="hybridMultilevel"/>
    <w:lvl w:ilvl="0">
      <w:lvlJc w:val="left"/>
      <w:lvlText w:val="%1."/>
      <w:numFmt w:val="decimal"/>
      <w:start w:val="5"/>
    </w:lvl>
  </w:abstractNum>
  <w:abstractNum w:abstractNumId="11">
    <w:nsid w:val="2901D82"/>
    <w:multiLevelType w:val="hybridMultilevel"/>
    <w:lvl w:ilvl="0">
      <w:lvlJc w:val="left"/>
      <w:lvlText w:val="%1."/>
      <w:numFmt w:val="decimal"/>
      <w:start w:val="6"/>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7"/>
    </w:lvl>
  </w:abstractNum>
  <w:abstractNum w:abstractNumId="21">
    <w:nsid w:val="614FD4A1"/>
    <w:multiLevelType w:val="hybridMultilevel"/>
    <w:lvl w:ilvl="0">
      <w:lvlJc w:val="left"/>
      <w:lvlText w:val="%1."/>
      <w:numFmt w:val="decimal"/>
      <w:start w:val="8"/>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6"/>
    </w:lvl>
  </w:abstractNum>
  <w:abstractNum w:abstractNumId="31">
    <w:nsid w:val="5E884ADC"/>
    <w:multiLevelType w:val="hybridMultilevel"/>
    <w:lvl w:ilvl="0">
      <w:lvlJc w:val="left"/>
      <w:lvlText w:val="%1."/>
      <w:numFmt w:val="decimal"/>
      <w:start w:val="18"/>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9"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39" Type="http://schemas.openxmlformats.org/officeDocument/2006/relationships/hyperlink" Target="http://www.sec.gov/Archives/edgar/data/1524358/000119312518144431/d577638dex21.htm" TargetMode="External"/><Relationship Id="rId40" Type="http://schemas.openxmlformats.org/officeDocument/2006/relationships/hyperlink" Target="http://www.sec.gov/Archives/edgar/data/1524358/000119312511320045/d256766dex31.htm" TargetMode="External"/><Relationship Id="rId41" Type="http://schemas.openxmlformats.org/officeDocument/2006/relationships/hyperlink" Target="http://www.sec.gov/Archives/edgar/data/1524358/000119312511320045/d256766dex32.htm" TargetMode="External"/><Relationship Id="rId42" Type="http://schemas.openxmlformats.org/officeDocument/2006/relationships/hyperlink" Target="http://www.sec.gov/Archives/edgar/data/1524358/000119312511271851/d197736dex41.htm" TargetMode="External"/><Relationship Id="rId43" Type="http://schemas.openxmlformats.org/officeDocument/2006/relationships/hyperlink" Target="http://www.sec.gov/Archives/edgar/data/1524358/000152435817000036/q3201710-qexhibit41xindent.htm" TargetMode="External"/><Relationship Id="rId44" Type="http://schemas.openxmlformats.org/officeDocument/2006/relationships/hyperlink" Target="http://www.sec.gov/Archives/edgar/data/1524358/000152435817000036/q3201710-qexhibit41xindent.htm#s5A3ABC734649FE299B9DF361BE642613" TargetMode="External"/><Relationship Id="rId45" Type="http://schemas.openxmlformats.org/officeDocument/2006/relationships/hyperlink" Target="http://www.sec.gov/Archives/edgar/data/1524358/000119312518256374/d608569dex41.htm" TargetMode="External"/><Relationship Id="rId46" Type="http://schemas.openxmlformats.org/officeDocument/2006/relationships/hyperlink" Target="http://www.sec.gov/Archives/edgar/data/1524358/000119312518266807/d597652dex47.htm" TargetMode="External"/><Relationship Id="rId47" Type="http://schemas.openxmlformats.org/officeDocument/2006/relationships/hyperlink" Target="http://www.sec.gov/Archives/edgar/data/1524358/000119312518256374/d608569dex43.htm" TargetMode="External"/><Relationship Id="rId48" Type="http://schemas.openxmlformats.org/officeDocument/2006/relationships/hyperlink" Target="http://www.sec.gov/Archives/edgar/data/1524358/000119312518266807/d597652dex48.htm" TargetMode="External"/><Relationship Id="rId50" Type="http://schemas.openxmlformats.org/officeDocument/2006/relationships/hyperlink" Target="http://www.sec.gov/Archives/edgar/data/1524358/000119312518266807/d597652dex41.htm" TargetMode="External"/><Relationship Id="rId51" Type="http://schemas.openxmlformats.org/officeDocument/2006/relationships/hyperlink" Target="http://www.sec.gov/Archives/edgar/data/1524358/000119312518266807/d597652dex43.htm" TargetMode="External"/><Relationship Id="rId52" Type="http://schemas.openxmlformats.org/officeDocument/2006/relationships/hyperlink" Target="http://www.sec.gov/Archives/edgar/data/1434620/000114420415022275/v406616_ex4-1.htm" TargetMode="External"/><Relationship Id="rId53" Type="http://schemas.openxmlformats.org/officeDocument/2006/relationships/hyperlink" Target="http://www.sec.gov/Archives/edgar/data/1434620/000110465916130819/a16-14344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2019-12-28T12:52:25Z</dcterms:created>
  <dcterms:modified xsi:type="dcterms:W3CDTF">2019-12-28T12:52:25Z</dcterms:modified>
</cp:coreProperties>
</file>