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580"/>
        <w:spacing w:after="0"/>
        <w:rPr>
          <w:sz w:val="20"/>
          <w:szCs w:val="20"/>
          <w:color w:val="auto"/>
        </w:rPr>
      </w:pPr>
      <w:r>
        <w:rPr>
          <w:rFonts w:ascii="Arial" w:cs="Arial" w:eastAsia="Arial" w:hAnsi="Arial"/>
          <w:sz w:val="18"/>
          <w:szCs w:val="18"/>
          <w:color w:val="auto"/>
        </w:rPr>
        <w:t>_________________________</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7" w:lineRule="exact"/>
        <w:rPr>
          <w:sz w:val="24"/>
          <w:szCs w:val="24"/>
          <w:color w:val="auto"/>
        </w:rPr>
      </w:pPr>
    </w:p>
    <w:p>
      <w:pPr>
        <w:ind w:left="4560"/>
        <w:spacing w:after="0"/>
        <w:rPr>
          <w:sz w:val="20"/>
          <w:szCs w:val="20"/>
          <w:color w:val="auto"/>
        </w:rPr>
      </w:pPr>
      <w:r>
        <w:rPr>
          <w:rFonts w:ascii="Arial" w:cs="Arial" w:eastAsia="Arial" w:hAnsi="Arial"/>
          <w:sz w:val="11"/>
          <w:szCs w:val="11"/>
          <w:color w:val="auto"/>
        </w:rPr>
        <w:t>___________________________________________</w:t>
      </w:r>
    </w:p>
    <w:p>
      <w:pPr>
        <w:spacing w:after="0"/>
        <w:rPr>
          <w:sz w:val="20"/>
          <w:szCs w:val="20"/>
          <w:color w:val="auto"/>
        </w:rPr>
      </w:pPr>
      <w:r>
        <w:rPr>
          <w:rFonts w:ascii="Arial" w:cs="Arial" w:eastAsia="Arial" w:hAnsi="Arial"/>
          <w:sz w:val="18"/>
          <w:szCs w:val="18"/>
          <w:b w:val="1"/>
          <w:bCs w:val="1"/>
          <w:color w:val="auto"/>
        </w:rPr>
        <w:t>(Mark One)</w:t>
      </w:r>
    </w:p>
    <w:p>
      <w:pPr>
        <w:spacing w:after="0" w:line="156"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57"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4"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001-35219</w:t>
      </w:r>
    </w:p>
    <w:p>
      <w:pPr>
        <w:spacing w:after="0" w:line="27"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Marriott Vacations Worldwide Corporation</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153"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960" w:type="dxa"/>
            <w:vAlign w:val="bottom"/>
          </w:tcPr>
          <w:p>
            <w:pPr>
              <w:jc w:val="center"/>
              <w:ind w:right="499"/>
              <w:spacing w:after="0"/>
              <w:rPr>
                <w:sz w:val="20"/>
                <w:szCs w:val="20"/>
                <w:color w:val="auto"/>
              </w:rPr>
            </w:pPr>
            <w:r>
              <w:rPr>
                <w:rFonts w:ascii="Arial" w:cs="Arial" w:eastAsia="Arial" w:hAnsi="Arial"/>
                <w:sz w:val="18"/>
                <w:szCs w:val="18"/>
                <w:b w:val="1"/>
                <w:bCs w:val="1"/>
                <w:color w:val="auto"/>
                <w:w w:val="93"/>
              </w:rPr>
              <w:t>Delaware</w:t>
            </w:r>
          </w:p>
        </w:tc>
        <w:tc>
          <w:tcPr>
            <w:tcW w:w="4560" w:type="dxa"/>
            <w:vAlign w:val="bottom"/>
          </w:tcPr>
          <w:p>
            <w:pPr>
              <w:jc w:val="right"/>
              <w:ind w:right="59"/>
              <w:spacing w:after="0"/>
              <w:rPr>
                <w:sz w:val="20"/>
                <w:szCs w:val="20"/>
                <w:color w:val="auto"/>
              </w:rPr>
            </w:pPr>
            <w:r>
              <w:rPr>
                <w:rFonts w:ascii="Arial" w:cs="Arial" w:eastAsia="Arial" w:hAnsi="Arial"/>
                <w:sz w:val="18"/>
                <w:szCs w:val="18"/>
                <w:b w:val="1"/>
                <w:bCs w:val="1"/>
                <w:color w:val="auto"/>
              </w:rPr>
              <w:t>45-2598330</w:t>
            </w:r>
          </w:p>
        </w:tc>
      </w:tr>
      <w:tr>
        <w:trPr>
          <w:trHeight w:val="180"/>
        </w:trPr>
        <w:tc>
          <w:tcPr>
            <w:tcW w:w="2960" w:type="dxa"/>
            <w:vAlign w:val="bottom"/>
          </w:tcPr>
          <w:p>
            <w:pPr>
              <w:jc w:val="center"/>
              <w:ind w:right="499"/>
              <w:spacing w:after="0"/>
              <w:rPr>
                <w:sz w:val="20"/>
                <w:szCs w:val="20"/>
                <w:color w:val="auto"/>
              </w:rPr>
            </w:pPr>
            <w:r>
              <w:rPr>
                <w:rFonts w:ascii="Arial" w:cs="Arial" w:eastAsia="Arial" w:hAnsi="Arial"/>
                <w:sz w:val="14"/>
                <w:szCs w:val="14"/>
                <w:b w:val="1"/>
                <w:bCs w:val="1"/>
                <w:color w:val="auto"/>
                <w:w w:val="92"/>
              </w:rPr>
              <w:t>(State or other jurisdiction of</w:t>
            </w:r>
          </w:p>
        </w:tc>
        <w:tc>
          <w:tcPr>
            <w:tcW w:w="4560" w:type="dxa"/>
            <w:vAlign w:val="bottom"/>
          </w:tcPr>
          <w:p>
            <w:pPr>
              <w:jc w:val="center"/>
              <w:ind w:left="335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60" w:type="dxa"/>
            <w:vAlign w:val="bottom"/>
          </w:tcPr>
          <w:p>
            <w:pPr>
              <w:jc w:val="center"/>
              <w:ind w:right="499"/>
              <w:spacing w:after="0"/>
              <w:rPr>
                <w:sz w:val="20"/>
                <w:szCs w:val="20"/>
                <w:color w:val="auto"/>
              </w:rPr>
            </w:pPr>
            <w:r>
              <w:rPr>
                <w:rFonts w:ascii="Arial" w:cs="Arial" w:eastAsia="Arial" w:hAnsi="Arial"/>
                <w:sz w:val="14"/>
                <w:szCs w:val="14"/>
                <w:b w:val="1"/>
                <w:bCs w:val="1"/>
                <w:color w:val="auto"/>
                <w:w w:val="93"/>
              </w:rPr>
              <w:t>incorporation or organization)</w:t>
            </w:r>
          </w:p>
        </w:tc>
        <w:tc>
          <w:tcPr>
            <w:tcW w:w="4560" w:type="dxa"/>
            <w:vAlign w:val="bottom"/>
          </w:tcPr>
          <w:p>
            <w:pPr>
              <w:jc w:val="center"/>
              <w:ind w:left="3339"/>
              <w:spacing w:after="0"/>
              <w:rPr>
                <w:sz w:val="20"/>
                <w:szCs w:val="20"/>
                <w:color w:val="auto"/>
              </w:rPr>
            </w:pPr>
            <w:r>
              <w:rPr>
                <w:rFonts w:ascii="Arial" w:cs="Arial" w:eastAsia="Arial" w:hAnsi="Arial"/>
                <w:sz w:val="14"/>
                <w:szCs w:val="14"/>
                <w:b w:val="1"/>
                <w:bCs w:val="1"/>
                <w:color w:val="auto"/>
                <w:w w:val="96"/>
              </w:rPr>
              <w:t>Identification No.)</w:t>
            </w:r>
          </w:p>
        </w:tc>
      </w:tr>
      <w:tr>
        <w:trPr>
          <w:trHeight w:val="237"/>
        </w:trPr>
        <w:tc>
          <w:tcPr>
            <w:tcW w:w="2960" w:type="dxa"/>
            <w:vAlign w:val="bottom"/>
          </w:tcPr>
          <w:p>
            <w:pPr>
              <w:jc w:val="center"/>
              <w:ind w:right="499"/>
              <w:spacing w:after="0"/>
              <w:rPr>
                <w:sz w:val="20"/>
                <w:szCs w:val="20"/>
                <w:color w:val="auto"/>
              </w:rPr>
            </w:pPr>
            <w:r>
              <w:rPr>
                <w:rFonts w:ascii="Arial" w:cs="Arial" w:eastAsia="Arial" w:hAnsi="Arial"/>
                <w:sz w:val="18"/>
                <w:szCs w:val="18"/>
                <w:b w:val="1"/>
                <w:bCs w:val="1"/>
                <w:color w:val="auto"/>
                <w:w w:val="90"/>
              </w:rPr>
              <w:t>6649 Westwood Blvd.</w:t>
            </w:r>
          </w:p>
        </w:tc>
        <w:tc>
          <w:tcPr>
            <w:tcW w:w="4560" w:type="dxa"/>
            <w:vAlign w:val="bottom"/>
          </w:tcPr>
          <w:p>
            <w:pPr>
              <w:spacing w:after="0"/>
              <w:rPr>
                <w:sz w:val="20"/>
                <w:szCs w:val="20"/>
                <w:color w:val="auto"/>
              </w:rPr>
            </w:pPr>
          </w:p>
        </w:tc>
      </w:tr>
      <w:tr>
        <w:trPr>
          <w:trHeight w:val="234"/>
        </w:trPr>
        <w:tc>
          <w:tcPr>
            <w:tcW w:w="2960" w:type="dxa"/>
            <w:vAlign w:val="bottom"/>
          </w:tcPr>
          <w:p>
            <w:pPr>
              <w:jc w:val="center"/>
              <w:ind w:right="499"/>
              <w:spacing w:after="0"/>
              <w:rPr>
                <w:sz w:val="20"/>
                <w:szCs w:val="20"/>
                <w:color w:val="auto"/>
              </w:rPr>
            </w:pPr>
            <w:r>
              <w:rPr>
                <w:rFonts w:ascii="Arial" w:cs="Arial" w:eastAsia="Arial" w:hAnsi="Arial"/>
                <w:sz w:val="18"/>
                <w:szCs w:val="18"/>
                <w:b w:val="1"/>
                <w:bCs w:val="1"/>
                <w:color w:val="auto"/>
                <w:w w:val="96"/>
              </w:rPr>
              <w:t>Orlando, FL</w:t>
            </w:r>
          </w:p>
        </w:tc>
        <w:tc>
          <w:tcPr>
            <w:tcW w:w="4560" w:type="dxa"/>
            <w:vAlign w:val="bottom"/>
          </w:tcPr>
          <w:p>
            <w:pPr>
              <w:jc w:val="right"/>
              <w:ind w:right="259"/>
              <w:spacing w:after="0"/>
              <w:rPr>
                <w:sz w:val="20"/>
                <w:szCs w:val="20"/>
                <w:color w:val="auto"/>
              </w:rPr>
            </w:pPr>
            <w:r>
              <w:rPr>
                <w:rFonts w:ascii="Arial" w:cs="Arial" w:eastAsia="Arial" w:hAnsi="Arial"/>
                <w:sz w:val="18"/>
                <w:szCs w:val="18"/>
                <w:b w:val="1"/>
                <w:bCs w:val="1"/>
                <w:color w:val="auto"/>
              </w:rPr>
              <w:t>32821</w:t>
            </w:r>
          </w:p>
        </w:tc>
      </w:tr>
      <w:tr>
        <w:trPr>
          <w:trHeight w:val="218"/>
        </w:trPr>
        <w:tc>
          <w:tcPr>
            <w:tcW w:w="2960" w:type="dxa"/>
            <w:vAlign w:val="bottom"/>
          </w:tcPr>
          <w:p>
            <w:pPr>
              <w:jc w:val="center"/>
              <w:ind w:right="4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60" w:type="dxa"/>
            <w:vAlign w:val="bottom"/>
          </w:tcPr>
          <w:p>
            <w:pPr>
              <w:jc w:val="center"/>
              <w:ind w:left="3339"/>
              <w:spacing w:after="0"/>
              <w:rPr>
                <w:sz w:val="20"/>
                <w:szCs w:val="20"/>
                <w:color w:val="auto"/>
              </w:rPr>
            </w:pPr>
            <w:r>
              <w:rPr>
                <w:rFonts w:ascii="Arial" w:cs="Arial" w:eastAsia="Arial" w:hAnsi="Arial"/>
                <w:sz w:val="14"/>
                <w:szCs w:val="14"/>
                <w:b w:val="1"/>
                <w:bCs w:val="1"/>
                <w:color w:val="auto"/>
                <w:w w:val="95"/>
              </w:rPr>
              <w:t>(Zip Code)</w:t>
            </w:r>
          </w:p>
        </w:tc>
      </w:tr>
      <w:tr>
        <w:trPr>
          <w:trHeight w:val="397"/>
        </w:trPr>
        <w:tc>
          <w:tcPr>
            <w:tcW w:w="2960" w:type="dxa"/>
            <w:vAlign w:val="bottom"/>
          </w:tcPr>
          <w:p>
            <w:pPr>
              <w:spacing w:after="0"/>
              <w:rPr>
                <w:sz w:val="24"/>
                <w:szCs w:val="24"/>
                <w:color w:val="auto"/>
              </w:rPr>
            </w:pPr>
          </w:p>
        </w:tc>
        <w:tc>
          <w:tcPr>
            <w:tcW w:w="4560" w:type="dxa"/>
            <w:vAlign w:val="bottom"/>
          </w:tcPr>
          <w:p>
            <w:pPr>
              <w:jc w:val="right"/>
              <w:ind w:right="2779"/>
              <w:spacing w:after="0"/>
              <w:rPr>
                <w:sz w:val="20"/>
                <w:szCs w:val="20"/>
                <w:color w:val="auto"/>
              </w:rPr>
            </w:pPr>
            <w:r>
              <w:rPr>
                <w:rFonts w:ascii="Arial" w:cs="Arial" w:eastAsia="Arial" w:hAnsi="Arial"/>
                <w:sz w:val="18"/>
                <w:szCs w:val="18"/>
                <w:b w:val="1"/>
                <w:bCs w:val="1"/>
                <w:color w:val="auto"/>
              </w:rPr>
              <w:t>(407) 206-6000</w:t>
            </w:r>
          </w:p>
        </w:tc>
      </w:tr>
    </w:tbl>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01"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35"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600" w:type="dxa"/>
            <w:vAlign w:val="bottom"/>
          </w:tcPr>
          <w:p>
            <w:pPr>
              <w:ind w:left="280"/>
              <w:spacing w:after="0"/>
              <w:rPr>
                <w:sz w:val="20"/>
                <w:szCs w:val="20"/>
                <w:color w:val="auto"/>
              </w:rPr>
            </w:pPr>
            <w:r>
              <w:rPr>
                <w:rFonts w:ascii="Arial" w:cs="Arial" w:eastAsia="Arial" w:hAnsi="Arial"/>
                <w:sz w:val="18"/>
                <w:szCs w:val="18"/>
                <w:color w:val="auto"/>
              </w:rPr>
              <w:t>x</w:t>
            </w:r>
          </w:p>
        </w:tc>
        <w:tc>
          <w:tcPr>
            <w:tcW w:w="3360" w:type="dxa"/>
            <w:vAlign w:val="bottom"/>
          </w:tcPr>
          <w:p>
            <w:pPr>
              <w:ind w:left="760"/>
              <w:spacing w:after="0"/>
              <w:rPr>
                <w:sz w:val="20"/>
                <w:szCs w:val="20"/>
                <w:color w:val="auto"/>
              </w:rPr>
            </w:pPr>
            <w:r>
              <w:rPr>
                <w:rFonts w:ascii="Arial" w:cs="Arial" w:eastAsia="Arial" w:hAnsi="Arial"/>
                <w:sz w:val="18"/>
                <w:szCs w:val="18"/>
                <w:color w:val="auto"/>
              </w:rPr>
              <w:t>Accelerated filer</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460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60" w:type="dxa"/>
            <w:vAlign w:val="bottom"/>
          </w:tcPr>
          <w:p>
            <w:pPr>
              <w:ind w:left="760"/>
              <w:spacing w:after="0"/>
              <w:rPr>
                <w:sz w:val="20"/>
                <w:szCs w:val="20"/>
                <w:color w:val="auto"/>
              </w:rPr>
            </w:pPr>
            <w:r>
              <w:rPr>
                <w:rFonts w:ascii="Arial" w:cs="Arial" w:eastAsia="Arial" w:hAnsi="Arial"/>
                <w:sz w:val="18"/>
                <w:szCs w:val="18"/>
                <w:color w:val="auto"/>
              </w:rPr>
              <w:t>Smaller reporting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360" w:type="dxa"/>
            <w:vAlign w:val="bottom"/>
          </w:tcPr>
          <w:p>
            <w:pPr>
              <w:ind w:left="760"/>
              <w:spacing w:after="0"/>
              <w:rPr>
                <w:sz w:val="20"/>
                <w:szCs w:val="20"/>
                <w:color w:val="auto"/>
              </w:rPr>
            </w:pPr>
            <w:r>
              <w:rPr>
                <w:rFonts w:ascii="Arial" w:cs="Arial" w:eastAsia="Arial" w:hAnsi="Arial"/>
                <w:sz w:val="18"/>
                <w:szCs w:val="18"/>
                <w:color w:val="auto"/>
              </w:rPr>
              <w:t>Emerging growth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right="220" w:firstLine="43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jc w:val="both"/>
        <w:ind w:left="440" w:right="1480"/>
        <w:spacing w:after="0" w:line="24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 The number of shares outstanding of the issuer’s common stock, par value $0.01 per share, as of October 27, 2017 was 26,494,634.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 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80" w:type="dxa"/>
            <w:vAlign w:val="bottom"/>
            <w:gridSpan w:val="3"/>
          </w:tcPr>
          <w:p>
            <w:pPr>
              <w:ind w:left="20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7"/>
        </w:trPr>
        <w:tc>
          <w:tcPr>
            <w:tcW w:w="13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3900" w:type="dxa"/>
            <w:vAlign w:val="bottom"/>
            <w:gridSpan w:val="1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 (UNAUDITED)</w:t>
              </w:r>
            </w:hyperlink>
          </w:p>
        </w:tc>
        <w:tc>
          <w:tcPr>
            <w:tcW w:w="4540" w:type="dxa"/>
            <w:vAlign w:val="bottom"/>
            <w:gridSpan w:val="6"/>
            <w:vMerge w:val="restart"/>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300" w:type="dxa"/>
            <w:vAlign w:val="bottom"/>
            <w:vMerge w:val="continue"/>
          </w:tcPr>
          <w:p>
            <w:pPr>
              <w:spacing w:after="0"/>
              <w:rPr>
                <w:sz w:val="16"/>
                <w:szCs w:val="16"/>
                <w:color w:val="auto"/>
              </w:rPr>
            </w:pPr>
          </w:p>
        </w:tc>
        <w:tc>
          <w:tcPr>
            <w:tcW w:w="3900" w:type="dxa"/>
            <w:vAlign w:val="bottom"/>
            <w:tcBorders>
              <w:bottom w:val="single" w:sz="8" w:color="0000EE"/>
            </w:tcBorders>
            <w:gridSpan w:val="15"/>
            <w:vMerge w:val="continue"/>
          </w:tcPr>
          <w:p>
            <w:pPr>
              <w:spacing w:after="0"/>
              <w:rPr>
                <w:sz w:val="16"/>
                <w:szCs w:val="16"/>
                <w:color w:val="auto"/>
              </w:rPr>
            </w:pPr>
          </w:p>
        </w:tc>
        <w:tc>
          <w:tcPr>
            <w:tcW w:w="4540" w:type="dxa"/>
            <w:vAlign w:val="bottom"/>
            <w:gridSpan w:val="6"/>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Borders>
              <w:bottom w:val="single" w:sz="8" w:color="0000EE"/>
            </w:tcBorders>
          </w:tcPr>
          <w:p>
            <w:pPr>
              <w:jc w:val="center"/>
              <w:spacing w:after="0" w:line="170"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300" w:type="dxa"/>
            <w:vAlign w:val="bottom"/>
          </w:tcPr>
          <w:p>
            <w:pPr>
              <w:ind w:left="240"/>
              <w:spacing w:after="0"/>
              <w:rPr>
                <w:sz w:val="20"/>
                <w:szCs w:val="20"/>
                <w:color w:val="auto"/>
              </w:rPr>
            </w:pPr>
            <w:r>
              <w:rPr>
                <w:rFonts w:ascii="Arial" w:cs="Arial" w:eastAsia="Arial" w:hAnsi="Arial"/>
                <w:sz w:val="18"/>
                <w:szCs w:val="18"/>
                <w:color w:val="auto"/>
              </w:rPr>
              <w:t>Item 1.</w:t>
            </w:r>
          </w:p>
        </w:tc>
        <w:tc>
          <w:tcPr>
            <w:tcW w:w="240" w:type="dxa"/>
            <w:vAlign w:val="bottom"/>
          </w:tcPr>
          <w:p>
            <w:pPr>
              <w:spacing w:after="0"/>
              <w:rPr>
                <w:sz w:val="22"/>
                <w:szCs w:val="22"/>
                <w:color w:val="auto"/>
              </w:rPr>
            </w:pPr>
          </w:p>
        </w:tc>
        <w:tc>
          <w:tcPr>
            <w:tcW w:w="15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6680" w:type="dxa"/>
            <w:vAlign w:val="bottom"/>
            <w:gridSpan w:val="13"/>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98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Interim Consolidated Statements of Income</w:t>
              </w:r>
            </w:hyperlink>
          </w:p>
        </w:tc>
        <w:tc>
          <w:tcPr>
            <w:tcW w:w="580" w:type="dxa"/>
            <w:vAlign w:val="bottom"/>
            <w:gridSpan w:val="2"/>
          </w:tcPr>
          <w:p>
            <w:pPr>
              <w:jc w:val="center"/>
              <w:ind w:left="39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32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Interim Consolidated Statements of Comprehensive Income</w:t>
              </w:r>
            </w:hyperlink>
          </w:p>
        </w:tc>
        <w:tc>
          <w:tcPr>
            <w:tcW w:w="366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98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Interim Consolidated Balance Sheets</w:t>
              </w:r>
            </w:hyperlink>
          </w:p>
        </w:tc>
        <w:tc>
          <w:tcPr>
            <w:tcW w:w="580" w:type="dxa"/>
            <w:vAlign w:val="bottom"/>
            <w:gridSpan w:val="2"/>
          </w:tcPr>
          <w:p>
            <w:pPr>
              <w:jc w:val="center"/>
              <w:ind w:left="39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3</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98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Interim Consolidated Statements of Cash Flows</w:t>
              </w:r>
            </w:hyperlink>
          </w:p>
        </w:tc>
        <w:tc>
          <w:tcPr>
            <w:tcW w:w="580" w:type="dxa"/>
            <w:vAlign w:val="bottom"/>
            <w:gridSpan w:val="2"/>
          </w:tcPr>
          <w:p>
            <w:pPr>
              <w:jc w:val="center"/>
              <w:ind w:left="39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4</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74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Notes to Interim Consolidated Financial Statements</w:t>
              </w:r>
            </w:hyperlink>
          </w:p>
        </w:tc>
        <w:tc>
          <w:tcPr>
            <w:tcW w:w="4460" w:type="dxa"/>
            <w:vAlign w:val="bottom"/>
            <w:gridSpan w:val="5"/>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6</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40"/>
              <w:spacing w:after="0"/>
              <w:rPr>
                <w:sz w:val="20"/>
                <w:szCs w:val="20"/>
                <w:color w:val="auto"/>
              </w:rPr>
            </w:pPr>
            <w:r>
              <w:rPr>
                <w:rFonts w:ascii="Arial" w:cs="Arial" w:eastAsia="Arial" w:hAnsi="Arial"/>
                <w:sz w:val="18"/>
                <w:szCs w:val="18"/>
                <w:color w:val="auto"/>
              </w:rPr>
              <w:t>Item 2.</w:t>
            </w:r>
          </w:p>
        </w:tc>
        <w:tc>
          <w:tcPr>
            <w:tcW w:w="240" w:type="dxa"/>
            <w:vAlign w:val="bottom"/>
          </w:tcPr>
          <w:p>
            <w:pPr>
              <w:spacing w:after="0"/>
              <w:rPr>
                <w:sz w:val="21"/>
                <w:szCs w:val="21"/>
                <w:color w:val="auto"/>
              </w:rPr>
            </w:pPr>
          </w:p>
        </w:tc>
        <w:tc>
          <w:tcPr>
            <w:tcW w:w="820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580" w:type="dxa"/>
            <w:vAlign w:val="bottom"/>
            <w:gridSpan w:val="2"/>
          </w:tcPr>
          <w:p>
            <w:pPr>
              <w:jc w:val="center"/>
              <w:ind w:left="31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30</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40"/>
              <w:spacing w:after="0"/>
              <w:rPr>
                <w:sz w:val="20"/>
                <w:szCs w:val="20"/>
                <w:color w:val="auto"/>
              </w:rPr>
            </w:pPr>
            <w:r>
              <w:rPr>
                <w:rFonts w:ascii="Arial" w:cs="Arial" w:eastAsia="Arial" w:hAnsi="Arial"/>
                <w:sz w:val="18"/>
                <w:szCs w:val="18"/>
                <w:color w:val="auto"/>
              </w:rPr>
              <w:t>Item 3.</w:t>
            </w:r>
          </w:p>
        </w:tc>
        <w:tc>
          <w:tcPr>
            <w:tcW w:w="240" w:type="dxa"/>
            <w:vAlign w:val="bottom"/>
          </w:tcPr>
          <w:p>
            <w:pPr>
              <w:spacing w:after="0"/>
              <w:rPr>
                <w:sz w:val="21"/>
                <w:szCs w:val="21"/>
                <w:color w:val="auto"/>
              </w:rPr>
            </w:pPr>
          </w:p>
        </w:tc>
        <w:tc>
          <w:tcPr>
            <w:tcW w:w="438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2"/>
              </w:rPr>
            </w:pPr>
            <w:hyperlink w:anchor="page67">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1"/>
                <w:szCs w:val="21"/>
                <w:color w:val="auto"/>
              </w:rPr>
            </w:pPr>
          </w:p>
        </w:tc>
        <w:tc>
          <w:tcPr>
            <w:tcW w:w="1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center"/>
              <w:spacing w:after="0"/>
              <w:rPr>
                <w:rFonts w:ascii="Arial" w:cs="Arial" w:eastAsia="Arial" w:hAnsi="Arial"/>
                <w:sz w:val="17"/>
                <w:szCs w:val="17"/>
                <w:color w:val="0000EE"/>
                <w:w w:val="73"/>
              </w:rPr>
            </w:pPr>
            <w:hyperlink w:anchor="page67">
              <w:r>
                <w:rPr>
                  <w:rFonts w:ascii="Arial" w:cs="Arial" w:eastAsia="Arial" w:hAnsi="Arial"/>
                  <w:sz w:val="17"/>
                  <w:szCs w:val="17"/>
                  <w:color w:val="0000EE"/>
                  <w:w w:val="73"/>
                </w:rPr>
                <w:t>65</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40"/>
              <w:spacing w:after="0"/>
              <w:rPr>
                <w:sz w:val="20"/>
                <w:szCs w:val="20"/>
                <w:color w:val="auto"/>
              </w:rPr>
            </w:pPr>
            <w:r>
              <w:rPr>
                <w:rFonts w:ascii="Arial" w:cs="Arial" w:eastAsia="Arial" w:hAnsi="Arial"/>
                <w:sz w:val="18"/>
                <w:szCs w:val="18"/>
                <w:color w:val="auto"/>
              </w:rPr>
              <w:t>Item 4.</w:t>
            </w:r>
          </w:p>
        </w:tc>
        <w:tc>
          <w:tcPr>
            <w:tcW w:w="240" w:type="dxa"/>
            <w:vAlign w:val="bottom"/>
          </w:tcPr>
          <w:p>
            <w:pPr>
              <w:spacing w:after="0"/>
              <w:rPr>
                <w:sz w:val="21"/>
                <w:szCs w:val="21"/>
                <w:color w:val="auto"/>
              </w:rPr>
            </w:pPr>
          </w:p>
        </w:tc>
        <w:tc>
          <w:tcPr>
            <w:tcW w:w="18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Controls and Procedures</w:t>
              </w:r>
            </w:hyperlink>
          </w:p>
        </w:tc>
        <w:tc>
          <w:tcPr>
            <w:tcW w:w="6400" w:type="dxa"/>
            <w:vAlign w:val="bottom"/>
            <w:gridSpan w:val="11"/>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67">
              <w:r>
                <w:rPr>
                  <w:rFonts w:ascii="Arial" w:cs="Arial" w:eastAsia="Arial" w:hAnsi="Arial"/>
                  <w:sz w:val="17"/>
                  <w:szCs w:val="17"/>
                  <w:color w:val="0000EE"/>
                  <w:w w:val="73"/>
                </w:rPr>
                <w:t>65</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4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OTHER INFORMATION</w:t>
              </w:r>
            </w:hyperlink>
          </w:p>
        </w:tc>
        <w:tc>
          <w:tcPr>
            <w:tcW w:w="6400" w:type="dxa"/>
            <w:vAlign w:val="bottom"/>
            <w:gridSpan w:val="11"/>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68">
              <w:r>
                <w:rPr>
                  <w:rFonts w:ascii="Arial" w:cs="Arial" w:eastAsia="Arial" w:hAnsi="Arial"/>
                  <w:sz w:val="17"/>
                  <w:szCs w:val="17"/>
                  <w:color w:val="0000EE"/>
                  <w:w w:val="73"/>
                </w:rPr>
                <w:t>66</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40"/>
              <w:spacing w:after="0"/>
              <w:rPr>
                <w:sz w:val="20"/>
                <w:szCs w:val="20"/>
                <w:color w:val="auto"/>
              </w:rPr>
            </w:pPr>
            <w:r>
              <w:rPr>
                <w:rFonts w:ascii="Arial" w:cs="Arial" w:eastAsia="Arial" w:hAnsi="Arial"/>
                <w:sz w:val="18"/>
                <w:szCs w:val="18"/>
                <w:color w:val="auto"/>
              </w:rPr>
              <w:t>Item 1.</w:t>
            </w:r>
          </w:p>
        </w:tc>
        <w:tc>
          <w:tcPr>
            <w:tcW w:w="240" w:type="dxa"/>
            <w:vAlign w:val="bottom"/>
          </w:tcPr>
          <w:p>
            <w:pPr>
              <w:spacing w:after="0"/>
              <w:rPr>
                <w:sz w:val="21"/>
                <w:szCs w:val="21"/>
                <w:color w:val="auto"/>
              </w:rPr>
            </w:pPr>
          </w:p>
        </w:tc>
        <w:tc>
          <w:tcPr>
            <w:tcW w:w="8200" w:type="dxa"/>
            <w:vAlign w:val="bottom"/>
            <w:gridSpan w:val="2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Legal Proceedings</w:t>
              </w:r>
            </w:hyperlink>
          </w:p>
        </w:tc>
        <w:tc>
          <w:tcPr>
            <w:tcW w:w="580" w:type="dxa"/>
            <w:vAlign w:val="bottom"/>
            <w:gridSpan w:val="2"/>
          </w:tcPr>
          <w:p>
            <w:pPr>
              <w:jc w:val="center"/>
              <w:ind w:left="31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66</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40"/>
              <w:spacing w:after="0"/>
              <w:rPr>
                <w:sz w:val="20"/>
                <w:szCs w:val="20"/>
                <w:color w:val="auto"/>
              </w:rPr>
            </w:pPr>
            <w:r>
              <w:rPr>
                <w:rFonts w:ascii="Arial" w:cs="Arial" w:eastAsia="Arial" w:hAnsi="Arial"/>
                <w:sz w:val="18"/>
                <w:szCs w:val="18"/>
                <w:color w:val="auto"/>
              </w:rPr>
              <w:t>Item 1A.</w:t>
            </w:r>
          </w:p>
        </w:tc>
        <w:tc>
          <w:tcPr>
            <w:tcW w:w="240" w:type="dxa"/>
            <w:vAlign w:val="bottom"/>
          </w:tcPr>
          <w:p>
            <w:pPr>
              <w:spacing w:after="0"/>
              <w:rPr>
                <w:sz w:val="21"/>
                <w:szCs w:val="21"/>
                <w:color w:val="auto"/>
              </w:rPr>
            </w:pPr>
          </w:p>
        </w:tc>
        <w:tc>
          <w:tcPr>
            <w:tcW w:w="9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1"/>
                <w:szCs w:val="21"/>
                <w:color w:val="auto"/>
              </w:rPr>
            </w:pPr>
          </w:p>
        </w:tc>
        <w:tc>
          <w:tcPr>
            <w:tcW w:w="6860" w:type="dxa"/>
            <w:vAlign w:val="bottom"/>
            <w:gridSpan w:val="14"/>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center"/>
              <w:spacing w:after="0"/>
              <w:rPr>
                <w:rFonts w:ascii="Arial" w:cs="Arial" w:eastAsia="Arial" w:hAnsi="Arial"/>
                <w:sz w:val="17"/>
                <w:szCs w:val="17"/>
                <w:color w:val="0000EE"/>
                <w:w w:val="73"/>
              </w:rPr>
            </w:pPr>
            <w:hyperlink w:anchor="page68">
              <w:r>
                <w:rPr>
                  <w:rFonts w:ascii="Arial" w:cs="Arial" w:eastAsia="Arial" w:hAnsi="Arial"/>
                  <w:sz w:val="17"/>
                  <w:szCs w:val="17"/>
                  <w:color w:val="0000EE"/>
                  <w:w w:val="73"/>
                </w:rPr>
                <w:t>66</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40"/>
              <w:spacing w:after="0"/>
              <w:rPr>
                <w:sz w:val="20"/>
                <w:szCs w:val="20"/>
                <w:color w:val="auto"/>
              </w:rPr>
            </w:pPr>
            <w:r>
              <w:rPr>
                <w:rFonts w:ascii="Arial" w:cs="Arial" w:eastAsia="Arial" w:hAnsi="Arial"/>
                <w:sz w:val="18"/>
                <w:szCs w:val="18"/>
                <w:color w:val="auto"/>
              </w:rPr>
              <w:t>Item 2.</w:t>
            </w:r>
          </w:p>
        </w:tc>
        <w:tc>
          <w:tcPr>
            <w:tcW w:w="240" w:type="dxa"/>
            <w:vAlign w:val="bottom"/>
          </w:tcPr>
          <w:p>
            <w:pPr>
              <w:spacing w:after="0"/>
              <w:rPr>
                <w:sz w:val="21"/>
                <w:szCs w:val="21"/>
                <w:color w:val="auto"/>
              </w:rPr>
            </w:pPr>
          </w:p>
        </w:tc>
        <w:tc>
          <w:tcPr>
            <w:tcW w:w="43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Unregistered Sales of Equity Securities and Use of Proceeds</w:t>
              </w:r>
            </w:hyperlink>
          </w:p>
        </w:tc>
        <w:tc>
          <w:tcPr>
            <w:tcW w:w="3840" w:type="dxa"/>
            <w:vAlign w:val="bottom"/>
            <w:gridSpan w:val="4"/>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70">
              <w:r>
                <w:rPr>
                  <w:rFonts w:ascii="Arial" w:cs="Arial" w:eastAsia="Arial" w:hAnsi="Arial"/>
                  <w:sz w:val="17"/>
                  <w:szCs w:val="17"/>
                  <w:color w:val="0000EE"/>
                  <w:w w:val="73"/>
                </w:rPr>
                <w:t>68</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40"/>
              <w:spacing w:after="0"/>
              <w:rPr>
                <w:sz w:val="20"/>
                <w:szCs w:val="20"/>
                <w:color w:val="auto"/>
              </w:rPr>
            </w:pPr>
            <w:r>
              <w:rPr>
                <w:rFonts w:ascii="Arial" w:cs="Arial" w:eastAsia="Arial" w:hAnsi="Arial"/>
                <w:sz w:val="18"/>
                <w:szCs w:val="18"/>
                <w:color w:val="auto"/>
              </w:rPr>
              <w:t>Item 3.</w:t>
            </w:r>
          </w:p>
        </w:tc>
        <w:tc>
          <w:tcPr>
            <w:tcW w:w="240" w:type="dxa"/>
            <w:vAlign w:val="bottom"/>
          </w:tcPr>
          <w:p>
            <w:pPr>
              <w:spacing w:after="0"/>
              <w:rPr>
                <w:sz w:val="21"/>
                <w:szCs w:val="21"/>
                <w:color w:val="auto"/>
              </w:rPr>
            </w:pPr>
          </w:p>
        </w:tc>
        <w:tc>
          <w:tcPr>
            <w:tcW w:w="23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70">
              <w:r>
                <w:rPr>
                  <w:rFonts w:ascii="Arial" w:cs="Arial" w:eastAsia="Arial" w:hAnsi="Arial"/>
                  <w:sz w:val="18"/>
                  <w:szCs w:val="18"/>
                  <w:color w:val="0000EE"/>
                  <w:w w:val="90"/>
                </w:rPr>
                <w:t>Defaults Upon Senior Securities</w:t>
              </w:r>
            </w:hyperlink>
          </w:p>
        </w:tc>
        <w:tc>
          <w:tcPr>
            <w:tcW w:w="5860" w:type="dxa"/>
            <w:vAlign w:val="bottom"/>
            <w:gridSpan w:val="10"/>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70">
              <w:r>
                <w:rPr>
                  <w:rFonts w:ascii="Arial" w:cs="Arial" w:eastAsia="Arial" w:hAnsi="Arial"/>
                  <w:sz w:val="17"/>
                  <w:szCs w:val="17"/>
                  <w:color w:val="0000EE"/>
                  <w:w w:val="73"/>
                </w:rPr>
                <w:t>68</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40"/>
              <w:spacing w:after="0"/>
              <w:rPr>
                <w:sz w:val="20"/>
                <w:szCs w:val="20"/>
                <w:color w:val="auto"/>
              </w:rPr>
            </w:pPr>
            <w:r>
              <w:rPr>
                <w:rFonts w:ascii="Arial" w:cs="Arial" w:eastAsia="Arial" w:hAnsi="Arial"/>
                <w:sz w:val="18"/>
                <w:szCs w:val="18"/>
                <w:color w:val="auto"/>
              </w:rPr>
              <w:t>Item 4.</w:t>
            </w:r>
          </w:p>
        </w:tc>
        <w:tc>
          <w:tcPr>
            <w:tcW w:w="240" w:type="dxa"/>
            <w:vAlign w:val="bottom"/>
          </w:tcPr>
          <w:p>
            <w:pPr>
              <w:spacing w:after="0"/>
              <w:rPr>
                <w:sz w:val="21"/>
                <w:szCs w:val="21"/>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71">
              <w:r>
                <w:rPr>
                  <w:rFonts w:ascii="Arial" w:cs="Arial" w:eastAsia="Arial" w:hAnsi="Arial"/>
                  <w:sz w:val="18"/>
                  <w:szCs w:val="18"/>
                  <w:color w:val="0000EE"/>
                  <w:w w:val="91"/>
                </w:rPr>
                <w:t>Mine Safety Disclosures</w:t>
              </w:r>
            </w:hyperlink>
          </w:p>
        </w:tc>
        <w:tc>
          <w:tcPr>
            <w:tcW w:w="6420" w:type="dxa"/>
            <w:vAlign w:val="bottom"/>
            <w:gridSpan w:val="12"/>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71">
              <w:r>
                <w:rPr>
                  <w:rFonts w:ascii="Arial" w:cs="Arial" w:eastAsia="Arial" w:hAnsi="Arial"/>
                  <w:sz w:val="17"/>
                  <w:szCs w:val="17"/>
                  <w:color w:val="0000EE"/>
                  <w:w w:val="73"/>
                </w:rPr>
                <w:t>69</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40"/>
              <w:spacing w:after="0"/>
              <w:rPr>
                <w:sz w:val="20"/>
                <w:szCs w:val="20"/>
                <w:color w:val="auto"/>
              </w:rPr>
            </w:pPr>
            <w:r>
              <w:rPr>
                <w:rFonts w:ascii="Arial" w:cs="Arial" w:eastAsia="Arial" w:hAnsi="Arial"/>
                <w:sz w:val="18"/>
                <w:szCs w:val="18"/>
                <w:color w:val="auto"/>
              </w:rPr>
              <w:t>Item 5.</w:t>
            </w:r>
          </w:p>
        </w:tc>
        <w:tc>
          <w:tcPr>
            <w:tcW w:w="240" w:type="dxa"/>
            <w:vAlign w:val="bottom"/>
          </w:tcPr>
          <w:p>
            <w:pPr>
              <w:spacing w:after="0"/>
              <w:rPr>
                <w:sz w:val="21"/>
                <w:szCs w:val="21"/>
                <w:color w:val="auto"/>
              </w:rPr>
            </w:pPr>
          </w:p>
        </w:tc>
        <w:tc>
          <w:tcPr>
            <w:tcW w:w="8200" w:type="dxa"/>
            <w:vAlign w:val="bottom"/>
            <w:gridSpan w:val="20"/>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580" w:type="dxa"/>
            <w:vAlign w:val="bottom"/>
            <w:gridSpan w:val="2"/>
          </w:tcPr>
          <w:p>
            <w:pPr>
              <w:jc w:val="center"/>
              <w:ind w:left="310"/>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69</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40"/>
              <w:spacing w:after="0"/>
              <w:rPr>
                <w:sz w:val="20"/>
                <w:szCs w:val="20"/>
                <w:color w:val="auto"/>
              </w:rPr>
            </w:pPr>
            <w:r>
              <w:rPr>
                <w:rFonts w:ascii="Arial" w:cs="Arial" w:eastAsia="Arial" w:hAnsi="Arial"/>
                <w:sz w:val="18"/>
                <w:szCs w:val="18"/>
                <w:color w:val="auto"/>
              </w:rPr>
              <w:t>Item 6.</w:t>
            </w:r>
          </w:p>
        </w:tc>
        <w:tc>
          <w:tcPr>
            <w:tcW w:w="240" w:type="dxa"/>
            <w:vAlign w:val="bottom"/>
          </w:tcPr>
          <w:p>
            <w:pPr>
              <w:spacing w:after="0"/>
              <w:rPr>
                <w:sz w:val="21"/>
                <w:szCs w:val="21"/>
                <w:color w:val="auto"/>
              </w:rPr>
            </w:pP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Exhibits</w:t>
              </w:r>
            </w:hyperlink>
          </w:p>
        </w:tc>
        <w:tc>
          <w:tcPr>
            <w:tcW w:w="6880" w:type="dxa"/>
            <w:vAlign w:val="bottom"/>
            <w:gridSpan w:val="15"/>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top w:val="single" w:sz="8" w:color="0000EE"/>
            </w:tcBorders>
          </w:tcPr>
          <w:p>
            <w:pPr>
              <w:jc w:val="center"/>
              <w:spacing w:after="0"/>
              <w:rPr>
                <w:rFonts w:ascii="Arial" w:cs="Arial" w:eastAsia="Arial" w:hAnsi="Arial"/>
                <w:sz w:val="17"/>
                <w:szCs w:val="17"/>
                <w:color w:val="0000EE"/>
                <w:w w:val="73"/>
              </w:rPr>
            </w:pPr>
            <w:hyperlink w:anchor="page71">
              <w:r>
                <w:rPr>
                  <w:rFonts w:ascii="Arial" w:cs="Arial" w:eastAsia="Arial" w:hAnsi="Arial"/>
                  <w:sz w:val="17"/>
                  <w:szCs w:val="17"/>
                  <w:color w:val="0000EE"/>
                  <w:w w:val="73"/>
                </w:rPr>
                <w:t>69</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340" w:type="dxa"/>
            <w:vAlign w:val="bottom"/>
            <w:gridSpan w:val="17"/>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8440" w:type="dxa"/>
            <w:vAlign w:val="bottom"/>
            <w:gridSpan w:val="21"/>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SIGNATURES</w:t>
              </w:r>
            </w:hyperlink>
          </w:p>
        </w:tc>
        <w:tc>
          <w:tcPr>
            <w:tcW w:w="580" w:type="dxa"/>
            <w:vAlign w:val="bottom"/>
            <w:gridSpan w:val="2"/>
          </w:tcPr>
          <w:p>
            <w:pPr>
              <w:jc w:val="center"/>
              <w:ind w:left="310"/>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71</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firstLine="662"/>
        <w:spacing w:after="0" w:line="226" w:lineRule="auto"/>
        <w:rPr>
          <w:sz w:val="20"/>
          <w:szCs w:val="20"/>
          <w:color w:val="auto"/>
        </w:rPr>
      </w:pPr>
      <w:r>
        <w:rPr>
          <w:rFonts w:ascii="Arial" w:cs="Arial" w:eastAsia="Arial" w:hAnsi="Arial"/>
          <w:sz w:val="18"/>
          <w:szCs w:val="18"/>
          <w:color w:val="auto"/>
        </w:rPr>
        <w:t>Throughout this report, we refer to brands that we own, as well as those brands that we license from Marriott International, Inc. (“Marriott International”) or its affiliates, as our brands. Brand names, trademarks, service marks and trade names that we own or license from Marriott International include Marriott Vacation Club</w:t>
      </w:r>
      <w:r>
        <w:rPr>
          <w:rFonts w:ascii="Arial" w:cs="Arial" w:eastAsia="Arial" w:hAnsi="Arial"/>
          <w:sz w:val="25"/>
          <w:szCs w:val="25"/>
          <w:color w:val="auto"/>
          <w:vertAlign w:val="superscript"/>
        </w:rPr>
        <w:t>®</w:t>
      </w:r>
      <w:r>
        <w:rPr>
          <w:rFonts w:ascii="Arial" w:cs="Arial" w:eastAsia="Arial" w:hAnsi="Arial"/>
          <w:sz w:val="18"/>
          <w:szCs w:val="18"/>
          <w:color w:val="auto"/>
        </w:rPr>
        <w:t>, Marriott Vacation Club Destinations</w:t>
      </w:r>
      <w:r>
        <w:rPr>
          <w:rFonts w:ascii="Arial" w:cs="Arial" w:eastAsia="Arial" w:hAnsi="Arial"/>
          <w:sz w:val="18"/>
          <w:szCs w:val="18"/>
          <w:color w:val="auto"/>
          <w:vertAlign w:val="superscript"/>
        </w:rPr>
        <w:t>TM</w:t>
      </w:r>
      <w:r>
        <w:rPr>
          <w:rFonts w:ascii="Arial" w:cs="Arial" w:eastAsia="Arial" w:hAnsi="Arial"/>
          <w:sz w:val="14"/>
          <w:szCs w:val="14"/>
          <w:color w:val="auto"/>
        </w:rPr>
        <w:t>,</w:t>
      </w:r>
      <w:r>
        <w:rPr>
          <w:rFonts w:ascii="Arial" w:cs="Arial" w:eastAsia="Arial" w:hAnsi="Arial"/>
          <w:sz w:val="18"/>
          <w:szCs w:val="18"/>
          <w:color w:val="auto"/>
        </w:rPr>
        <w:t xml:space="preserve"> Marriott Vacation Club Pulse</w:t>
      </w:r>
      <w:r>
        <w:rPr>
          <w:rFonts w:ascii="Arial" w:cs="Arial" w:eastAsia="Arial" w:hAnsi="Arial"/>
          <w:sz w:val="25"/>
          <w:szCs w:val="25"/>
          <w:color w:val="auto"/>
          <w:vertAlign w:val="superscript"/>
        </w:rPr>
        <w:t>SM</w:t>
      </w:r>
      <w:r>
        <w:rPr>
          <w:rFonts w:ascii="Arial" w:cs="Arial" w:eastAsia="Arial" w:hAnsi="Arial"/>
          <w:sz w:val="18"/>
          <w:szCs w:val="18"/>
          <w:color w:val="auto"/>
        </w:rPr>
        <w:t>, Marriott Grand Residence Club</w:t>
      </w:r>
      <w:r>
        <w:rPr>
          <w:rFonts w:ascii="Arial" w:cs="Arial" w:eastAsia="Arial" w:hAnsi="Arial"/>
          <w:sz w:val="25"/>
          <w:szCs w:val="25"/>
          <w:color w:val="auto"/>
          <w:vertAlign w:val="superscript"/>
        </w:rPr>
        <w:t>®</w:t>
      </w:r>
      <w:r>
        <w:rPr>
          <w:rFonts w:ascii="Arial" w:cs="Arial" w:eastAsia="Arial" w:hAnsi="Arial"/>
          <w:sz w:val="18"/>
          <w:szCs w:val="18"/>
          <w:color w:val="auto"/>
        </w:rPr>
        <w:t>, Grand Residences by Marriott</w:t>
      </w:r>
      <w:r>
        <w:rPr>
          <w:rFonts w:ascii="Arial" w:cs="Arial" w:eastAsia="Arial" w:hAnsi="Arial"/>
          <w:sz w:val="25"/>
          <w:szCs w:val="25"/>
          <w:color w:val="auto"/>
          <w:vertAlign w:val="superscript"/>
        </w:rPr>
        <w:t>®</w:t>
      </w:r>
      <w:r>
        <w:rPr>
          <w:rFonts w:ascii="Arial" w:cs="Arial" w:eastAsia="Arial" w:hAnsi="Arial"/>
          <w:sz w:val="18"/>
          <w:szCs w:val="18"/>
          <w:color w:val="auto"/>
        </w:rPr>
        <w:t>, and The Ritz-Carlton Club</w:t>
      </w:r>
      <w:r>
        <w:rPr>
          <w:rFonts w:ascii="Arial" w:cs="Arial" w:eastAsia="Arial" w:hAnsi="Arial"/>
          <w:sz w:val="25"/>
          <w:szCs w:val="25"/>
          <w:color w:val="auto"/>
          <w:vertAlign w:val="superscript"/>
        </w:rPr>
        <w:t>®</w:t>
      </w:r>
      <w:r>
        <w:rPr>
          <w:rFonts w:ascii="Arial" w:cs="Arial" w:eastAsia="Arial" w:hAnsi="Arial"/>
          <w:sz w:val="18"/>
          <w:szCs w:val="18"/>
          <w:color w:val="auto"/>
        </w:rPr>
        <w:t>. We also refer to Marriott International’s Marriott Rewards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customer loyalty program. We may also refer to brand names, trademarks, service marks and trade names of other companies and organizations, and these brand names, trademarks, service marks and trade names are the property of their respective owners.</w:t>
      </w:r>
    </w:p>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INTERIM CONSOLIDATED STATEMENTS OF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387"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3"/>
          </w:tcPr>
          <w:p>
            <w:pPr>
              <w:jc w:val="right"/>
              <w:spacing w:after="0"/>
              <w:rPr>
                <w:sz w:val="20"/>
                <w:szCs w:val="20"/>
                <w:color w:val="auto"/>
              </w:rPr>
            </w:pPr>
            <w:r>
              <w:rPr>
                <w:rFonts w:ascii="Arial" w:cs="Arial" w:eastAsia="Arial" w:hAnsi="Arial"/>
                <w:sz w:val="16"/>
                <w:szCs w:val="16"/>
                <w:b w:val="1"/>
                <w:bCs w:val="1"/>
                <w:color w:val="auto"/>
              </w:rPr>
              <w:t>Quarter Ended</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80" w:type="dxa"/>
            <w:vAlign w:val="bottom"/>
            <w:gridSpan w:val="4"/>
          </w:tcPr>
          <w:p>
            <w:pPr>
              <w:jc w:val="right"/>
              <w:ind w:right="791"/>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September 30, 2017</w:t>
            </w:r>
          </w:p>
        </w:tc>
        <w:tc>
          <w:tcPr>
            <w:tcW w:w="16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September 9, 2016</w:t>
            </w: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September 30, 2017</w:t>
            </w:r>
          </w:p>
        </w:tc>
        <w:tc>
          <w:tcPr>
            <w:tcW w:w="120" w:type="dxa"/>
            <w:vAlign w:val="bottom"/>
          </w:tcPr>
          <w:p>
            <w:pPr>
              <w:spacing w:after="0"/>
              <w:rPr>
                <w:sz w:val="20"/>
                <w:szCs w:val="20"/>
                <w:color w:val="auto"/>
              </w:rPr>
            </w:pPr>
          </w:p>
        </w:tc>
        <w:tc>
          <w:tcPr>
            <w:tcW w:w="1460" w:type="dxa"/>
            <w:vAlign w:val="bottom"/>
          </w:tcPr>
          <w:p>
            <w:pPr>
              <w:jc w:val="right"/>
              <w:ind w:right="71"/>
              <w:spacing w:after="0"/>
              <w:rPr>
                <w:sz w:val="20"/>
                <w:szCs w:val="20"/>
                <w:color w:val="auto"/>
              </w:rPr>
            </w:pPr>
            <w:r>
              <w:rPr>
                <w:rFonts w:ascii="Arial" w:cs="Arial" w:eastAsia="Arial" w:hAnsi="Arial"/>
                <w:sz w:val="16"/>
                <w:szCs w:val="16"/>
                <w:b w:val="1"/>
                <w:bCs w:val="1"/>
                <w:color w:val="auto"/>
                <w:w w:val="91"/>
              </w:rPr>
              <w:t>September 9, 2016</w:t>
            </w:r>
          </w:p>
        </w:tc>
      </w:tr>
      <w:tr>
        <w:trPr>
          <w:trHeight w:val="297"/>
        </w:trPr>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(92 days)</w:t>
            </w:r>
          </w:p>
        </w:tc>
        <w:tc>
          <w:tcPr>
            <w:tcW w:w="420" w:type="dxa"/>
            <w:vAlign w:val="bottom"/>
          </w:tcPr>
          <w:p>
            <w:pPr>
              <w:spacing w:after="0"/>
              <w:rPr>
                <w:sz w:val="24"/>
                <w:szCs w:val="24"/>
                <w:color w:val="auto"/>
              </w:rPr>
            </w:pPr>
          </w:p>
        </w:tc>
        <w:tc>
          <w:tcPr>
            <w:tcW w:w="12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(84 days)</w:t>
            </w:r>
          </w:p>
        </w:tc>
        <w:tc>
          <w:tcPr>
            <w:tcW w:w="280" w:type="dxa"/>
            <w:vAlign w:val="bottom"/>
          </w:tcPr>
          <w:p>
            <w:pPr>
              <w:spacing w:after="0"/>
              <w:rPr>
                <w:sz w:val="24"/>
                <w:szCs w:val="2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(274 days)</w:t>
            </w:r>
          </w:p>
        </w:tc>
        <w:tc>
          <w:tcPr>
            <w:tcW w:w="120" w:type="dxa"/>
            <w:vAlign w:val="bottom"/>
          </w:tcPr>
          <w:p>
            <w:pPr>
              <w:spacing w:after="0"/>
              <w:rPr>
                <w:sz w:val="24"/>
                <w:szCs w:val="24"/>
                <w:color w:val="auto"/>
              </w:rPr>
            </w:pPr>
          </w:p>
        </w:tc>
        <w:tc>
          <w:tcPr>
            <w:tcW w:w="1460" w:type="dxa"/>
            <w:vAlign w:val="bottom"/>
          </w:tcPr>
          <w:p>
            <w:pPr>
              <w:jc w:val="right"/>
              <w:ind w:right="391"/>
              <w:spacing w:after="0"/>
              <w:rPr>
                <w:sz w:val="20"/>
                <w:szCs w:val="20"/>
                <w:color w:val="auto"/>
              </w:rPr>
            </w:pPr>
            <w:r>
              <w:rPr>
                <w:rFonts w:ascii="Arial" w:cs="Arial" w:eastAsia="Arial" w:hAnsi="Arial"/>
                <w:sz w:val="14"/>
                <w:szCs w:val="14"/>
                <w:b w:val="1"/>
                <w:bCs w:val="1"/>
                <w:color w:val="auto"/>
              </w:rPr>
              <w:t>(252 days)</w:t>
            </w:r>
          </w:p>
        </w:tc>
      </w:tr>
      <w:tr>
        <w:trPr>
          <w:trHeight w:val="250"/>
        </w:trPr>
        <w:tc>
          <w:tcPr>
            <w:tcW w:w="2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shd w:val="clear" w:color="auto" w:fill="CCEEFF"/>
              </w:rPr>
              <w:t>REVENUES</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40" w:type="dxa"/>
            <w:vAlign w:val="bottom"/>
            <w:gridSpan w:val="5"/>
          </w:tcPr>
          <w:p>
            <w:pPr>
              <w:ind w:left="260"/>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180,522</w:t>
            </w:r>
          </w:p>
        </w:tc>
        <w:tc>
          <w:tcPr>
            <w:tcW w:w="120" w:type="dxa"/>
            <w:vAlign w:val="bottom"/>
          </w:tcPr>
          <w:p>
            <w:pPr>
              <w:spacing w:after="0"/>
              <w:rPr>
                <w:sz w:val="21"/>
                <w:szCs w:val="21"/>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131,012</w:t>
            </w:r>
          </w:p>
        </w:tc>
        <w:tc>
          <w:tcPr>
            <w:tcW w:w="220" w:type="dxa"/>
            <w:vAlign w:val="bottom"/>
          </w:tcPr>
          <w:p>
            <w:pPr>
              <w:spacing w:after="0"/>
              <w:rPr>
                <w:sz w:val="21"/>
                <w:szCs w:val="21"/>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543,687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415,831</w:t>
            </w:r>
          </w:p>
        </w:tc>
      </w:tr>
      <w:tr>
        <w:trPr>
          <w:trHeight w:val="27"/>
        </w:trPr>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5"/>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Resort management and other services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76,882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70,185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229,004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208,049</w:t>
            </w:r>
          </w:p>
        </w:tc>
      </w:tr>
      <w:tr>
        <w:trPr>
          <w:trHeight w:val="243"/>
        </w:trPr>
        <w:tc>
          <w:tcPr>
            <w:tcW w:w="4740" w:type="dxa"/>
            <w:vAlign w:val="bottom"/>
            <w:gridSpan w:val="5"/>
          </w:tcPr>
          <w:p>
            <w:pPr>
              <w:ind w:left="260"/>
              <w:spacing w:after="0"/>
              <w:rPr>
                <w:sz w:val="20"/>
                <w:szCs w:val="20"/>
                <w:color w:val="auto"/>
              </w:rPr>
            </w:pPr>
            <w:r>
              <w:rPr>
                <w:rFonts w:ascii="Arial" w:cs="Arial" w:eastAsia="Arial" w:hAnsi="Arial"/>
                <w:sz w:val="18"/>
                <w:szCs w:val="18"/>
                <w:color w:val="auto"/>
              </w:rPr>
              <w:t>Financing</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34,685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29,066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99,326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86,944</w:t>
            </w:r>
          </w:p>
        </w:tc>
      </w:tr>
      <w:tr>
        <w:trPr>
          <w:trHeight w:val="27"/>
        </w:trPr>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Rental</w:t>
            </w:r>
          </w:p>
        </w:tc>
        <w:tc>
          <w:tcPr>
            <w:tcW w:w="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81,177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73,776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250,621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229,133</w:t>
            </w:r>
          </w:p>
        </w:tc>
      </w:tr>
      <w:tr>
        <w:trPr>
          <w:trHeight w:val="243"/>
        </w:trPr>
        <w:tc>
          <w:tcPr>
            <w:tcW w:w="4740" w:type="dxa"/>
            <w:vAlign w:val="bottom"/>
            <w:gridSpan w:val="5"/>
          </w:tcPr>
          <w:p>
            <w:pPr>
              <w:ind w:left="260"/>
              <w:spacing w:after="0"/>
              <w:rPr>
                <w:sz w:val="20"/>
                <w:szCs w:val="20"/>
                <w:color w:val="auto"/>
              </w:rPr>
            </w:pPr>
            <w:r>
              <w:rPr>
                <w:rFonts w:ascii="Arial" w:cs="Arial" w:eastAsia="Arial" w:hAnsi="Arial"/>
                <w:sz w:val="18"/>
                <w:szCs w:val="18"/>
                <w:color w:val="auto"/>
              </w:rPr>
              <w:t>Cost reimbursements</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113,724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97,598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348,091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303,973</w:t>
            </w:r>
          </w:p>
        </w:tc>
      </w:tr>
      <w:tr>
        <w:trPr>
          <w:trHeight w:val="27"/>
        </w:trPr>
        <w:tc>
          <w:tcPr>
            <w:tcW w:w="4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4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8"/>
                <w:shd w:val="clear" w:color="auto" w:fill="CCEEFF"/>
              </w:rPr>
              <w:t>TOTAL REVENUES</w:t>
            </w:r>
          </w:p>
        </w:tc>
        <w:tc>
          <w:tcPr>
            <w:tcW w:w="8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486,990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401,637</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1,470,729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1,243,930</w:t>
            </w:r>
          </w:p>
        </w:tc>
      </w:tr>
      <w:tr>
        <w:trPr>
          <w:trHeight w:val="237"/>
        </w:trPr>
        <w:tc>
          <w:tcPr>
            <w:tcW w:w="4740" w:type="dxa"/>
            <w:vAlign w:val="bottom"/>
            <w:gridSpan w:val="5"/>
          </w:tcPr>
          <w:p>
            <w:pPr>
              <w:ind w:left="20"/>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27"/>
        </w:trPr>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w w:val="93"/>
                <w:shd w:val="clear" w:color="auto" w:fill="CCEEFF"/>
              </w:rPr>
              <w:t>Cost of vacation ownership products</w:t>
            </w: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34,779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131,589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104,149</w:t>
            </w:r>
          </w:p>
        </w:tc>
      </w:tr>
      <w:tr>
        <w:trPr>
          <w:trHeight w:val="243"/>
        </w:trPr>
        <w:tc>
          <w:tcPr>
            <w:tcW w:w="4740" w:type="dxa"/>
            <w:vAlign w:val="bottom"/>
            <w:gridSpan w:val="5"/>
          </w:tcPr>
          <w:p>
            <w:pPr>
              <w:ind w:left="260"/>
              <w:spacing w:after="0"/>
              <w:rPr>
                <w:sz w:val="20"/>
                <w:szCs w:val="20"/>
                <w:color w:val="auto"/>
              </w:rPr>
            </w:pPr>
            <w:r>
              <w:rPr>
                <w:rFonts w:ascii="Arial" w:cs="Arial" w:eastAsia="Arial" w:hAnsi="Arial"/>
                <w:sz w:val="18"/>
                <w:szCs w:val="18"/>
                <w:color w:val="auto"/>
              </w:rPr>
              <w:t>Marketing and sales</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100,527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79,017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305,217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236,348</w:t>
            </w:r>
          </w:p>
        </w:tc>
      </w:tr>
      <w:tr>
        <w:trPr>
          <w:trHeight w:val="27"/>
        </w:trPr>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5"/>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Resort management and other services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44,696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39,825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130,349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123,695</w:t>
            </w:r>
          </w:p>
        </w:tc>
      </w:tr>
      <w:tr>
        <w:trPr>
          <w:trHeight w:val="243"/>
        </w:trPr>
        <w:tc>
          <w:tcPr>
            <w:tcW w:w="4740" w:type="dxa"/>
            <w:vAlign w:val="bottom"/>
            <w:gridSpan w:val="5"/>
          </w:tcPr>
          <w:p>
            <w:pPr>
              <w:ind w:left="260"/>
              <w:spacing w:after="0"/>
              <w:rPr>
                <w:sz w:val="20"/>
                <w:szCs w:val="20"/>
                <w:color w:val="auto"/>
              </w:rPr>
            </w:pPr>
            <w:r>
              <w:rPr>
                <w:rFonts w:ascii="Arial" w:cs="Arial" w:eastAsia="Arial" w:hAnsi="Arial"/>
                <w:sz w:val="18"/>
                <w:szCs w:val="18"/>
                <w:color w:val="auto"/>
              </w:rPr>
              <w:t>Financing</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5,062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4,581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12,528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11,782</w:t>
            </w:r>
          </w:p>
        </w:tc>
      </w:tr>
      <w:tr>
        <w:trPr>
          <w:trHeight w:val="27"/>
        </w:trPr>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Rental</w:t>
            </w:r>
          </w:p>
        </w:tc>
        <w:tc>
          <w:tcPr>
            <w:tcW w:w="920" w:type="dxa"/>
            <w:vAlign w:val="bottom"/>
            <w:tcBorders>
              <w:bottom w:val="single" w:sz="8" w:color="CCEEFF"/>
            </w:tcBorders>
            <w:gridSpan w:val="2"/>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71,048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60,970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211,643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191,658</w:t>
            </w:r>
          </w:p>
        </w:tc>
      </w:tr>
      <w:tr>
        <w:trPr>
          <w:trHeight w:val="243"/>
        </w:trPr>
        <w:tc>
          <w:tcPr>
            <w:tcW w:w="4740" w:type="dxa"/>
            <w:vAlign w:val="bottom"/>
            <w:gridSpan w:val="5"/>
          </w:tcPr>
          <w:p>
            <w:pPr>
              <w:ind w:left="26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26,666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22,151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83,739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72,871</w:t>
            </w:r>
          </w:p>
        </w:tc>
      </w:tr>
      <w:tr>
        <w:trPr>
          <w:trHeight w:val="27"/>
        </w:trPr>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Litigation settlement</w:t>
            </w:r>
          </w:p>
        </w:tc>
        <w:tc>
          <w:tcPr>
            <w:tcW w:w="920" w:type="dxa"/>
            <w:vAlign w:val="bottom"/>
            <w:tcBorders>
              <w:bottom w:val="single" w:sz="8" w:color="CCEEFF"/>
            </w:tcBorders>
            <w:gridSpan w:val="2"/>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43"/>
        </w:trPr>
        <w:tc>
          <w:tcPr>
            <w:tcW w:w="4740" w:type="dxa"/>
            <w:vAlign w:val="bottom"/>
            <w:gridSpan w:val="5"/>
          </w:tcPr>
          <w:p>
            <w:pPr>
              <w:ind w:left="260"/>
              <w:spacing w:after="0"/>
              <w:rPr>
                <w:sz w:val="20"/>
                <w:szCs w:val="20"/>
                <w:color w:val="auto"/>
              </w:rPr>
            </w:pPr>
            <w:r>
              <w:rPr>
                <w:rFonts w:ascii="Arial" w:cs="Arial" w:eastAsia="Arial" w:hAnsi="Arial"/>
                <w:sz w:val="18"/>
                <w:szCs w:val="18"/>
                <w:color w:val="auto"/>
              </w:rPr>
              <w:t>Consumer financing interest</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6,498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5,361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18,090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15,840</w:t>
            </w:r>
          </w:p>
        </w:tc>
      </w:tr>
      <w:tr>
        <w:trPr>
          <w:trHeight w:val="27"/>
        </w:trPr>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Royalty fee</w:t>
            </w:r>
          </w:p>
        </w:tc>
        <w:tc>
          <w:tcPr>
            <w:tcW w:w="920" w:type="dxa"/>
            <w:vAlign w:val="bottom"/>
            <w:tcBorders>
              <w:bottom w:val="single" w:sz="8" w:color="CCEEFF"/>
            </w:tcBorders>
            <w:gridSpan w:val="2"/>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14,624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42,007</w:t>
            </w:r>
          </w:p>
        </w:tc>
      </w:tr>
      <w:tr>
        <w:trPr>
          <w:trHeight w:val="243"/>
        </w:trPr>
        <w:tc>
          <w:tcPr>
            <w:tcW w:w="4740" w:type="dxa"/>
            <w:vAlign w:val="bottom"/>
            <w:gridSpan w:val="5"/>
          </w:tcPr>
          <w:p>
            <w:pPr>
              <w:ind w:left="260"/>
              <w:spacing w:after="0"/>
              <w:rPr>
                <w:sz w:val="20"/>
                <w:szCs w:val="20"/>
                <w:color w:val="auto"/>
              </w:rPr>
            </w:pPr>
            <w:r>
              <w:rPr>
                <w:rFonts w:ascii="Arial" w:cs="Arial" w:eastAsia="Arial" w:hAnsi="Arial"/>
                <w:sz w:val="18"/>
                <w:szCs w:val="18"/>
                <w:color w:val="auto"/>
              </w:rPr>
              <w:t>Cost reimbursements</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113,724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97,598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348,091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303,973</w:t>
            </w:r>
          </w:p>
        </w:tc>
      </w:tr>
      <w:tr>
        <w:trPr>
          <w:trHeight w:val="27"/>
        </w:trPr>
        <w:tc>
          <w:tcPr>
            <w:tcW w:w="4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4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7"/>
                <w:shd w:val="clear" w:color="auto" w:fill="CCEEFF"/>
              </w:rPr>
              <w:t>TOTAL EXPENSES</w:t>
            </w:r>
          </w:p>
        </w:tc>
        <w:tc>
          <w:tcPr>
            <w:tcW w:w="920" w:type="dxa"/>
            <w:vAlign w:val="bottom"/>
            <w:tcBorders>
              <w:bottom w:val="single" w:sz="8" w:color="CCEEFF"/>
            </w:tcBorders>
            <w:gridSpan w:val="2"/>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428,300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358,906</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1,291,059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1,102,020</w:t>
            </w:r>
          </w:p>
        </w:tc>
      </w:tr>
      <w:tr>
        <w:trPr>
          <w:trHeight w:val="237"/>
        </w:trPr>
        <w:tc>
          <w:tcPr>
            <w:tcW w:w="4740" w:type="dxa"/>
            <w:vAlign w:val="bottom"/>
            <w:gridSpan w:val="5"/>
          </w:tcPr>
          <w:p>
            <w:pPr>
              <w:ind w:left="260"/>
              <w:spacing w:after="0"/>
              <w:rPr>
                <w:sz w:val="20"/>
                <w:szCs w:val="20"/>
                <w:color w:val="auto"/>
              </w:rPr>
            </w:pPr>
            <w:r>
              <w:rPr>
                <w:rFonts w:ascii="Arial" w:cs="Arial" w:eastAsia="Arial" w:hAnsi="Arial"/>
                <w:sz w:val="18"/>
                <w:szCs w:val="18"/>
                <w:color w:val="auto"/>
              </w:rPr>
              <w:t>Gains and other income, net</w:t>
            </w: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6,977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454</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6,752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11,129</w:t>
            </w:r>
          </w:p>
        </w:tc>
      </w:tr>
      <w:tr>
        <w:trPr>
          <w:trHeight w:val="27"/>
        </w:trPr>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Interest expense</w:t>
            </w:r>
          </w:p>
        </w:tc>
        <w:tc>
          <w:tcPr>
            <w:tcW w:w="920" w:type="dxa"/>
            <w:vAlign w:val="bottom"/>
            <w:tcBorders>
              <w:bottom w:val="single" w:sz="8" w:color="CCEEFF"/>
            </w:tcBorders>
            <w:gridSpan w:val="2"/>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(6,331)</w:t>
            </w:r>
          </w:p>
        </w:tc>
      </w:tr>
      <w:tr>
        <w:trPr>
          <w:trHeight w:val="243"/>
        </w:trPr>
        <w:tc>
          <w:tcPr>
            <w:tcW w:w="4740" w:type="dxa"/>
            <w:vAlign w:val="bottom"/>
            <w:gridSpan w:val="5"/>
          </w:tcPr>
          <w:p>
            <w:pPr>
              <w:ind w:left="2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(4,528)</w:t>
            </w:r>
          </w:p>
        </w:tc>
      </w:tr>
      <w:tr>
        <w:trPr>
          <w:trHeight w:val="27"/>
        </w:trPr>
        <w:tc>
          <w:tcPr>
            <w:tcW w:w="4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shd w:val="clear" w:color="auto" w:fill="CCEEFF"/>
              </w:rPr>
              <w:t>INCOME BEFORE INCOME TAXES</w:t>
            </w: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63,129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40,848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180,877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142,180</w:t>
            </w:r>
          </w:p>
        </w:tc>
      </w:tr>
      <w:tr>
        <w:trPr>
          <w:trHeight w:val="243"/>
        </w:trPr>
        <w:tc>
          <w:tcPr>
            <w:tcW w:w="4740" w:type="dxa"/>
            <w:vAlign w:val="bottom"/>
            <w:gridSpan w:val="5"/>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(22,367)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(14,041)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(62,139)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(54,656)</w:t>
            </w:r>
          </w:p>
        </w:tc>
      </w:tr>
      <w:tr>
        <w:trPr>
          <w:trHeight w:val="27"/>
        </w:trPr>
        <w:tc>
          <w:tcPr>
            <w:tcW w:w="4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shd w:val="clear" w:color="auto" w:fill="CCEEFF"/>
              </w:rPr>
              <w:t>NET INCOME</w:t>
            </w:r>
          </w:p>
        </w:tc>
        <w:tc>
          <w:tcPr>
            <w:tcW w:w="920" w:type="dxa"/>
            <w:vAlign w:val="bottom"/>
            <w:tcBorders>
              <w:bottom w:val="single" w:sz="8" w:color="CCEEFF"/>
            </w:tcBorders>
            <w:gridSpan w:val="2"/>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40,762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26,807</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118,738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87,524</w:t>
            </w: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47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gridSpan w:val="5"/>
          </w:tcPr>
          <w:p>
            <w:pPr>
              <w:ind w:left="260"/>
              <w:spacing w:after="0"/>
              <w:rPr>
                <w:sz w:val="20"/>
                <w:szCs w:val="20"/>
                <w:color w:val="auto"/>
              </w:rPr>
            </w:pPr>
            <w:r>
              <w:rPr>
                <w:rFonts w:ascii="Arial" w:cs="Arial" w:eastAsia="Arial" w:hAnsi="Arial"/>
                <w:sz w:val="18"/>
                <w:szCs w:val="18"/>
                <w:color w:val="auto"/>
              </w:rPr>
              <w:t>Earnings per share - Basic</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0.99</w:t>
            </w:r>
          </w:p>
        </w:tc>
        <w:tc>
          <w:tcPr>
            <w:tcW w:w="220" w:type="dxa"/>
            <w:vAlign w:val="bottom"/>
          </w:tcPr>
          <w:p>
            <w:pPr>
              <w:spacing w:after="0"/>
              <w:rPr>
                <w:sz w:val="21"/>
                <w:szCs w:val="21"/>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3.10</w:t>
            </w:r>
          </w:p>
        </w:tc>
      </w:tr>
      <w:tr>
        <w:trPr>
          <w:trHeight w:val="27"/>
        </w:trPr>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Earnings per share - Diluted</w:t>
            </w: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w:t>
            </w:r>
          </w:p>
        </w:tc>
      </w:tr>
      <w:tr>
        <w:trPr>
          <w:trHeight w:val="324"/>
        </w:trPr>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474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shd w:val="clear" w:color="auto" w:fill="CCEEFF"/>
              </w:rPr>
              <w:t>CASH DIVIDENDS DECLARED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0.30</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0.90</w:t>
            </w:r>
          </w:p>
        </w:tc>
      </w:tr>
      <w:tr>
        <w:trPr>
          <w:trHeight w:val="41"/>
        </w:trPr>
        <w:tc>
          <w:tcPr>
            <w:tcW w:w="48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See Notes to Interim Consolidated Financial Statements</w:t>
      </w:r>
    </w:p>
    <w:p>
      <w:pPr>
        <w:sectPr>
          <w:pgSz w:w="11900" w:h="16838" w:orient="portrait"/>
          <w:cols w:equalWidth="0" w:num="1">
            <w:col w:w="11360"/>
          </w:cols>
          <w:pgMar w:left="240" w:top="125" w:right="299" w:bottom="1440" w:gutter="0" w:footer="0" w:header="0"/>
        </w:sect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60"/>
          </w:cols>
          <w:pgMar w:left="240" w:top="125" w:right="29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INTERIM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gridSpan w:val="5"/>
          </w:tcPr>
          <w:p>
            <w:pPr>
              <w:ind w:left="720"/>
              <w:spacing w:after="0"/>
              <w:rPr>
                <w:sz w:val="20"/>
                <w:szCs w:val="20"/>
                <w:color w:val="auto"/>
              </w:rPr>
            </w:pPr>
            <w:r>
              <w:rPr>
                <w:rFonts w:ascii="Arial" w:cs="Arial" w:eastAsia="Arial" w:hAnsi="Arial"/>
                <w:sz w:val="16"/>
                <w:szCs w:val="16"/>
                <w:b w:val="1"/>
                <w:bCs w:val="1"/>
                <w:color w:val="auto"/>
              </w:rPr>
              <w:t>Quarter Ended</w:t>
            </w:r>
          </w:p>
        </w:tc>
        <w:tc>
          <w:tcPr>
            <w:tcW w:w="280" w:type="dxa"/>
            <w:vAlign w:val="bottom"/>
          </w:tcPr>
          <w:p>
            <w:pPr>
              <w:spacing w:after="0"/>
              <w:rPr>
                <w:sz w:val="18"/>
                <w:szCs w:val="18"/>
                <w:color w:val="auto"/>
              </w:rPr>
            </w:pPr>
          </w:p>
        </w:tc>
        <w:tc>
          <w:tcPr>
            <w:tcW w:w="2780" w:type="dxa"/>
            <w:vAlign w:val="bottom"/>
            <w:gridSpan w:val="4"/>
          </w:tcPr>
          <w:p>
            <w:pPr>
              <w:jc w:val="right"/>
              <w:ind w:right="753"/>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500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31"/>
        </w:trPr>
        <w:tc>
          <w:tcPr>
            <w:tcW w:w="5000" w:type="dxa"/>
            <w:vAlign w:val="bottom"/>
          </w:tcPr>
          <w:p>
            <w:pPr>
              <w:spacing w:after="0"/>
              <w:rPr>
                <w:sz w:val="20"/>
                <w:szCs w:val="20"/>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September 30, 2017</w:t>
            </w:r>
          </w:p>
        </w:tc>
        <w:tc>
          <w:tcPr>
            <w:tcW w:w="16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September 9, 2016</w:t>
            </w: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September 30, 2017</w:t>
            </w:r>
          </w:p>
        </w:tc>
        <w:tc>
          <w:tcPr>
            <w:tcW w:w="1480" w:type="dxa"/>
            <w:vAlign w:val="bottom"/>
            <w:gridSpan w:val="2"/>
          </w:tcPr>
          <w:p>
            <w:pPr>
              <w:jc w:val="right"/>
              <w:ind w:right="13"/>
              <w:spacing w:after="0"/>
              <w:rPr>
                <w:sz w:val="20"/>
                <w:szCs w:val="20"/>
                <w:color w:val="auto"/>
              </w:rPr>
            </w:pPr>
            <w:r>
              <w:rPr>
                <w:rFonts w:ascii="Arial" w:cs="Arial" w:eastAsia="Arial" w:hAnsi="Arial"/>
                <w:sz w:val="16"/>
                <w:szCs w:val="16"/>
                <w:b w:val="1"/>
                <w:bCs w:val="1"/>
                <w:color w:val="auto"/>
                <w:w w:val="96"/>
              </w:rPr>
              <w:t>September 9, 2016</w:t>
            </w:r>
          </w:p>
        </w:tc>
      </w:tr>
      <w:tr>
        <w:trPr>
          <w:trHeight w:val="297"/>
        </w:trPr>
        <w:tc>
          <w:tcPr>
            <w:tcW w:w="5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(92 days)</w:t>
            </w:r>
          </w:p>
        </w:tc>
        <w:tc>
          <w:tcPr>
            <w:tcW w:w="280" w:type="dxa"/>
            <w:vAlign w:val="bottom"/>
          </w:tcPr>
          <w:p>
            <w:pPr>
              <w:spacing w:after="0"/>
              <w:rPr>
                <w:sz w:val="24"/>
                <w:szCs w:val="2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(84 days)</w:t>
            </w:r>
          </w:p>
        </w:tc>
        <w:tc>
          <w:tcPr>
            <w:tcW w:w="28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(274 days)</w:t>
            </w:r>
          </w:p>
        </w:tc>
        <w:tc>
          <w:tcPr>
            <w:tcW w:w="280" w:type="dxa"/>
            <w:vAlign w:val="bottom"/>
          </w:tcPr>
          <w:p>
            <w:pPr>
              <w:spacing w:after="0"/>
              <w:rPr>
                <w:sz w:val="24"/>
                <w:szCs w:val="24"/>
                <w:color w:val="auto"/>
              </w:rPr>
            </w:pPr>
          </w:p>
        </w:tc>
        <w:tc>
          <w:tcPr>
            <w:tcW w:w="1200" w:type="dxa"/>
            <w:vAlign w:val="bottom"/>
          </w:tcPr>
          <w:p>
            <w:pPr>
              <w:jc w:val="right"/>
              <w:ind w:right="333"/>
              <w:spacing w:after="0"/>
              <w:rPr>
                <w:sz w:val="20"/>
                <w:szCs w:val="20"/>
                <w:color w:val="auto"/>
              </w:rPr>
            </w:pPr>
            <w:r>
              <w:rPr>
                <w:rFonts w:ascii="Arial" w:cs="Arial" w:eastAsia="Arial" w:hAnsi="Arial"/>
                <w:sz w:val="14"/>
                <w:szCs w:val="14"/>
                <w:b w:val="1"/>
                <w:bCs w:val="1"/>
                <w:color w:val="auto"/>
              </w:rPr>
              <w:t>(252 days)</w:t>
            </w:r>
          </w:p>
        </w:tc>
      </w:tr>
      <w:tr>
        <w:trPr>
          <w:trHeight w:val="250"/>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Net income</w:t>
            </w:r>
          </w:p>
        </w:tc>
        <w:tc>
          <w:tcPr>
            <w:tcW w:w="30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40,762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26,807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118,738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87,524</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1,089</w:t>
            </w:r>
          </w:p>
        </w:tc>
      </w:tr>
      <w:tr>
        <w:trPr>
          <w:trHeight w:val="243"/>
        </w:trPr>
        <w:tc>
          <w:tcPr>
            <w:tcW w:w="5000" w:type="dxa"/>
            <w:vAlign w:val="bottom"/>
          </w:tcPr>
          <w:p>
            <w:pPr>
              <w:ind w:left="260"/>
              <w:spacing w:after="0"/>
              <w:rPr>
                <w:sz w:val="20"/>
                <w:szCs w:val="20"/>
                <w:color w:val="auto"/>
              </w:rPr>
            </w:pPr>
            <w:r>
              <w:rPr>
                <w:rFonts w:ascii="Arial" w:cs="Arial" w:eastAsia="Arial" w:hAnsi="Arial"/>
                <w:sz w:val="18"/>
                <w:szCs w:val="18"/>
                <w:color w:val="auto"/>
              </w:rPr>
              <w:t>Derivative instrument adjustment, net of tax</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shd w:val="clear" w:color="auto" w:fill="CCEEFF"/>
              </w:rPr>
              <w:t>Total other comprehensive income (loss),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4,967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723</w:t>
            </w:r>
          </w:p>
        </w:tc>
      </w:tr>
      <w:tr>
        <w:trPr>
          <w:trHeight w:val="257"/>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45,729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26,176</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130,434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88,247</w:t>
            </w:r>
          </w:p>
        </w:tc>
      </w:tr>
      <w:tr>
        <w:trPr>
          <w:trHeight w:val="20"/>
        </w:trPr>
        <w:tc>
          <w:tcPr>
            <w:tcW w:w="5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the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INTERIM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373"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7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(Unaudited)</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0"/>
        </w:trPr>
        <w:tc>
          <w:tcPr>
            <w:tcW w:w="7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 2017</w:t>
            </w:r>
          </w:p>
        </w:tc>
        <w:tc>
          <w:tcPr>
            <w:tcW w:w="180" w:type="dxa"/>
            <w:vAlign w:val="bottom"/>
          </w:tcPr>
          <w:p>
            <w:pPr>
              <w:spacing w:after="0"/>
              <w:rPr>
                <w:sz w:val="18"/>
                <w:szCs w:val="18"/>
                <w:color w:val="auto"/>
              </w:rPr>
            </w:pPr>
          </w:p>
        </w:tc>
        <w:tc>
          <w:tcPr>
            <w:tcW w:w="1640" w:type="dxa"/>
            <w:vAlign w:val="bottom"/>
          </w:tcPr>
          <w:p>
            <w:pPr>
              <w:jc w:val="right"/>
              <w:ind w:right="170"/>
              <w:spacing w:after="0"/>
              <w:rPr>
                <w:sz w:val="20"/>
                <w:szCs w:val="20"/>
                <w:color w:val="auto"/>
              </w:rPr>
            </w:pPr>
            <w:r>
              <w:rPr>
                <w:rFonts w:ascii="Arial" w:cs="Arial" w:eastAsia="Arial" w:hAnsi="Arial"/>
                <w:sz w:val="16"/>
                <w:szCs w:val="16"/>
                <w:b w:val="1"/>
                <w:bCs w:val="1"/>
                <w:color w:val="auto"/>
                <w:w w:val="94"/>
              </w:rPr>
              <w:t>December 30, 2016</w:t>
            </w:r>
          </w:p>
        </w:tc>
      </w:tr>
      <w:tr>
        <w:trPr>
          <w:trHeight w:val="33"/>
        </w:trPr>
        <w:tc>
          <w:tcPr>
            <w:tcW w:w="7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440,074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147,102</w:t>
            </w: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(including $34,413 and $27,525 from VIEs,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61,701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66,000</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Accounts and contracts receivable, net (including $5,702 and $4,865 from VIEs, respectively)</w:t>
            </w:r>
          </w:p>
        </w:tc>
        <w:tc>
          <w:tcPr>
            <w:tcW w:w="16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136,107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161,733</w:t>
            </w: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Vacation ownership notes receivable, net (including $875,237 and $717,543 from VIEs,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1,076,402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972,311</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735,072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712,536</w:t>
            </w: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253,738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202,802</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Other (including $13,153 and $0 from VIEs, respectively)</w:t>
            </w:r>
          </w:p>
        </w:tc>
        <w:tc>
          <w:tcPr>
            <w:tcW w:w="16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119,942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128,935</w:t>
            </w:r>
          </w:p>
        </w:tc>
      </w:tr>
      <w:tr>
        <w:trPr>
          <w:trHeight w:val="27"/>
        </w:trPr>
        <w:tc>
          <w:tcPr>
            <w:tcW w:w="7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2,823,036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2,391,419</w:t>
            </w:r>
          </w:p>
        </w:tc>
      </w:tr>
      <w:tr>
        <w:trPr>
          <w:trHeight w:val="20"/>
        </w:trPr>
        <w:tc>
          <w:tcPr>
            <w:tcW w:w="7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84"/>
        </w:trPr>
        <w:tc>
          <w:tcPr>
            <w:tcW w:w="7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76,766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124,439</w:t>
            </w: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Advance deposits</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60,247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55,542</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Accrued liabilities (including $739 and $584 from VIEs, respectively)</w:t>
            </w:r>
          </w:p>
        </w:tc>
        <w:tc>
          <w:tcPr>
            <w:tcW w:w="16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128,236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147,469</w:t>
            </w: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103,376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95,495</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Payroll and benefits liability</w:t>
            </w:r>
          </w:p>
        </w:tc>
        <w:tc>
          <w:tcPr>
            <w:tcW w:w="16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97,080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95,516</w:t>
            </w: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72,803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62,874</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Debt, net (including $906,701 and $738,362 from VIEs, respectively)</w:t>
            </w:r>
          </w:p>
        </w:tc>
        <w:tc>
          <w:tcPr>
            <w:tcW w:w="16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1,153,222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737,224</w:t>
            </w: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15,873</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16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169,295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149,168</w:t>
            </w:r>
          </w:p>
        </w:tc>
      </w:tr>
      <w:tr>
        <w:trPr>
          <w:trHeight w:val="27"/>
        </w:trPr>
        <w:tc>
          <w:tcPr>
            <w:tcW w:w="7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1,873,814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1,483,600</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Contingencies and Commitments (Note 8)</w:t>
            </w: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Preferred stock — $0.01 par value; 2,000,000 shares authorized; none issued or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w w:val="92"/>
              </w:rPr>
              <w:t>Common stock — $0.01 par value; 100,000,000 shares authorized; 36,857,186 and 36,633,868 shares</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issued, respectively</w:t>
            </w:r>
          </w:p>
        </w:tc>
        <w:tc>
          <w:tcPr>
            <w:tcW w:w="16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366</w:t>
            </w: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Treasury stock — at cost; 10,363,139 and 9,643,562 shares,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(606,631)</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1,184,635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1,162,283</w:t>
            </w: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5,460</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436,196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346,341</w:t>
            </w:r>
          </w:p>
        </w:tc>
      </w:tr>
      <w:tr>
        <w:trPr>
          <w:trHeight w:val="27"/>
        </w:trPr>
        <w:tc>
          <w:tcPr>
            <w:tcW w:w="7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EQUITY</w:t>
            </w: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949,222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907,819</w:t>
            </w:r>
          </w:p>
        </w:tc>
      </w:tr>
      <w:tr>
        <w:trPr>
          <w:trHeight w:val="257"/>
        </w:trPr>
        <w:tc>
          <w:tcPr>
            <w:tcW w:w="7600" w:type="dxa"/>
            <w:vAlign w:val="bottom"/>
          </w:tcPr>
          <w:p>
            <w:pPr>
              <w:ind w:left="480"/>
              <w:spacing w:after="0"/>
              <w:rPr>
                <w:sz w:val="20"/>
                <w:szCs w:val="20"/>
                <w:color w:val="auto"/>
              </w:rPr>
            </w:pPr>
            <w:r>
              <w:rPr>
                <w:rFonts w:ascii="Arial" w:cs="Arial" w:eastAsia="Arial" w:hAnsi="Arial"/>
                <w:sz w:val="18"/>
                <w:szCs w:val="18"/>
                <w:b w:val="1"/>
                <w:bCs w:val="1"/>
                <w:color w:val="auto"/>
              </w:rPr>
              <w:t>TOTAL LIABILITIES AND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2,823,036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2,391,419</w:t>
            </w:r>
          </w:p>
        </w:tc>
      </w:tr>
      <w:tr>
        <w:trPr>
          <w:trHeight w:val="20"/>
        </w:trPr>
        <w:tc>
          <w:tcPr>
            <w:tcW w:w="7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abbreviation VIEs above means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25"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50"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INTERIM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7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September 30, 2017</w:t>
            </w:r>
          </w:p>
        </w:tc>
        <w:tc>
          <w:tcPr>
            <w:tcW w:w="140" w:type="dxa"/>
            <w:vAlign w:val="bottom"/>
          </w:tcPr>
          <w:p>
            <w:pPr>
              <w:spacing w:after="0"/>
              <w:rPr>
                <w:sz w:val="20"/>
                <w:szCs w:val="20"/>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b w:val="1"/>
                <w:bCs w:val="1"/>
                <w:color w:val="auto"/>
                <w:w w:val="93"/>
              </w:rPr>
              <w:t>September 9, 2016</w:t>
            </w:r>
          </w:p>
        </w:tc>
      </w:tr>
      <w:tr>
        <w:trPr>
          <w:trHeight w:val="297"/>
        </w:trPr>
        <w:tc>
          <w:tcPr>
            <w:tcW w:w="7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(274 days)</w:t>
            </w:r>
          </w:p>
        </w:tc>
        <w:tc>
          <w:tcPr>
            <w:tcW w:w="140" w:type="dxa"/>
            <w:vAlign w:val="bottom"/>
          </w:tcPr>
          <w:p>
            <w:pPr>
              <w:spacing w:after="0"/>
              <w:rPr>
                <w:sz w:val="24"/>
                <w:szCs w:val="24"/>
                <w:color w:val="auto"/>
              </w:rPr>
            </w:pPr>
          </w:p>
        </w:tc>
        <w:tc>
          <w:tcPr>
            <w:tcW w:w="1540" w:type="dxa"/>
            <w:vAlign w:val="bottom"/>
          </w:tcPr>
          <w:p>
            <w:pPr>
              <w:jc w:val="right"/>
              <w:ind w:right="459"/>
              <w:spacing w:after="0"/>
              <w:rPr>
                <w:sz w:val="20"/>
                <w:szCs w:val="20"/>
                <w:color w:val="auto"/>
              </w:rPr>
            </w:pPr>
            <w:r>
              <w:rPr>
                <w:rFonts w:ascii="Arial" w:cs="Arial" w:eastAsia="Arial" w:hAnsi="Arial"/>
                <w:sz w:val="14"/>
                <w:szCs w:val="14"/>
                <w:b w:val="1"/>
                <w:bCs w:val="1"/>
                <w:color w:val="auto"/>
              </w:rPr>
              <w:t>(252 days)</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OPERATING ACTIVITIES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118,738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87,524</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Adjustments to reconcile net income to net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15,802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14,856</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Amortization of debt discount and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3,784</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Provision for loan losses</w:t>
            </w:r>
          </w:p>
        </w:tc>
        <w:tc>
          <w:tcPr>
            <w:tcW w:w="18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38,577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31,817</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9,995</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Loss (gain) on disposal of property and equipment, net</w:t>
            </w:r>
          </w:p>
        </w:tc>
        <w:tc>
          <w:tcPr>
            <w:tcW w:w="18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1,683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(11,129)</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21,823</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Net change in assets and liabilities:</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shd w:val="clear" w:color="auto" w:fill="CCEEFF"/>
              </w:rPr>
              <w:t>Accounts and contracts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(2,824)</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Notes receivable originations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(345,663)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(218,190)</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shd w:val="clear" w:color="auto" w:fill="CCEEFF"/>
              </w:rPr>
              <w:t>Notes receivable collections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203,840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177,451</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Inventory</w:t>
            </w:r>
          </w:p>
        </w:tc>
        <w:tc>
          <w:tcPr>
            <w:tcW w:w="18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27,112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(6,118)</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shd w:val="clear" w:color="auto" w:fill="CCEEFF"/>
              </w:rPr>
              <w:t>Purchase of vacation ownership units for future transfer to inventory</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23,110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38,103</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shd w:val="clear" w:color="auto" w:fill="CCEEFF"/>
              </w:rPr>
              <w:t>Accounts payable, advance deposits and 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(73,935)</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7,121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26,832</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shd w:val="clear" w:color="auto" w:fill="CCEEFF"/>
              </w:rPr>
              <w:t>Payroll and benefit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(20,898)</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Deferred compensation liability</w:t>
            </w:r>
          </w:p>
        </w:tc>
        <w:tc>
          <w:tcPr>
            <w:tcW w:w="18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9,928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8,846</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shd w:val="clear" w:color="auto" w:fill="CCEEFF"/>
              </w:rPr>
              <w:t>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1,190</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4,529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1,758</w:t>
            </w:r>
          </w:p>
        </w:tc>
      </w:tr>
      <w:tr>
        <w:trPr>
          <w:trHeight w:val="3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shd w:val="clear" w:color="auto" w:fill="CCEEFF"/>
              </w:rPr>
              <w:t>Net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70,787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90,885</w:t>
            </w:r>
          </w:p>
        </w:tc>
      </w:tr>
      <w:tr>
        <w:trPr>
          <w:trHeight w:val="23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Capital expenditures for property and equipment (excluding inventory)</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(22,445)</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Purchase of company owned life insurance</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(12,100)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Dispositions, net</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68,525</w:t>
            </w:r>
          </w:p>
        </w:tc>
      </w:tr>
      <w:tr>
        <w:trPr>
          <w:trHeight w:val="217"/>
        </w:trPr>
        <w:tc>
          <w:tcPr>
            <w:tcW w:w="7780" w:type="dxa"/>
            <w:vAlign w:val="bottom"/>
          </w:tcPr>
          <w:p>
            <w:pPr>
              <w:ind w:left="720"/>
              <w:spacing w:after="0"/>
              <w:rPr>
                <w:sz w:val="20"/>
                <w:szCs w:val="20"/>
                <w:color w:val="auto"/>
              </w:rPr>
            </w:pPr>
            <w:r>
              <w:rPr>
                <w:rFonts w:ascii="Arial" w:cs="Arial" w:eastAsia="Arial" w:hAnsi="Arial"/>
                <w:sz w:val="16"/>
                <w:szCs w:val="16"/>
                <w:color w:val="auto"/>
              </w:rPr>
              <w:t>Net cash (used in) provided by investing activities</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(33,250)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46,080</w:t>
            </w:r>
          </w:p>
        </w:tc>
      </w:tr>
      <w:tr>
        <w:trPr>
          <w:trHeight w:val="33"/>
        </w:trPr>
        <w:tc>
          <w:tcPr>
            <w:tcW w:w="7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79"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INTERIM CONSOLIDATED STATEMENTS OF CASH FLOWS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60" w:type="dxa"/>
            <w:vAlign w:val="bottom"/>
            <w:gridSpan w:val="4"/>
          </w:tcPr>
          <w:p>
            <w:pPr>
              <w:jc w:val="right"/>
              <w:ind w:right="1159"/>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7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7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September 30, 2017</w:t>
            </w:r>
          </w:p>
        </w:tc>
        <w:tc>
          <w:tcPr>
            <w:tcW w:w="180" w:type="dxa"/>
            <w:vAlign w:val="bottom"/>
          </w:tcPr>
          <w:p>
            <w:pPr>
              <w:spacing w:after="0"/>
              <w:rPr>
                <w:sz w:val="20"/>
                <w:szCs w:val="20"/>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September 9, 2016</w:t>
            </w:r>
          </w:p>
        </w:tc>
      </w:tr>
      <w:tr>
        <w:trPr>
          <w:trHeight w:val="297"/>
        </w:trPr>
        <w:tc>
          <w:tcPr>
            <w:tcW w:w="7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(274 days)</w:t>
            </w:r>
          </w:p>
        </w:tc>
        <w:tc>
          <w:tcPr>
            <w:tcW w:w="180" w:type="dxa"/>
            <w:vAlign w:val="bottom"/>
          </w:tcPr>
          <w:p>
            <w:pPr>
              <w:spacing w:after="0"/>
              <w:rPr>
                <w:sz w:val="24"/>
                <w:szCs w:val="24"/>
                <w:color w:val="auto"/>
              </w:rPr>
            </w:pPr>
          </w:p>
        </w:tc>
        <w:tc>
          <w:tcPr>
            <w:tcW w:w="1620" w:type="dxa"/>
            <w:vAlign w:val="bottom"/>
          </w:tcPr>
          <w:p>
            <w:pPr>
              <w:jc w:val="right"/>
              <w:ind w:right="499"/>
              <w:spacing w:after="0"/>
              <w:rPr>
                <w:sz w:val="20"/>
                <w:szCs w:val="20"/>
                <w:color w:val="auto"/>
              </w:rPr>
            </w:pPr>
            <w:r>
              <w:rPr>
                <w:rFonts w:ascii="Arial" w:cs="Arial" w:eastAsia="Arial" w:hAnsi="Arial"/>
                <w:sz w:val="14"/>
                <w:szCs w:val="14"/>
                <w:b w:val="1"/>
                <w:bCs w:val="1"/>
                <w:color w:val="auto"/>
              </w:rPr>
              <w:t>(252 days)</w:t>
            </w:r>
          </w:p>
        </w:tc>
      </w:tr>
      <w:tr>
        <w:trPr>
          <w:trHeight w:val="250"/>
        </w:trPr>
        <w:tc>
          <w:tcPr>
            <w:tcW w:w="7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shd w:val="clear" w:color="auto" w:fill="CCEEFF"/>
              </w:rPr>
              <w:t>FINANCING ACTIVITIES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520" w:type="dxa"/>
            <w:vAlign w:val="bottom"/>
          </w:tcPr>
          <w:p>
            <w:pPr>
              <w:ind w:left="280"/>
              <w:spacing w:after="0"/>
              <w:rPr>
                <w:sz w:val="20"/>
                <w:szCs w:val="20"/>
                <w:color w:val="auto"/>
              </w:rPr>
            </w:pPr>
            <w:r>
              <w:rPr>
                <w:rFonts w:ascii="Arial" w:cs="Arial" w:eastAsia="Arial" w:hAnsi="Arial"/>
                <w:sz w:val="16"/>
                <w:szCs w:val="16"/>
                <w:color w:val="auto"/>
              </w:rPr>
              <w:t>Borrowings from securitization transactions</w:t>
            </w: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400,260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376,622</w:t>
            </w:r>
          </w:p>
        </w:tc>
      </w:tr>
      <w:tr>
        <w:trPr>
          <w:trHeight w:val="33"/>
        </w:trPr>
        <w:tc>
          <w:tcPr>
            <w:tcW w:w="7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Repayment of debt related to securitization 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(231,921)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(254,510)</w:t>
            </w:r>
          </w:p>
        </w:tc>
      </w:tr>
      <w:tr>
        <w:trPr>
          <w:trHeight w:val="237"/>
        </w:trPr>
        <w:tc>
          <w:tcPr>
            <w:tcW w:w="7520" w:type="dxa"/>
            <w:vAlign w:val="bottom"/>
          </w:tcPr>
          <w:p>
            <w:pPr>
              <w:ind w:left="280"/>
              <w:spacing w:after="0"/>
              <w:rPr>
                <w:sz w:val="20"/>
                <w:szCs w:val="20"/>
                <w:color w:val="auto"/>
              </w:rPr>
            </w:pPr>
            <w:r>
              <w:rPr>
                <w:rFonts w:ascii="Arial" w:cs="Arial" w:eastAsia="Arial" w:hAnsi="Arial"/>
                <w:sz w:val="16"/>
                <w:szCs w:val="16"/>
                <w:color w:val="auto"/>
              </w:rPr>
              <w:t>Borrowings from Revolving Corporate Credit Facility</w:t>
            </w: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87,500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85,000</w:t>
            </w:r>
          </w:p>
        </w:tc>
      </w:tr>
      <w:tr>
        <w:trPr>
          <w:trHeight w:val="33"/>
        </w:trPr>
        <w:tc>
          <w:tcPr>
            <w:tcW w:w="7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Repayment of Revolving Corporate Credit Facility</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(85,000)</w:t>
            </w:r>
          </w:p>
        </w:tc>
      </w:tr>
      <w:tr>
        <w:trPr>
          <w:trHeight w:val="237"/>
        </w:trPr>
        <w:tc>
          <w:tcPr>
            <w:tcW w:w="7520" w:type="dxa"/>
            <w:vAlign w:val="bottom"/>
          </w:tcPr>
          <w:p>
            <w:pPr>
              <w:ind w:left="280"/>
              <w:spacing w:after="0"/>
              <w:rPr>
                <w:sz w:val="20"/>
                <w:szCs w:val="20"/>
                <w:color w:val="auto"/>
              </w:rPr>
            </w:pPr>
            <w:r>
              <w:rPr>
                <w:rFonts w:ascii="Arial" w:cs="Arial" w:eastAsia="Arial" w:hAnsi="Arial"/>
                <w:sz w:val="16"/>
                <w:szCs w:val="16"/>
                <w:color w:val="auto"/>
              </w:rPr>
              <w:t>Proceeds from issuance of Convertible Notes</w:t>
            </w: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230,000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Purchase of Convertible Note Hedges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520" w:type="dxa"/>
            <w:vAlign w:val="bottom"/>
          </w:tcPr>
          <w:p>
            <w:pPr>
              <w:ind w:left="280"/>
              <w:spacing w:after="0"/>
              <w:rPr>
                <w:sz w:val="20"/>
                <w:szCs w:val="20"/>
                <w:color w:val="auto"/>
              </w:rPr>
            </w:pPr>
            <w:r>
              <w:rPr>
                <w:rFonts w:ascii="Arial" w:cs="Arial" w:eastAsia="Arial" w:hAnsi="Arial"/>
                <w:sz w:val="16"/>
                <w:szCs w:val="16"/>
                <w:color w:val="auto"/>
              </w:rPr>
              <w:t>Proceeds from issuance of Warrants</w:t>
            </w: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20,332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Debt issuance costs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(4,065)</w:t>
            </w:r>
          </w:p>
        </w:tc>
      </w:tr>
      <w:tr>
        <w:trPr>
          <w:trHeight w:val="237"/>
        </w:trPr>
        <w:tc>
          <w:tcPr>
            <w:tcW w:w="7520" w:type="dxa"/>
            <w:vAlign w:val="bottom"/>
          </w:tcPr>
          <w:p>
            <w:pPr>
              <w:ind w:left="280"/>
              <w:spacing w:after="0"/>
              <w:rPr>
                <w:sz w:val="20"/>
                <w:szCs w:val="20"/>
                <w:color w:val="auto"/>
              </w:rPr>
            </w:pPr>
            <w:r>
              <w:rPr>
                <w:rFonts w:ascii="Arial" w:cs="Arial" w:eastAsia="Arial" w:hAnsi="Arial"/>
                <w:sz w:val="16"/>
                <w:szCs w:val="16"/>
                <w:color w:val="auto"/>
              </w:rPr>
              <w:t>Repurchase of common stock</w:t>
            </w: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(83,067)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(163,359)</w:t>
            </w:r>
          </w:p>
        </w:tc>
      </w:tr>
      <w:tr>
        <w:trPr>
          <w:trHeight w:val="33"/>
        </w:trPr>
        <w:tc>
          <w:tcPr>
            <w:tcW w:w="7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Accelerated stock repurchase forward contract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(14,470)</w:t>
            </w:r>
          </w:p>
        </w:tc>
      </w:tr>
      <w:tr>
        <w:trPr>
          <w:trHeight w:val="237"/>
        </w:trPr>
        <w:tc>
          <w:tcPr>
            <w:tcW w:w="7520" w:type="dxa"/>
            <w:vAlign w:val="bottom"/>
          </w:tcPr>
          <w:p>
            <w:pPr>
              <w:ind w:left="280"/>
              <w:spacing w:after="0"/>
              <w:rPr>
                <w:sz w:val="20"/>
                <w:szCs w:val="20"/>
                <w:color w:val="auto"/>
              </w:rPr>
            </w:pPr>
            <w:r>
              <w:rPr>
                <w:rFonts w:ascii="Arial" w:cs="Arial" w:eastAsia="Arial" w:hAnsi="Arial"/>
                <w:sz w:val="16"/>
                <w:szCs w:val="16"/>
                <w:color w:val="auto"/>
              </w:rPr>
              <w:t>Payment of dividends</w:t>
            </w: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(28,590)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(26,067)</w:t>
            </w:r>
          </w:p>
        </w:tc>
      </w:tr>
      <w:tr>
        <w:trPr>
          <w:trHeight w:val="33"/>
        </w:trPr>
        <w:tc>
          <w:tcPr>
            <w:tcW w:w="7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 of withholding taxes on vesting of restricted stock units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(3,972)</w:t>
            </w:r>
          </w:p>
        </w:tc>
      </w:tr>
      <w:tr>
        <w:trPr>
          <w:trHeight w:val="237"/>
        </w:trPr>
        <w:tc>
          <w:tcPr>
            <w:tcW w:w="752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194</w:t>
            </w:r>
          </w:p>
        </w:tc>
      </w:tr>
      <w:tr>
        <w:trPr>
          <w:trHeight w:val="33"/>
        </w:trPr>
        <w:tc>
          <w:tcPr>
            <w:tcW w:w="7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Net cash provided by (used in)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248,105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(89,627)</w:t>
            </w:r>
          </w:p>
        </w:tc>
      </w:tr>
      <w:tr>
        <w:trPr>
          <w:trHeight w:val="217"/>
        </w:trPr>
        <w:tc>
          <w:tcPr>
            <w:tcW w:w="7520" w:type="dxa"/>
            <w:vAlign w:val="bottom"/>
          </w:tcPr>
          <w:p>
            <w:pPr>
              <w:ind w:left="280"/>
              <w:spacing w:after="0"/>
              <w:rPr>
                <w:sz w:val="20"/>
                <w:szCs w:val="20"/>
                <w:color w:val="auto"/>
              </w:rPr>
            </w:pPr>
            <w:r>
              <w:rPr>
                <w:rFonts w:ascii="Arial" w:cs="Arial" w:eastAsia="Arial" w:hAnsi="Arial"/>
                <w:sz w:val="16"/>
                <w:szCs w:val="16"/>
                <w:color w:val="auto"/>
              </w:rPr>
              <w:t>Effect of changes in exchange rates on cash, cash equivalents and restricted cash</w:t>
            </w: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3,031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(3,247)</w:t>
            </w:r>
          </w:p>
        </w:tc>
      </w:tr>
      <w:tr>
        <w:trPr>
          <w:trHeight w:val="33"/>
        </w:trPr>
        <w:tc>
          <w:tcPr>
            <w:tcW w:w="7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 in cash, cash equivalents, and 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288,673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44,091</w:t>
            </w:r>
          </w:p>
        </w:tc>
      </w:tr>
      <w:tr>
        <w:trPr>
          <w:trHeight w:val="237"/>
        </w:trPr>
        <w:tc>
          <w:tcPr>
            <w:tcW w:w="75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213,102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248,512</w:t>
            </w:r>
          </w:p>
        </w:tc>
      </w:tr>
      <w:tr>
        <w:trPr>
          <w:trHeight w:val="33"/>
        </w:trPr>
        <w:tc>
          <w:tcPr>
            <w:tcW w:w="7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501,775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292,603</w:t>
            </w:r>
          </w:p>
        </w:tc>
      </w:tr>
      <w:tr>
        <w:trPr>
          <w:trHeight w:val="20"/>
        </w:trPr>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311"/>
        </w:trPr>
        <w:tc>
          <w:tcPr>
            <w:tcW w:w="7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520" w:type="dxa"/>
            <w:vAlign w:val="bottom"/>
          </w:tcPr>
          <w:p>
            <w:pPr>
              <w:ind w:left="280"/>
              <w:spacing w:after="0"/>
              <w:rPr>
                <w:sz w:val="20"/>
                <w:szCs w:val="20"/>
                <w:color w:val="auto"/>
              </w:rPr>
            </w:pPr>
            <w:r>
              <w:rPr>
                <w:rFonts w:ascii="Arial" w:cs="Arial" w:eastAsia="Arial" w:hAnsi="Arial"/>
                <w:sz w:val="16"/>
                <w:szCs w:val="16"/>
                <w:color w:val="auto"/>
              </w:rPr>
              <w:t>Property acquired via capital lease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7,221</w:t>
            </w:r>
          </w:p>
        </w:tc>
      </w:tr>
      <w:tr>
        <w:trPr>
          <w:trHeight w:val="33"/>
        </w:trPr>
        <w:tc>
          <w:tcPr>
            <w:tcW w:w="7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issuance of treasury stock for employee stock purchase plan</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w:t>
            </w:r>
          </w:p>
        </w:tc>
      </w:tr>
      <w:tr>
        <w:trPr>
          <w:trHeight w:val="237"/>
        </w:trPr>
        <w:tc>
          <w:tcPr>
            <w:tcW w:w="7520" w:type="dxa"/>
            <w:vAlign w:val="bottom"/>
          </w:tcPr>
          <w:p>
            <w:pPr>
              <w:ind w:left="280"/>
              <w:spacing w:after="0"/>
              <w:rPr>
                <w:sz w:val="20"/>
                <w:szCs w:val="20"/>
                <w:color w:val="auto"/>
              </w:rPr>
            </w:pPr>
            <w:r>
              <w:rPr>
                <w:rFonts w:ascii="Arial" w:cs="Arial" w:eastAsia="Arial" w:hAnsi="Arial"/>
                <w:sz w:val="16"/>
                <w:szCs w:val="16"/>
                <w:color w:val="auto"/>
              </w:rPr>
              <w:t>Disposition accruals not yet paid</w:t>
            </w:r>
          </w:p>
        </w:tc>
        <w:tc>
          <w:tcPr>
            <w:tcW w:w="20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2,931</w:t>
            </w:r>
          </w:p>
        </w:tc>
      </w:tr>
      <w:tr>
        <w:trPr>
          <w:trHeight w:val="33"/>
        </w:trPr>
        <w:tc>
          <w:tcPr>
            <w:tcW w:w="7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transfer from Inventory to 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9,741</w:t>
            </w:r>
          </w:p>
        </w:tc>
      </w:tr>
      <w:tr>
        <w:trPr>
          <w:trHeight w:val="237"/>
        </w:trPr>
        <w:tc>
          <w:tcPr>
            <w:tcW w:w="7520" w:type="dxa"/>
            <w:vAlign w:val="bottom"/>
          </w:tcPr>
          <w:p>
            <w:pPr>
              <w:ind w:left="280"/>
              <w:spacing w:after="0"/>
              <w:rPr>
                <w:sz w:val="20"/>
                <w:szCs w:val="20"/>
                <w:color w:val="auto"/>
              </w:rPr>
            </w:pPr>
            <w:r>
              <w:rPr>
                <w:rFonts w:ascii="Arial" w:cs="Arial" w:eastAsia="Arial" w:hAnsi="Arial"/>
                <w:sz w:val="16"/>
                <w:szCs w:val="16"/>
                <w:color w:val="auto"/>
              </w:rPr>
              <w:t>Non-cash issuance of debt in connection with acquisition of vacation ownership units</w:t>
            </w: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63,558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debt issuance costs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520" w:type="dxa"/>
            <w:vAlign w:val="bottom"/>
          </w:tcPr>
          <w:p>
            <w:pPr>
              <w:ind w:left="280"/>
              <w:spacing w:after="0"/>
              <w:rPr>
                <w:sz w:val="20"/>
                <w:szCs w:val="20"/>
                <w:color w:val="auto"/>
              </w:rPr>
            </w:pPr>
            <w:r>
              <w:rPr>
                <w:rFonts w:ascii="Arial" w:cs="Arial" w:eastAsia="Arial" w:hAnsi="Arial"/>
                <w:sz w:val="16"/>
                <w:szCs w:val="16"/>
                <w:color w:val="auto"/>
              </w:rPr>
              <w:t>Dividends payable</w:t>
            </w: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9,394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8,127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79"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w:t>
      </w:r>
    </w:p>
    <w:p>
      <w:pPr>
        <w:spacing w:after="0" w:line="117" w:lineRule="exact"/>
        <w:rPr>
          <w:sz w:val="20"/>
          <w:szCs w:val="20"/>
          <w:color w:val="auto"/>
        </w:rPr>
      </w:pPr>
    </w:p>
    <w:p>
      <w:pPr>
        <w:ind w:right="260" w:firstLine="648"/>
        <w:spacing w:after="0" w:line="272" w:lineRule="auto"/>
        <w:rPr>
          <w:sz w:val="20"/>
          <w:szCs w:val="20"/>
          <w:color w:val="auto"/>
        </w:rPr>
      </w:pPr>
      <w:r>
        <w:rPr>
          <w:rFonts w:ascii="Arial" w:cs="Arial" w:eastAsia="Arial" w:hAnsi="Arial"/>
          <w:sz w:val="17"/>
          <w:szCs w:val="17"/>
          <w:color w:val="auto"/>
        </w:rPr>
        <w:t>Marriott Vacations Worldwide Corporation (“we,” “us,” “Marriott Vacations Worldwide” or the “Company,” which includes our consolidated subsidiaries except where the context of the reference is to a single corporate entity) is the exclusive worldwide developer, marketer, seller and manager of vacation ownership and related products under the Marriott Vacation Club and Grand Residences by Marriott brands. In 2016, we introduced Marriott Vacation Club Pulse, an extension to the Marriott Vacation Club brand.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a subsidiary of Marriott International, provides on-site management for Ritz-Carlton branded properties.</w:t>
      </w:r>
    </w:p>
    <w:p>
      <w:pPr>
        <w:spacing w:after="0" w:line="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Our business is grouped into three reportable segments: North America, Asia Pacific and Europe. As of September 30, 2017, our portfolio consisted of over 65 properties in the United States and nine other countries and territories. We generate most of our revenues from four primary sources: selling vacation ownership products; managing our resorts; financing consumer purchases of vacation ownership products; and renting vacation ownership inventory.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Basis of Presentation</w:t>
      </w:r>
    </w:p>
    <w:p>
      <w:pPr>
        <w:spacing w:after="0" w:line="11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interim consolidated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consolidation accounting guidance. Intercompany accounts and transactions between consolidated companies have been eliminated in consolidation. The interim consolidated financial statements reflect our financial position, results of operations and cash flows as prepared in conformity with United States Generally Accepted Accounting Principles (“GAAP”).</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order to make this report easier to read, we refer throughout to (i) our Interim Consolidated Financial Statements as our “Financial Statements,”</w:t>
      </w:r>
    </w:p>
    <w:p>
      <w:pPr>
        <w:spacing w:after="0" w:line="46" w:lineRule="exact"/>
        <w:rPr>
          <w:sz w:val="20"/>
          <w:szCs w:val="20"/>
          <w:color w:val="auto"/>
        </w:rPr>
      </w:pPr>
    </w:p>
    <w:p>
      <w:pPr>
        <w:jc w:val="both"/>
        <w:ind w:right="280" w:firstLine="8"/>
        <w:spacing w:after="0" w:line="255"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Interim Consolidated Statements of Income as our “Statements of Income,” (iii) our Interim Consolidated Balance Sheets as our “Balance Sheets,” and (iv) our Interim Consolidated Statements of Cash Flows as our “Cash Flows.” In addition, references throughout to numbered “Footnotes” refer to the numbered Notes in these Notes to Interim Consolidated Financial Statements, unless otherwise noted.</w:t>
      </w:r>
    </w:p>
    <w:p>
      <w:pPr>
        <w:spacing w:after="0" w:line="8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Beginning with our 2017 fiscal year, we changed our financial reporting cycle to a calendar year-end and end-of-month quarterly reporting cycle. Accordingly, our 2017 fiscal year began on December 31, 2016 (the day after the end of the 2016 fiscal year) and will end on December 31, 2017, and our 2017 quarters include the three month periods ended March 31, June 30, September 30, and December 31, except that the period ended March 31, 2017 also includes December 31, 2016. Our future fiscal years will begin on January 1 and end on December 31. Historically, our fiscal year was a 52 or 53 week fiscal year that ended on the Friday nearest to December 31, and our quarterly reporting cycle included twelve week periods for the first, second, and third quarters and a sixteen week period (or in some cases a seventeen week period) for the fourth quarter. We have not restated, and do not plan to restate, historical results.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shows the reporting periods as we refer to them in this report, their date ranges, and the number of days in each:</w:t>
      </w:r>
    </w:p>
    <w:p>
      <w:pPr>
        <w:spacing w:after="0" w:line="167"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2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Reporting Period</w:t>
            </w:r>
          </w:p>
        </w:tc>
        <w:tc>
          <w:tcPr>
            <w:tcW w:w="4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Date Range</w:t>
            </w:r>
          </w:p>
        </w:tc>
        <w:tc>
          <w:tcPr>
            <w:tcW w:w="2260" w:type="dxa"/>
            <w:vAlign w:val="bottom"/>
          </w:tcPr>
          <w:p>
            <w:pPr>
              <w:ind w:left="500"/>
              <w:spacing w:after="0"/>
              <w:rPr>
                <w:sz w:val="20"/>
                <w:szCs w:val="20"/>
                <w:color w:val="auto"/>
              </w:rPr>
            </w:pPr>
            <w:r>
              <w:rPr>
                <w:rFonts w:ascii="Arial" w:cs="Arial" w:eastAsia="Arial" w:hAnsi="Arial"/>
                <w:sz w:val="18"/>
                <w:szCs w:val="18"/>
                <w:b w:val="1"/>
                <w:bCs w:val="1"/>
                <w:color w:val="auto"/>
              </w:rPr>
              <w:t>Number of Days</w:t>
            </w:r>
          </w:p>
        </w:tc>
      </w:tr>
      <w:tr>
        <w:trPr>
          <w:trHeight w:val="27"/>
        </w:trPr>
        <w:tc>
          <w:tcPr>
            <w:tcW w:w="2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2017 third quarter</w:t>
            </w:r>
          </w:p>
        </w:tc>
        <w:tc>
          <w:tcPr>
            <w:tcW w:w="4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July 1, 2017 — September 30, 2017</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92</w:t>
            </w:r>
          </w:p>
        </w:tc>
      </w:tr>
      <w:tr>
        <w:trPr>
          <w:trHeight w:val="243"/>
        </w:trPr>
        <w:tc>
          <w:tcPr>
            <w:tcW w:w="26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2016 third quarter</w:t>
            </w:r>
          </w:p>
        </w:tc>
        <w:tc>
          <w:tcPr>
            <w:tcW w:w="4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18, 2016 — September 9, 2016</w:t>
            </w: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84</w:t>
            </w:r>
          </w:p>
        </w:tc>
      </w:tr>
      <w:tr>
        <w:trPr>
          <w:trHeight w:val="27"/>
        </w:trPr>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2017 first three quarters</w:t>
            </w:r>
          </w:p>
        </w:tc>
        <w:tc>
          <w:tcPr>
            <w:tcW w:w="4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December 31, 2016 — September 30, 2017</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274</w:t>
            </w:r>
          </w:p>
        </w:tc>
      </w:tr>
      <w:tr>
        <w:trPr>
          <w:trHeight w:val="243"/>
        </w:trPr>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2016 first three quarters</w:t>
            </w:r>
          </w:p>
        </w:tc>
        <w:tc>
          <w:tcPr>
            <w:tcW w:w="45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January 2, 2016 — September 9, 2016</w:t>
            </w:r>
          </w:p>
        </w:tc>
        <w:tc>
          <w:tcPr>
            <w:tcW w:w="2260" w:type="dxa"/>
            <w:vAlign w:val="bottom"/>
          </w:tcPr>
          <w:p>
            <w:pPr>
              <w:jc w:val="center"/>
              <w:spacing w:after="0"/>
              <w:rPr>
                <w:sz w:val="20"/>
                <w:szCs w:val="20"/>
                <w:color w:val="auto"/>
              </w:rPr>
            </w:pPr>
            <w:r>
              <w:rPr>
                <w:rFonts w:ascii="Arial" w:cs="Arial" w:eastAsia="Arial" w:hAnsi="Arial"/>
                <w:sz w:val="18"/>
                <w:szCs w:val="18"/>
                <w:color w:val="auto"/>
                <w:w w:val="86"/>
              </w:rPr>
              <w:t>252</w:t>
            </w:r>
          </w:p>
        </w:tc>
      </w:tr>
      <w:tr>
        <w:trPr>
          <w:trHeight w:val="27"/>
        </w:trPr>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2017 fiscal year</w:t>
            </w:r>
          </w:p>
        </w:tc>
        <w:tc>
          <w:tcPr>
            <w:tcW w:w="4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December 31, 2016 — December 31, 2017</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366</w:t>
            </w:r>
          </w:p>
        </w:tc>
      </w:tr>
      <w:tr>
        <w:trPr>
          <w:trHeight w:val="243"/>
        </w:trPr>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2016 fiscal year</w:t>
            </w:r>
          </w:p>
        </w:tc>
        <w:tc>
          <w:tcPr>
            <w:tcW w:w="45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January 2, 2016 — December 30, 2016</w:t>
            </w:r>
          </w:p>
        </w:tc>
        <w:tc>
          <w:tcPr>
            <w:tcW w:w="2260" w:type="dxa"/>
            <w:vAlign w:val="bottom"/>
          </w:tcPr>
          <w:p>
            <w:pPr>
              <w:jc w:val="center"/>
              <w:spacing w:after="0"/>
              <w:rPr>
                <w:sz w:val="20"/>
                <w:szCs w:val="20"/>
                <w:color w:val="auto"/>
              </w:rPr>
            </w:pPr>
            <w:r>
              <w:rPr>
                <w:rFonts w:ascii="Arial" w:cs="Arial" w:eastAsia="Arial" w:hAnsi="Arial"/>
                <w:sz w:val="18"/>
                <w:szCs w:val="18"/>
                <w:color w:val="auto"/>
                <w:w w:val="86"/>
              </w:rPr>
              <w:t>364</w:t>
            </w:r>
          </w:p>
        </w:tc>
      </w:tr>
    </w:tbl>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a result of the change in our financial reporting cycle, our 2017 third quarter had eight more days of activity than our 2016 third quarter, and our 2017 first three quarters had 22 more days of activity than our 2016 first three quarters. While our 2017 full fiscal year will have two additional days of activity as compared to our 2016 full fiscal year, our 2017 fourth quarter will have 20 fewer days of activity than the corresponding periods in our 2016 fiscal year.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In our opinion, our Financial Statements reflect all normal and recurring adjustments necessary to present fairly our financial position and the results of our operations and cash flows for the periods presented. Interim results may not be indicative of fiscal year performance because of, among other reasons, seasonal and short-term variations.</w:t>
      </w:r>
    </w:p>
    <w:p>
      <w:pPr>
        <w:spacing w:after="0" w:line="7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These Financial Statements have not been audited. Amounts as of December 30, 2016 included in these Financial Statements have been derived from the audited consolidated financial statements as of that date. We have condensed or omitted certain information and footnote disclosures normally included in financial statements presented in accordance with GAAP. Although we believe our footnote disclosures are adequate to make the information presented not misleading, you should read these Financial Statements in conjunction with the consolidated financial statements and notes to those consolidated financial statements included in our Annual Report on Form 10-K for the fiscal year ended December 30, 2016.</w:t>
      </w:r>
    </w:p>
    <w:p>
      <w:pPr>
        <w:spacing w:after="0" w:line="6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property and equipment valuation, loan loss reserves, loss contingencies and income taxes. Accordingly, actual amounts may differ from these estimated amounts.</w:t>
      </w:r>
    </w:p>
    <w:p>
      <w:pPr>
        <w:spacing w:after="0" w:line="7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have reclassified certain prior year amounts to conform to our current period presentation. Our Financial Statements include adjustments for the 2016 third quarter and 2016 first three quarters to correct immaterial presentation errors, consistent with those reported in our Annual Report on Form 10-K for the fiscal year ended December 30, 2016, within the following line items on our Statements of Income: Resort management and other services revenues, Resort management and other services expenses and General and administrative expenses. Correction of these immaterial errors had no impact on our consolidated Net income.</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of these adjustments on the Financial Statements is as follows:</w:t>
      </w:r>
    </w:p>
    <w:p>
      <w:pPr>
        <w:spacing w:after="0" w:line="185" w:lineRule="exact"/>
        <w:rPr>
          <w:sz w:val="20"/>
          <w:szCs w:val="20"/>
          <w:color w:val="auto"/>
        </w:rPr>
      </w:pPr>
    </w:p>
    <w:tbl>
      <w:tblPr>
        <w:tblLayout w:type="fixed"/>
        <w:tblInd w:w="152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3"/>
          </w:tcPr>
          <w:p>
            <w:pPr>
              <w:jc w:val="center"/>
              <w:ind w:left="435"/>
              <w:spacing w:after="0"/>
              <w:rPr>
                <w:sz w:val="20"/>
                <w:szCs w:val="20"/>
                <w:color w:val="auto"/>
              </w:rPr>
            </w:pPr>
            <w:r>
              <w:rPr>
                <w:rFonts w:ascii="Arial" w:cs="Arial" w:eastAsia="Arial" w:hAnsi="Arial"/>
                <w:sz w:val="16"/>
                <w:szCs w:val="16"/>
                <w:b w:val="1"/>
                <w:bCs w:val="1"/>
                <w:color w:val="auto"/>
                <w:w w:val="95"/>
              </w:rPr>
              <w:t>Quarter Ended</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4"/>
          </w:tcPr>
          <w:p>
            <w:pPr>
              <w:jc w:val="center"/>
              <w:ind w:right="50"/>
              <w:spacing w:after="0"/>
              <w:rPr>
                <w:sz w:val="20"/>
                <w:szCs w:val="20"/>
                <w:color w:val="auto"/>
              </w:rPr>
            </w:pPr>
            <w:r>
              <w:rPr>
                <w:rFonts w:ascii="Arial" w:cs="Arial" w:eastAsia="Arial" w:hAnsi="Arial"/>
                <w:sz w:val="16"/>
                <w:szCs w:val="16"/>
                <w:b w:val="1"/>
                <w:bCs w:val="1"/>
                <w:color w:val="auto"/>
                <w:w w:val="92"/>
              </w:rPr>
              <w:t>Year to Date Ended</w:t>
            </w:r>
          </w:p>
        </w:tc>
      </w:tr>
      <w:tr>
        <w:trPr>
          <w:trHeight w:val="33"/>
        </w:trPr>
        <w:tc>
          <w:tcPr>
            <w:tcW w:w="3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r>
      <w:tr>
        <w:trPr>
          <w:trHeight w:val="217"/>
        </w:trPr>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September 9, 2016</w:t>
            </w:r>
          </w:p>
        </w:tc>
        <w:tc>
          <w:tcPr>
            <w:tcW w:w="160" w:type="dxa"/>
            <w:vAlign w:val="bottom"/>
          </w:tcPr>
          <w:p>
            <w:pPr>
              <w:spacing w:after="0"/>
              <w:rPr>
                <w:sz w:val="18"/>
                <w:szCs w:val="18"/>
                <w:color w:val="auto"/>
              </w:rPr>
            </w:pPr>
          </w:p>
        </w:tc>
        <w:tc>
          <w:tcPr>
            <w:tcW w:w="2340" w:type="dxa"/>
            <w:vAlign w:val="bottom"/>
            <w:gridSpan w:val="4"/>
          </w:tcPr>
          <w:p>
            <w:pPr>
              <w:jc w:val="center"/>
              <w:ind w:right="50"/>
              <w:spacing w:after="0"/>
              <w:rPr>
                <w:sz w:val="20"/>
                <w:szCs w:val="20"/>
                <w:color w:val="auto"/>
              </w:rPr>
            </w:pPr>
            <w:r>
              <w:rPr>
                <w:rFonts w:ascii="Arial" w:cs="Arial" w:eastAsia="Arial" w:hAnsi="Arial"/>
                <w:sz w:val="16"/>
                <w:szCs w:val="16"/>
                <w:b w:val="1"/>
                <w:bCs w:val="1"/>
                <w:color w:val="auto"/>
                <w:w w:val="91"/>
              </w:rPr>
              <w:t>September 9, 2016</w:t>
            </w:r>
          </w:p>
        </w:tc>
      </w:tr>
      <w:tr>
        <w:trPr>
          <w:trHeight w:val="297"/>
        </w:trPr>
        <w:tc>
          <w:tcPr>
            <w:tcW w:w="3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w w:val="92"/>
              </w:rPr>
              <w:t>(84 days)</w:t>
            </w:r>
          </w:p>
        </w:tc>
        <w:tc>
          <w:tcPr>
            <w:tcW w:w="6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left="635"/>
              <w:spacing w:after="0"/>
              <w:rPr>
                <w:sz w:val="20"/>
                <w:szCs w:val="20"/>
                <w:color w:val="auto"/>
              </w:rPr>
            </w:pPr>
            <w:r>
              <w:rPr>
                <w:rFonts w:ascii="Arial" w:cs="Arial" w:eastAsia="Arial" w:hAnsi="Arial"/>
                <w:sz w:val="14"/>
                <w:szCs w:val="14"/>
                <w:b w:val="1"/>
                <w:bCs w:val="1"/>
                <w:color w:val="auto"/>
                <w:w w:val="90"/>
              </w:rPr>
              <w:t>(252 days)</w:t>
            </w:r>
          </w:p>
        </w:tc>
        <w:tc>
          <w:tcPr>
            <w:tcW w:w="840" w:type="dxa"/>
            <w:vAlign w:val="bottom"/>
            <w:tcBorders>
              <w:bottom w:val="single" w:sz="8" w:color="auto"/>
            </w:tcBorders>
          </w:tcPr>
          <w:p>
            <w:pPr>
              <w:spacing w:after="0"/>
              <w:rPr>
                <w:sz w:val="24"/>
                <w:szCs w:val="24"/>
                <w:color w:val="auto"/>
              </w:rPr>
            </w:pPr>
          </w:p>
        </w:tc>
      </w:tr>
      <w:tr>
        <w:trPr>
          <w:trHeight w:val="264"/>
        </w:trPr>
        <w:tc>
          <w:tcPr>
            <w:tcW w:w="3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rPr>
              <w:t>As Revised</w:t>
            </w:r>
          </w:p>
        </w:tc>
        <w:tc>
          <w:tcPr>
            <w:tcW w:w="1380" w:type="dxa"/>
            <w:vAlign w:val="bottom"/>
            <w:gridSpan w:val="3"/>
          </w:tcPr>
          <w:p>
            <w:pPr>
              <w:ind w:left="80"/>
              <w:spacing w:after="0"/>
              <w:rPr>
                <w:sz w:val="20"/>
                <w:szCs w:val="20"/>
                <w:color w:val="auto"/>
              </w:rPr>
            </w:pPr>
            <w:r>
              <w:rPr>
                <w:rFonts w:ascii="Arial" w:cs="Arial" w:eastAsia="Arial" w:hAnsi="Arial"/>
                <w:sz w:val="16"/>
                <w:szCs w:val="16"/>
                <w:b w:val="1"/>
                <w:bCs w:val="1"/>
                <w:color w:val="auto"/>
              </w:rPr>
              <w:t>Previous Filing</w:t>
            </w:r>
          </w:p>
        </w:tc>
        <w:tc>
          <w:tcPr>
            <w:tcW w:w="160" w:type="dxa"/>
            <w:vAlign w:val="bottom"/>
          </w:tcPr>
          <w:p>
            <w:pPr>
              <w:spacing w:after="0"/>
              <w:rPr>
                <w:sz w:val="22"/>
                <w:szCs w:val="22"/>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As Revised</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Previous Filing</w:t>
            </w:r>
          </w:p>
        </w:tc>
      </w:tr>
      <w:tr>
        <w:trPr>
          <w:trHeight w:val="250"/>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shd w:val="clear" w:color="auto" w:fill="CCEEFF"/>
              </w:rPr>
              <w:t>Resort management and other services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75,539</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208,049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226,098</w:t>
            </w:r>
          </w:p>
        </w:tc>
      </w:tr>
      <w:tr>
        <w:trPr>
          <w:trHeight w:val="243"/>
        </w:trPr>
        <w:tc>
          <w:tcPr>
            <w:tcW w:w="318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401,637</w:t>
            </w:r>
          </w:p>
        </w:tc>
        <w:tc>
          <w:tcPr>
            <w:tcW w:w="120" w:type="dxa"/>
            <w:vAlign w:val="bottom"/>
          </w:tcPr>
          <w:p>
            <w:pPr>
              <w:spacing w:after="0"/>
              <w:rPr>
                <w:sz w:val="21"/>
                <w:szCs w:val="21"/>
                <w:color w:val="auto"/>
              </w:rPr>
            </w:pPr>
          </w:p>
        </w:tc>
        <w:tc>
          <w:tcPr>
            <w:tcW w:w="520" w:type="dxa"/>
            <w:vAlign w:val="bottom"/>
          </w:tcPr>
          <w:p>
            <w:pPr>
              <w:jc w:val="right"/>
              <w:ind w:right="311"/>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406,991</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1,243,930</w:t>
            </w:r>
          </w:p>
        </w:tc>
        <w:tc>
          <w:tcPr>
            <w:tcW w:w="100" w:type="dxa"/>
            <w:vAlign w:val="bottom"/>
          </w:tcPr>
          <w:p>
            <w:pPr>
              <w:spacing w:after="0"/>
              <w:rPr>
                <w:sz w:val="21"/>
                <w:szCs w:val="21"/>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1,261,979</w:t>
            </w:r>
          </w:p>
        </w:tc>
      </w:tr>
      <w:tr>
        <w:trPr>
          <w:trHeight w:val="27"/>
        </w:trPr>
        <w:tc>
          <w:tcPr>
            <w:tcW w:w="3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shd w:val="clear" w:color="auto" w:fill="CCEEFF"/>
              </w:rPr>
              <w:t>Resort management and other services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39,825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45,437</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140,545</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22,151</w:t>
            </w:r>
          </w:p>
        </w:tc>
        <w:tc>
          <w:tcPr>
            <w:tcW w:w="120" w:type="dxa"/>
            <w:vAlign w:val="bottom"/>
          </w:tcPr>
          <w:p>
            <w:pPr>
              <w:spacing w:after="0"/>
              <w:rPr>
                <w:sz w:val="21"/>
                <w:szCs w:val="21"/>
                <w:color w:val="auto"/>
              </w:rPr>
            </w:pPr>
          </w:p>
        </w:tc>
        <w:tc>
          <w:tcPr>
            <w:tcW w:w="520" w:type="dxa"/>
            <w:vAlign w:val="bottom"/>
          </w:tcPr>
          <w:p>
            <w:pPr>
              <w:jc w:val="right"/>
              <w:ind w:right="311"/>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21,619</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72,871</w:t>
            </w:r>
          </w:p>
        </w:tc>
        <w:tc>
          <w:tcPr>
            <w:tcW w:w="100" w:type="dxa"/>
            <w:vAlign w:val="bottom"/>
          </w:tcPr>
          <w:p>
            <w:pPr>
              <w:spacing w:after="0"/>
              <w:rPr>
                <w:sz w:val="21"/>
                <w:szCs w:val="21"/>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71,504</w:t>
            </w:r>
          </w:p>
        </w:tc>
      </w:tr>
      <w:tr>
        <w:trPr>
          <w:trHeight w:val="27"/>
        </w:trPr>
        <w:tc>
          <w:tcPr>
            <w:tcW w:w="3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0"/>
        </w:trPr>
        <w:tc>
          <w:tcPr>
            <w:tcW w:w="3180" w:type="dxa"/>
            <w:vAlign w:val="bottom"/>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TOTAL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358,906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364,260</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1,102,020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1,120,069</w:t>
            </w:r>
          </w:p>
        </w:tc>
      </w:tr>
      <w:tr>
        <w:trPr>
          <w:trHeight w:val="41"/>
        </w:trPr>
        <w:tc>
          <w:tcPr>
            <w:tcW w:w="3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17"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Beginning in our 2017 fiscal year, participants in the Marriott Vacations Worldwide Deferred Compensation Plan (the “Deferred Compensation Plan”) may select a rate of return based on various market-based investment alternatives for a portion of their contributions, as well as any future Company contributions, to the Deferred Compensation Plan, and may also select such a rate for a portion of their existing account balances. To support our ability to meet a portion of our obligations under the Deferred Compensation Plan, we acquired company owned insurance policies (the “COLI policies”) on the lives of certain participants in the Deferred Compensation Plan, the proceeds of which are intended to be aligned with the investment alternatives elected by plan participants and are payable to a rabbi trust with the Company as grantor. A portion of a participant’s contributions to the Deferred Compensation Plan must be subject to a fixed rate of return, which for our 2017 fiscal year was reduced to 3.5 percent.</w:t>
      </w:r>
    </w:p>
    <w:p>
      <w:pPr>
        <w:spacing w:after="0" w:line="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consolidate the liabilities of the Deferred Compensation Plan and the related assets, which consist of the COLI policies held in the rabbi trust. The rabbi trust is considered a variable interest entity (“VIE”). We are considered the primary beneficiary of the rabbi trust because we direct the activities of the trust and are the beneficiary of the trust. At September 30, 2017, the value of the assets held in the rabbi trust was $13.2 million, which is included in the Other line within assets on our Balance Sheets.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Accounting Standards Update No. 2017-09 – “</w:t>
      </w:r>
      <w:r>
        <w:rPr>
          <w:rFonts w:ascii="Arial" w:cs="Arial" w:eastAsia="Arial" w:hAnsi="Arial"/>
          <w:sz w:val="16"/>
          <w:szCs w:val="16"/>
          <w:i w:val="1"/>
          <w:iCs w:val="1"/>
          <w:color w:val="auto"/>
        </w:rPr>
        <w:t>Compensation - Stock Compensation (Topic 718): Scope of Modification Accounting</w:t>
      </w:r>
      <w:r>
        <w:rPr>
          <w:rFonts w:ascii="Arial" w:cs="Arial" w:eastAsia="Arial" w:hAnsi="Arial"/>
          <w:sz w:val="16"/>
          <w:szCs w:val="16"/>
          <w:color w:val="auto"/>
        </w:rPr>
        <w:t>” (“ASU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09”)</w:t>
      </w:r>
    </w:p>
    <w:p>
      <w:pPr>
        <w:spacing w:after="0" w:line="10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May 2017, the Financial Accounting Standards Board (“FASB”) issued Accounting Standards Update (“ASU”) 2017-09, which clarifies when changes to the terms or conditions of a share-based payment award must be accounted for as modifications for the purpose of applying the modification guidance in Accounting Standards Codification Topic 718. This update is effective for all entities for annual periods beginning after December 15, 2017, and for interim periods within those annual periods, with early adoption permitted. Our early adoption of ASU 2017-09 in the 2017 second quarter did not have an impact on our financial statements or disclosures.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No. 2016-18 – “</w:t>
      </w:r>
      <w:r>
        <w:rPr>
          <w:rFonts w:ascii="Arial" w:cs="Arial" w:eastAsia="Arial" w:hAnsi="Arial"/>
          <w:sz w:val="18"/>
          <w:szCs w:val="18"/>
          <w:i w:val="1"/>
          <w:iCs w:val="1"/>
          <w:color w:val="auto"/>
        </w:rPr>
        <w:t>Restricted Cash</w:t>
      </w:r>
      <w:r>
        <w:rPr>
          <w:rFonts w:ascii="Arial" w:cs="Arial" w:eastAsia="Arial" w:hAnsi="Arial"/>
          <w:sz w:val="18"/>
          <w:szCs w:val="18"/>
          <w:color w:val="auto"/>
        </w:rPr>
        <w:t>” (“ASU 2016-18”)</w:t>
      </w:r>
    </w:p>
    <w:p>
      <w:pPr>
        <w:spacing w:after="0" w:line="11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November 2016, the FASB issued ASU 2016-18, which requires entities to show the changes in the total of cash, cash equivalents, restricted cash and restricted cash equivalents in the statement of cash flows. As a result, we no longer present changes in restricted cash as a component of investing activities. This update is effective for public companies for fiscal years beginning after December 15, 2017, including interim periods within those fiscal years. We adopted ASU 2016-18 on a retrospective basis commencing in the 2017 first quarter.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No. 2016-09 –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(“ASU 2016-09”)</w:t>
      </w:r>
    </w:p>
    <w:p>
      <w:pPr>
        <w:spacing w:after="0" w:line="11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March 2016, the FASB issued ASU 2016-09, which changes how entities account for certain aspects of share-based payment transactions, including the income tax consequences, classification of awards as either equity or liabilities and classification on the statement of cash flows. The new guidance requires all income tax effects of awards, including excess tax benefits, to be recorded as income tax expense (or benefit) in the income statement, which resulted in benefits to our provision for income taxes of $0.9 million in the 2017 third quarter and $6.1 million in the 2017 first three quarters. The new guidance requires excess tax benefits to be presented as an operating inflow rather than as a financing inflow in the statement of cash flows. Prior to the adoption of ASU 2016-09, excess tax benefits were recorded in additional paid-in-capital on the balance sheet. This update is effective for annual periods beginning after December 15, 2016 and interim periods within those annual periods. We adopted ASU 2016-09 in the 2017 first quarter. The adoption of ASU 2016-09 decreased our provision for income taxes, the amount of which depends on the vesting activity of our share-based compensation awards in any given period, and eliminated the presentation of excess tax benefits as a financing inflow on our statement of cash flows. Further, we made an accounting policy election to recognize forfeitures of share-based compensation awards as they occur, the cumulative effect of which resulted in an adjustment of $0.4 million to opening retained earnings. The adoption of ASU 2016-09 did not have any other material impacts on our financial statements or disclosures.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Standards</w:t>
      </w:r>
    </w:p>
    <w:p>
      <w:pPr>
        <w:spacing w:after="0" w:line="11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Accounting Standards Update No. 2017-12 –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(“ASU 2017-12”)</w:t>
      </w:r>
    </w:p>
    <w:p>
      <w:pPr>
        <w:spacing w:after="0" w:line="6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August 2017, the FASB issued ASU 2017-12, which amends and simplifies existing guidance in order to allow companies to better portray the economic effects of risk management activities in the financial statements and enhance the transparency and understandability of the results of hedging activities. ASU 2017-12 eliminates the requirement to separately measure and report hedge ineffectiveness and generally requires the entire change in the fair value of a hedging instrument to be presented in the same income statement line as the hedged item. The guidance also eases certain documentation and assessment requirements. This update is effective for public companies for fiscal years beginning after December 15, 2018, including interim periods within those fiscal years, with early adoption permitted. We are evaluating the impact that ASU 2017-12, including the timing of implementation, will have on our financial statements and disclosures.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Accounting Standards Update No. 2016-16 – “</w:t>
      </w:r>
      <w:r>
        <w:rPr>
          <w:rFonts w:ascii="Arial" w:cs="Arial" w:eastAsia="Arial" w:hAnsi="Arial"/>
          <w:sz w:val="16"/>
          <w:szCs w:val="16"/>
          <w:i w:val="1"/>
          <w:iCs w:val="1"/>
          <w:color w:val="auto"/>
        </w:rPr>
        <w:t>Income Taxes (Topic 740): Intra-Entity Transfers of Assets Other Than Inventory</w:t>
      </w:r>
      <w:r>
        <w:rPr>
          <w:rFonts w:ascii="Arial" w:cs="Arial" w:eastAsia="Arial" w:hAnsi="Arial"/>
          <w:sz w:val="16"/>
          <w:szCs w:val="16"/>
          <w:color w:val="auto"/>
        </w:rPr>
        <w:t>” (“ASU 2016-16”)</w:t>
      </w:r>
    </w:p>
    <w:p>
      <w:pPr>
        <w:spacing w:after="0" w:line="14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October 2016, the FASB issued ASU 2016-16, which changes the timing of when certain intercompany transactions are recognized within the provision for income taxes. This update is effective for public companies for annual periods beginning after December 15, 2017, and for annual periods and interim periods thereafter, with early adoption permitted. We are evaluating the impact that adoption of ASU 2016-16 in the first quarter of fiscal year 2018 will have on our financial statements and disclosures.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Accounting Standards Update No. 2016-13 –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(“ASU 2016-13”)</w:t>
      </w:r>
    </w:p>
    <w:p>
      <w:pPr>
        <w:spacing w:after="0" w:line="62"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In June 2016, the FASB issued ASU 2016-13, which replaces the incurred loss impairment methodology in current GAAP with a methodology that reflects expected credit losses. The update is intended to provide financial statement users with more decision-useful information about the expected credit losses on financial instruments and other commitments to extend credit held by a reporting entity at each reporting date. This update is effective for fiscal years beginning after December 15, 2019, including interim periods within those fiscal years, with early adoption permitted for fiscal years beginning after December 15, 2018. We are evaluating the impact that ASU 2016-13, including the timing of implementation, will have on our financial statements and disclosures.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No. 2016-02 –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w:t>
      </w:r>
    </w:p>
    <w:p>
      <w:pPr>
        <w:spacing w:after="0" w:line="11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February 2016, the FASB issued ASU 2016-02 to increase transparency and comparability of information regarding an entity’s leasing activities by providing additional information to users of financial statements. ASU 2016-02 amends the existing accounting standards for lease accounting, including requiring lessees to recognize most leases on their balance sheets and making targeted changes to lessor accounting. The new standard requires a modified retrospective transition approach for all leases existing at, or entered into after, the date of initial application, with an option to use certain transition relief. This update is effective for fiscal years beginning after December 15, 2018, including interim periods within those fiscal years, with early adoption permitted. Although we expect to adopt ASU 2016-02 in fiscal year 2019 and have commenced our implementation efforts, we continue to evaluate the impact that adoption of this accounting standards update will have on our financial statements and disclosures.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No. 2016-01 – “</w:t>
      </w:r>
      <w:r>
        <w:rPr>
          <w:rFonts w:ascii="Arial" w:cs="Arial" w:eastAsia="Arial" w:hAnsi="Arial"/>
          <w:sz w:val="18"/>
          <w:szCs w:val="18"/>
          <w:i w:val="1"/>
          <w:iCs w:val="1"/>
          <w:color w:val="auto"/>
        </w:rPr>
        <w:t>Financial Instruments – Overall (Subtopic 825-10)</w:t>
      </w:r>
      <w:r>
        <w:rPr>
          <w:rFonts w:ascii="Arial" w:cs="Arial" w:eastAsia="Arial" w:hAnsi="Arial"/>
          <w:sz w:val="18"/>
          <w:szCs w:val="18"/>
          <w:color w:val="auto"/>
        </w:rPr>
        <w:t>” (“ASU 2016-01”)</w:t>
      </w:r>
    </w:p>
    <w:p>
      <w:pPr>
        <w:spacing w:after="0" w:line="11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In January 2016, the FASB issued ASU 2016-01, which updates certain aspects of recognition, measurement, presentation and disclosure of financial instruments. For public business entities, the amendments in ASU 2016-01 will be effective for fiscal years beginning after December 15, 2017, including interim periods within those fiscal years. We do not expect the adoption of ASU 2016-01 to have a material impact on our financial statements.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No. 2014-09 –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(“ASU 2014-09”), as Amended</w:t>
      </w:r>
    </w:p>
    <w:p>
      <w:pPr>
        <w:spacing w:after="0" w:line="11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May 2014, the FASB issued ASU 2014-09, which, as amended, supersedes the revenue recognition requirements in Topic 605, Revenue Recognition, as well as most industry-specific guidance, and significantly enhances comparability of revenue recognition practices across entities and industries by providing a principle-based, comprehensive framework for addressing revenue recognition issues. In order for a provider of promised goods or services to recognize as revenue the consideration that it expects to receive in exchange for the promised goods or services, the provider should apply the following five steps: (1) identify the contract with a customer; (2) identify the performance obligations in the contract; (3) determine the transaction price; (4) allocate the transaction price to the performance obligations in the contract; and (5) recognize revenue when (or as) the entity satisfies a performance obligation. ASU 2014-09, as amended, will be effective for annual reporting periods, and interim periods within those reporting periods, beginning after December 15, 2017. The new standard may be applied retrospectively or on a modified retrospective basis with the cumulative effect recognized on the date of adoption. We will adopt ASU 2014-09, as amended, commencing in fiscal year 2018, on a retrospective basis. Our analysis of the impact that adoption of this accounting standards update will have on our financial statements and disclosures is substantially complete, with the exception of accounting for the sale of vacation ownership products in our Asia Pacific and Europe segments.</w:t>
      </w:r>
    </w:p>
    <w:p>
      <w:pPr>
        <w:spacing w:after="0" w:line="75" w:lineRule="exact"/>
        <w:rPr>
          <w:sz w:val="20"/>
          <w:szCs w:val="20"/>
          <w:color w:val="auto"/>
        </w:rPr>
      </w:pPr>
    </w:p>
    <w:p>
      <w:pPr>
        <w:ind w:right="360" w:firstLine="648"/>
        <w:spacing w:after="0" w:line="258" w:lineRule="auto"/>
        <w:rPr>
          <w:sz w:val="20"/>
          <w:szCs w:val="20"/>
          <w:color w:val="auto"/>
        </w:rPr>
      </w:pPr>
      <w:r>
        <w:rPr>
          <w:rFonts w:ascii="Arial" w:cs="Arial" w:eastAsia="Arial" w:hAnsi="Arial"/>
          <w:sz w:val="18"/>
          <w:szCs w:val="18"/>
          <w:color w:val="auto"/>
        </w:rPr>
        <w:t>We expect adoption of ASU 2014-09 will result in the following with respect to the recognition of revenues from the sale of vacation ownership products within our North America segment:</w:t>
      </w:r>
    </w:p>
    <w:p>
      <w:pPr>
        <w:spacing w:after="0" w:line="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alignment of our assessment of collectibility of the transaction price with our credit granting policies;</w:t>
      </w:r>
    </w:p>
    <w:p>
      <w:pPr>
        <w:spacing w:after="0" w:line="9" w:lineRule="exact"/>
        <w:rPr>
          <w:rFonts w:ascii="Arial" w:cs="Arial" w:eastAsia="Arial" w:hAnsi="Arial"/>
          <w:sz w:val="18"/>
          <w:szCs w:val="18"/>
          <w:color w:val="auto"/>
        </w:rPr>
      </w:pPr>
    </w:p>
    <w:p>
      <w:pPr>
        <w:ind w:left="660" w:right="6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deferral of revenue recognition deemed collectible from expiration of the statutory rescission period to closing, when control of the vacation ownership product is transferred to the customer;</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reclassification of revenues and incidental expenses from rental revenues and expenses to marketing and sales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impact on sales reserve accounting;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presentation of certain sales incentives (e.g., Marriott Rewards Points).</w:t>
      </w:r>
    </w:p>
    <w:p>
      <w:pPr>
        <w:spacing w:after="0" w:line="10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In addition, we expect to elect the practical expedient available in ASU 2014-09 to expense all marketing and sales costs as they are incurred.</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expect no material changes to our consolidated financial reporting for resort management and other services revenues, financing revenues or rental revenues, other than as outlined above pertaining to reclassification of activity to different lines in our statements of income. We expect a material increase in our consolidated cost reimbursements revenues and cost reimbursements expenses, as all costs reimbursed to us by property owners’ associations will be reported on a gross basis upon adoption of ASU 2014-09.</w:t>
      </w:r>
    </w:p>
    <w:p>
      <w:pPr>
        <w:spacing w:after="0" w:line="7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are in the process of quantifying the impact of the adoption of ASU 2014-09 and will disclose additional detail on the impact of adoption of this accounting standards update in our 2017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INCOME TAXES</w:t>
      </w:r>
    </w:p>
    <w:p>
      <w:pPr>
        <w:spacing w:after="0" w:line="121"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We file income tax returns with U.S. federal and state and non-U.S. jurisdictions and are subject to audits in these jurisdictions. Although we do not anticipate that a significant impact to our unrecognized tax benefit balance will occur during the next fiscal year, the amount of our liability for unrecognized tax benefits could change as a result of audits in these jurisdictions. Our total unrecognized tax benefit balance that, if recognized, would impact our effective tax rate, was $1.5 million at both September 30, 2017 and December 30, 2016.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VACATION OWNERSHIP NOTES RECEIVABLE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0"/>
                <w:szCs w:val="20"/>
                <w:color w:val="auto"/>
              </w:rPr>
            </w:pPr>
          </w:p>
        </w:tc>
        <w:tc>
          <w:tcPr>
            <w:tcW w:w="2060" w:type="dxa"/>
            <w:vAlign w:val="bottom"/>
            <w:gridSpan w:val="2"/>
          </w:tcPr>
          <w:p>
            <w:pPr>
              <w:ind w:left="100"/>
              <w:spacing w:after="0"/>
              <w:rPr>
                <w:sz w:val="20"/>
                <w:szCs w:val="20"/>
                <w:color w:val="auto"/>
              </w:rPr>
            </w:pPr>
            <w:r>
              <w:rPr>
                <w:rFonts w:ascii="Arial" w:cs="Arial" w:eastAsia="Arial" w:hAnsi="Arial"/>
                <w:sz w:val="16"/>
                <w:szCs w:val="16"/>
                <w:b w:val="1"/>
                <w:bCs w:val="1"/>
                <w:color w:val="auto"/>
              </w:rPr>
              <w:t>At September 30, 2017</w:t>
            </w:r>
          </w:p>
        </w:tc>
        <w:tc>
          <w:tcPr>
            <w:tcW w:w="180" w:type="dxa"/>
            <w:vAlign w:val="bottom"/>
          </w:tcPr>
          <w:p>
            <w:pPr>
              <w:spacing w:after="0"/>
              <w:rPr>
                <w:sz w:val="20"/>
                <w:szCs w:val="20"/>
                <w:color w:val="auto"/>
              </w:rPr>
            </w:pPr>
          </w:p>
        </w:tc>
        <w:tc>
          <w:tcPr>
            <w:tcW w:w="1840" w:type="dxa"/>
            <w:vAlign w:val="bottom"/>
          </w:tcPr>
          <w:p>
            <w:pPr>
              <w:jc w:val="right"/>
              <w:ind w:right="151"/>
              <w:spacing w:after="0"/>
              <w:rPr>
                <w:sz w:val="20"/>
                <w:szCs w:val="20"/>
                <w:color w:val="auto"/>
              </w:rPr>
            </w:pPr>
            <w:r>
              <w:rPr>
                <w:rFonts w:ascii="Arial" w:cs="Arial" w:eastAsia="Arial" w:hAnsi="Arial"/>
                <w:sz w:val="16"/>
                <w:szCs w:val="16"/>
                <w:b w:val="1"/>
                <w:bCs w:val="1"/>
                <w:color w:val="auto"/>
                <w:w w:val="95"/>
              </w:rPr>
              <w:t>At December 30, 2016</w:t>
            </w:r>
          </w:p>
        </w:tc>
        <w:tc>
          <w:tcPr>
            <w:tcW w:w="0" w:type="dxa"/>
            <w:vAlign w:val="bottom"/>
          </w:tcPr>
          <w:p>
            <w:pPr>
              <w:spacing w:after="0"/>
              <w:rPr>
                <w:sz w:val="1"/>
                <w:szCs w:val="1"/>
                <w:color w:val="auto"/>
              </w:rPr>
            </w:pPr>
          </w:p>
        </w:tc>
      </w:tr>
      <w:tr>
        <w:trPr>
          <w:trHeight w:val="250"/>
        </w:trPr>
        <w:tc>
          <w:tcPr>
            <w:tcW w:w="7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 securitized</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875,237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717,543</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Vacation ownership notes receivable — non-securitized</w:t>
            </w:r>
          </w:p>
        </w:tc>
        <w:tc>
          <w:tcPr>
            <w:tcW w:w="2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Eligible for securitization</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23"/>
                <w:szCs w:val="23"/>
                <w:color w:val="auto"/>
              </w:rPr>
            </w:pPr>
          </w:p>
        </w:tc>
        <w:tc>
          <w:tcPr>
            <w:tcW w:w="1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44,907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98,508</w:t>
            </w:r>
          </w:p>
        </w:tc>
        <w:tc>
          <w:tcPr>
            <w:tcW w:w="0" w:type="dxa"/>
            <w:vAlign w:val="bottom"/>
          </w:tcPr>
          <w:p>
            <w:pPr>
              <w:spacing w:after="0"/>
              <w:rPr>
                <w:sz w:val="1"/>
                <w:szCs w:val="1"/>
                <w:color w:val="auto"/>
              </w:rPr>
            </w:pPr>
          </w:p>
        </w:tc>
      </w:tr>
      <w:tr>
        <w:trPr>
          <w:trHeight w:val="264"/>
        </w:trPr>
        <w:tc>
          <w:tcPr>
            <w:tcW w:w="70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Not eligible for securitization</w:t>
            </w:r>
            <w:r>
              <w:rPr>
                <w:rFonts w:ascii="Arial" w:cs="Arial" w:eastAsia="Arial" w:hAnsi="Arial"/>
                <w:sz w:val="18"/>
                <w:szCs w:val="18"/>
                <w:color w:val="auto"/>
                <w:vertAlign w:val="superscript"/>
              </w:rPr>
              <w:t>(1)</w:t>
            </w:r>
          </w:p>
        </w:tc>
        <w:tc>
          <w:tcPr>
            <w:tcW w:w="2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156,258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156,260</w:t>
            </w:r>
          </w:p>
        </w:tc>
        <w:tc>
          <w:tcPr>
            <w:tcW w:w="0" w:type="dxa"/>
            <w:vAlign w:val="bottom"/>
          </w:tcPr>
          <w:p>
            <w:pPr>
              <w:spacing w:after="0"/>
              <w:rPr>
                <w:sz w:val="1"/>
                <w:szCs w:val="1"/>
                <w:color w:val="auto"/>
              </w:rPr>
            </w:pPr>
          </w:p>
        </w:tc>
      </w:tr>
      <w:tr>
        <w:trPr>
          <w:trHeight w:val="270"/>
        </w:trPr>
        <w:tc>
          <w:tcPr>
            <w:tcW w:w="7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Subtotal</w:t>
            </w:r>
          </w:p>
        </w:tc>
        <w:tc>
          <w:tcPr>
            <w:tcW w:w="2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201,165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254,768</w:t>
            </w:r>
          </w:p>
        </w:tc>
        <w:tc>
          <w:tcPr>
            <w:tcW w:w="0" w:type="dxa"/>
            <w:vAlign w:val="bottom"/>
          </w:tcPr>
          <w:p>
            <w:pPr>
              <w:spacing w:after="0"/>
              <w:rPr>
                <w:sz w:val="1"/>
                <w:szCs w:val="1"/>
                <w:color w:val="auto"/>
              </w:rPr>
            </w:pPr>
          </w:p>
        </w:tc>
      </w:tr>
      <w:tr>
        <w:trPr>
          <w:trHeight w:val="257"/>
        </w:trPr>
        <w:tc>
          <w:tcPr>
            <w:tcW w:w="7000" w:type="dxa"/>
            <w:vAlign w:val="bottom"/>
          </w:tcPr>
          <w:p>
            <w:pPr>
              <w:ind w:left="40"/>
              <w:spacing w:after="0"/>
              <w:rPr>
                <w:sz w:val="20"/>
                <w:szCs w:val="20"/>
                <w:color w:val="auto"/>
              </w:rPr>
            </w:pPr>
            <w:r>
              <w:rPr>
                <w:rFonts w:ascii="Arial" w:cs="Arial" w:eastAsia="Arial" w:hAnsi="Arial"/>
                <w:sz w:val="18"/>
                <w:szCs w:val="18"/>
                <w:color w:val="auto"/>
              </w:rPr>
              <w:t>Total vacation ownership notes receivable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1,076,402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972,311</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34"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color w:val="auto"/>
        </w:rPr>
        <w:t>Refer to Footnote No. 4, “Financial Instruments,” for discussion of eligibility of our vacation ownership notes receivable for securitization.</w:t>
      </w:r>
    </w:p>
    <w:p>
      <w:pPr>
        <w:spacing w:after="0" w:line="203"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following tables show future principal payments, net of reserves, as well as interest rates for our non-securitized and securitized vacation ownership notes receivable at September 30, 2017:</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Non-Securitized</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Securitized</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Vacation Ownership</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Vacation Ownership</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0"/>
                <w:szCs w:val="20"/>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Notes Receivable</w:t>
            </w:r>
          </w:p>
        </w:tc>
        <w:tc>
          <w:tcPr>
            <w:tcW w:w="20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Notes Receivable</w:t>
            </w:r>
          </w:p>
        </w:tc>
        <w:tc>
          <w:tcPr>
            <w:tcW w:w="280" w:type="dxa"/>
            <w:vAlign w:val="bottom"/>
          </w:tcPr>
          <w:p>
            <w:pPr>
              <w:spacing w:after="0"/>
              <w:rPr>
                <w:sz w:val="20"/>
                <w:szCs w:val="20"/>
                <w:color w:val="auto"/>
              </w:rPr>
            </w:pPr>
          </w:p>
        </w:tc>
        <w:tc>
          <w:tcPr>
            <w:tcW w:w="1660" w:type="dxa"/>
            <w:vAlign w:val="bottom"/>
          </w:tcPr>
          <w:p>
            <w:pPr>
              <w:jc w:val="center"/>
              <w:ind w:right="171"/>
              <w:spacing w:after="0"/>
              <w:rPr>
                <w:sz w:val="20"/>
                <w:szCs w:val="20"/>
                <w:color w:val="auto"/>
              </w:rPr>
            </w:pPr>
            <w:r>
              <w:rPr>
                <w:rFonts w:ascii="Arial" w:cs="Arial" w:eastAsia="Arial" w:hAnsi="Arial"/>
                <w:sz w:val="16"/>
                <w:szCs w:val="16"/>
                <w:b w:val="1"/>
                <w:bCs w:val="1"/>
                <w:color w:val="auto"/>
                <w:w w:val="94"/>
              </w:rPr>
              <w:t>Total</w:t>
            </w: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remaining</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37,427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37,988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97,634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135,622</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94,676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121,340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21,575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96,259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117,834</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97,628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114,580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86,153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463,446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549,599</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201,165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875,237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1,076,402</w:t>
            </w: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0"/>
        </w:trPr>
        <w:tc>
          <w:tcPr>
            <w:tcW w:w="5380" w:type="dxa"/>
            <w:vAlign w:val="bottom"/>
          </w:tcPr>
          <w:p>
            <w:pPr>
              <w:ind w:left="40"/>
              <w:spacing w:after="0"/>
              <w:rPr>
                <w:sz w:val="20"/>
                <w:szCs w:val="20"/>
                <w:color w:val="auto"/>
              </w:rPr>
            </w:pPr>
            <w:r>
              <w:rPr>
                <w:rFonts w:ascii="Arial" w:cs="Arial" w:eastAsia="Arial" w:hAnsi="Arial"/>
                <w:sz w:val="18"/>
                <w:szCs w:val="18"/>
                <w:color w:val="auto"/>
              </w:rPr>
              <w:t>Weighted average stated interest rate at September 30, 2017</w:t>
            </w:r>
          </w:p>
        </w:tc>
        <w:tc>
          <w:tcPr>
            <w:tcW w:w="180" w:type="dxa"/>
            <w:vAlign w:val="bottom"/>
          </w:tcPr>
          <w:p>
            <w:pPr>
              <w:spacing w:after="0"/>
              <w:rPr>
                <w:sz w:val="20"/>
                <w:szCs w:val="20"/>
                <w:color w:val="auto"/>
              </w:rPr>
            </w:pPr>
          </w:p>
        </w:tc>
        <w:tc>
          <w:tcPr>
            <w:tcW w:w="1780" w:type="dxa"/>
            <w:vAlign w:val="bottom"/>
          </w:tcPr>
          <w:p>
            <w:pPr>
              <w:jc w:val="center"/>
              <w:ind w:right="72"/>
              <w:spacing w:after="0"/>
              <w:rPr>
                <w:sz w:val="20"/>
                <w:szCs w:val="20"/>
                <w:color w:val="auto"/>
              </w:rPr>
            </w:pPr>
            <w:r>
              <w:rPr>
                <w:rFonts w:ascii="Arial" w:cs="Arial" w:eastAsia="Arial" w:hAnsi="Arial"/>
                <w:sz w:val="18"/>
                <w:szCs w:val="18"/>
                <w:color w:val="auto"/>
                <w:w w:val="90"/>
              </w:rPr>
              <w:t>11.2%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center"/>
              <w:ind w:right="112"/>
              <w:spacing w:after="0"/>
              <w:rPr>
                <w:sz w:val="20"/>
                <w:szCs w:val="20"/>
                <w:color w:val="auto"/>
              </w:rPr>
            </w:pPr>
            <w:r>
              <w:rPr>
                <w:rFonts w:ascii="Arial" w:cs="Arial" w:eastAsia="Arial" w:hAnsi="Arial"/>
                <w:sz w:val="18"/>
                <w:szCs w:val="18"/>
                <w:color w:val="auto"/>
                <w:w w:val="90"/>
              </w:rPr>
              <w:t>12.6%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center"/>
              <w:ind w:right="191"/>
              <w:spacing w:after="0"/>
              <w:rPr>
                <w:sz w:val="20"/>
                <w:szCs w:val="20"/>
                <w:color w:val="auto"/>
              </w:rPr>
            </w:pPr>
            <w:r>
              <w:rPr>
                <w:rFonts w:ascii="Arial" w:cs="Arial" w:eastAsia="Arial" w:hAnsi="Arial"/>
                <w:sz w:val="18"/>
                <w:szCs w:val="18"/>
                <w:color w:val="auto"/>
                <w:w w:val="90"/>
              </w:rPr>
              <w:t>12.3%</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Range of stated interest rates at September 30, 2017</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0.0% to 18.0%</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4.9% to 18.0%</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ind w:right="191"/>
              <w:spacing w:after="0"/>
              <w:rPr>
                <w:sz w:val="20"/>
                <w:szCs w:val="20"/>
                <w:color w:val="auto"/>
              </w:rPr>
            </w:pPr>
            <w:r>
              <w:rPr>
                <w:rFonts w:ascii="Arial" w:cs="Arial" w:eastAsia="Arial" w:hAnsi="Arial"/>
                <w:sz w:val="18"/>
                <w:szCs w:val="18"/>
                <w:color w:val="auto"/>
                <w:w w:val="90"/>
              </w:rPr>
              <w:t>0.0% to 18.0%</w:t>
            </w:r>
          </w:p>
        </w:tc>
      </w:tr>
      <w:tr>
        <w:trPr>
          <w:trHeight w:val="459"/>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ind w:right="145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reflect interest income associated with vacation ownership notes receivable in our Statements of Income in the Financing revenues caption. The following table summarizes interest income associated with vacation ownership notes receivable: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40" w:type="dxa"/>
            <w:vAlign w:val="bottom"/>
            <w:gridSpan w:val="5"/>
          </w:tcPr>
          <w:p>
            <w:pPr>
              <w:ind w:left="760"/>
              <w:spacing w:after="0"/>
              <w:rPr>
                <w:sz w:val="20"/>
                <w:szCs w:val="20"/>
                <w:color w:val="auto"/>
              </w:rPr>
            </w:pPr>
            <w:r>
              <w:rPr>
                <w:rFonts w:ascii="Arial" w:cs="Arial" w:eastAsia="Arial" w:hAnsi="Arial"/>
                <w:sz w:val="16"/>
                <w:szCs w:val="16"/>
                <w:b w:val="1"/>
                <w:bCs w:val="1"/>
                <w:color w:val="auto"/>
              </w:rPr>
              <w:t>Quarter Ended</w:t>
            </w:r>
          </w:p>
        </w:tc>
        <w:tc>
          <w:tcPr>
            <w:tcW w:w="280" w:type="dxa"/>
            <w:vAlign w:val="bottom"/>
          </w:tcPr>
          <w:p>
            <w:pPr>
              <w:spacing w:after="0"/>
              <w:rPr>
                <w:sz w:val="18"/>
                <w:szCs w:val="18"/>
                <w:color w:val="auto"/>
              </w:rPr>
            </w:pPr>
          </w:p>
        </w:tc>
        <w:tc>
          <w:tcPr>
            <w:tcW w:w="2780" w:type="dxa"/>
            <w:vAlign w:val="bottom"/>
            <w:gridSpan w:val="4"/>
          </w:tcPr>
          <w:p>
            <w:pPr>
              <w:ind w:left="600"/>
              <w:spacing w:after="0"/>
              <w:rPr>
                <w:sz w:val="20"/>
                <w:szCs w:val="20"/>
                <w:color w:val="auto"/>
              </w:rPr>
            </w:pPr>
            <w:r>
              <w:rPr>
                <w:rFonts w:ascii="Arial" w:cs="Arial" w:eastAsia="Arial" w:hAnsi="Arial"/>
                <w:sz w:val="16"/>
                <w:szCs w:val="16"/>
                <w:b w:val="1"/>
                <w:bCs w:val="1"/>
                <w:color w:val="auto"/>
              </w:rPr>
              <w:t>Year to Date Ended</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tcPr>
          <w:p>
            <w:pPr>
              <w:spacing w:after="0"/>
              <w:rPr>
                <w:sz w:val="20"/>
                <w:szCs w:val="20"/>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September 30, 2017</w:t>
            </w:r>
          </w:p>
        </w:tc>
        <w:tc>
          <w:tcPr>
            <w:tcW w:w="17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9"/>
              </w:rPr>
              <w:t>September 9, 2016</w:t>
            </w: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2017</w:t>
            </w:r>
          </w:p>
        </w:tc>
        <w:tc>
          <w:tcPr>
            <w:tcW w:w="1480" w:type="dxa"/>
            <w:vAlign w:val="bottom"/>
            <w:gridSpan w:val="2"/>
          </w:tcPr>
          <w:p>
            <w:pPr>
              <w:jc w:val="right"/>
              <w:ind w:right="14"/>
              <w:spacing w:after="0"/>
              <w:rPr>
                <w:sz w:val="20"/>
                <w:szCs w:val="20"/>
                <w:color w:val="auto"/>
              </w:rPr>
            </w:pPr>
            <w:r>
              <w:rPr>
                <w:rFonts w:ascii="Arial" w:cs="Arial" w:eastAsia="Arial" w:hAnsi="Arial"/>
                <w:sz w:val="16"/>
                <w:szCs w:val="16"/>
                <w:b w:val="1"/>
                <w:bCs w:val="1"/>
                <w:color w:val="auto"/>
                <w:w w:val="96"/>
              </w:rPr>
              <w:t>September 9, 2016</w:t>
            </w:r>
          </w:p>
        </w:tc>
        <w:tc>
          <w:tcPr>
            <w:tcW w:w="0" w:type="dxa"/>
            <w:vAlign w:val="bottom"/>
          </w:tcPr>
          <w:p>
            <w:pPr>
              <w:spacing w:after="0"/>
              <w:rPr>
                <w:sz w:val="1"/>
                <w:szCs w:val="1"/>
                <w:color w:val="auto"/>
              </w:rPr>
            </w:pPr>
          </w:p>
        </w:tc>
      </w:tr>
      <w:tr>
        <w:trPr>
          <w:trHeight w:val="297"/>
        </w:trPr>
        <w:tc>
          <w:tcPr>
            <w:tcW w:w="50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(92 days)</w:t>
            </w:r>
          </w:p>
        </w:tc>
        <w:tc>
          <w:tcPr>
            <w:tcW w:w="300" w:type="dxa"/>
            <w:vAlign w:val="bottom"/>
          </w:tcPr>
          <w:p>
            <w:pPr>
              <w:spacing w:after="0"/>
              <w:rPr>
                <w:sz w:val="24"/>
                <w:szCs w:val="2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(84 days)</w:t>
            </w:r>
          </w:p>
        </w:tc>
        <w:tc>
          <w:tcPr>
            <w:tcW w:w="28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(274 days)</w:t>
            </w:r>
          </w:p>
        </w:tc>
        <w:tc>
          <w:tcPr>
            <w:tcW w:w="280" w:type="dxa"/>
            <w:vAlign w:val="bottom"/>
          </w:tcPr>
          <w:p>
            <w:pPr>
              <w:spacing w:after="0"/>
              <w:rPr>
                <w:sz w:val="24"/>
                <w:szCs w:val="24"/>
                <w:color w:val="auto"/>
              </w:rPr>
            </w:pPr>
          </w:p>
        </w:tc>
        <w:tc>
          <w:tcPr>
            <w:tcW w:w="1200" w:type="dxa"/>
            <w:vAlign w:val="bottom"/>
          </w:tcPr>
          <w:p>
            <w:pPr>
              <w:jc w:val="right"/>
              <w:ind w:right="334"/>
              <w:spacing w:after="0"/>
              <w:rPr>
                <w:sz w:val="20"/>
                <w:szCs w:val="20"/>
                <w:color w:val="auto"/>
              </w:rPr>
            </w:pPr>
            <w:r>
              <w:rPr>
                <w:rFonts w:ascii="Arial" w:cs="Arial" w:eastAsia="Arial" w:hAnsi="Arial"/>
                <w:sz w:val="14"/>
                <w:szCs w:val="14"/>
                <w:b w:val="1"/>
                <w:bCs w:val="1"/>
                <w:color w:val="auto"/>
              </w:rPr>
              <w:t>(252 days)</w:t>
            </w:r>
          </w:p>
        </w:tc>
        <w:tc>
          <w:tcPr>
            <w:tcW w:w="0" w:type="dxa"/>
            <w:vAlign w:val="bottom"/>
          </w:tcPr>
          <w:p>
            <w:pPr>
              <w:spacing w:after="0"/>
              <w:rPr>
                <w:sz w:val="1"/>
                <w:szCs w:val="1"/>
                <w:color w:val="auto"/>
              </w:rPr>
            </w:pPr>
          </w:p>
        </w:tc>
      </w:tr>
      <w:tr>
        <w:trPr>
          <w:trHeight w:val="215"/>
        </w:trPr>
        <w:tc>
          <w:tcPr>
            <w:tcW w:w="5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Interest income associated with vacation ownership notes receivable</w:t>
            </w: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securitized</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26,538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22,908</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72,832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65,300</w:t>
            </w:r>
          </w:p>
        </w:tc>
        <w:tc>
          <w:tcPr>
            <w:tcW w:w="0" w:type="dxa"/>
            <w:vAlign w:val="bottom"/>
          </w:tcPr>
          <w:p>
            <w:pPr>
              <w:spacing w:after="0"/>
              <w:rPr>
                <w:sz w:val="1"/>
                <w:szCs w:val="1"/>
                <w:color w:val="auto"/>
              </w:rPr>
            </w:pPr>
          </w:p>
        </w:tc>
      </w:tr>
      <w:tr>
        <w:trPr>
          <w:trHeight w:val="229"/>
        </w:trPr>
        <w:tc>
          <w:tcPr>
            <w:tcW w:w="5040" w:type="dxa"/>
            <w:vAlign w:val="bottom"/>
          </w:tcPr>
          <w:p>
            <w:pPr>
              <w:ind w:left="40"/>
              <w:spacing w:after="0"/>
              <w:rPr>
                <w:sz w:val="20"/>
                <w:szCs w:val="20"/>
                <w:color w:val="auto"/>
              </w:rPr>
            </w:pPr>
            <w:r>
              <w:rPr>
                <w:rFonts w:ascii="Arial" w:cs="Arial" w:eastAsia="Arial" w:hAnsi="Arial"/>
                <w:sz w:val="18"/>
                <w:szCs w:val="18"/>
                <w:color w:val="auto"/>
                <w:w w:val="91"/>
              </w:rPr>
              <w:t>Interest income associated with vacation ownership notes receivable</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 non-securitized</w:t>
            </w:r>
          </w:p>
        </w:tc>
        <w:tc>
          <w:tcPr>
            <w:tcW w:w="280" w:type="dxa"/>
            <w:vAlign w:val="bottom"/>
          </w:tcPr>
          <w:p>
            <w:pPr>
              <w:spacing w:after="0"/>
              <w:rPr>
                <w:sz w:val="20"/>
                <w:szCs w:val="20"/>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6,407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4,795</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ind w:left="600"/>
              <w:spacing w:after="0"/>
              <w:rPr>
                <w:sz w:val="20"/>
                <w:szCs w:val="20"/>
                <w:color w:val="auto"/>
              </w:rPr>
            </w:pPr>
            <w:r>
              <w:rPr>
                <w:rFonts w:ascii="Arial" w:cs="Arial" w:eastAsia="Arial" w:hAnsi="Arial"/>
                <w:sz w:val="18"/>
                <w:szCs w:val="18"/>
                <w:color w:val="auto"/>
              </w:rPr>
              <w:t>21,272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17,430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Total interest income associated with vacation ownership notes</w:t>
            </w:r>
          </w:p>
        </w:tc>
        <w:tc>
          <w:tcPr>
            <w:tcW w:w="28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32,945</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27,703</w:t>
            </w:r>
          </w:p>
        </w:tc>
        <w:tc>
          <w:tcPr>
            <w:tcW w:w="2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94,104</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82,730</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record an estimate of expected uncollectibility on all notes receivable from vacation ownership purchasers as a reduction of revenues from the sale of vacation ownership products at the time we recognize profit on a vacation ownership product sale. We fully reserve for all defaulted vacation ownership notes receivable in addition to recording a reserve on the estimated uncollectible portion of the remaining vacation ownership notes receivable. For those vacation ownership notes receivable that are not in default, we assess collectibility based on pools of vacation ownership notes receivable because we hold large numbers of homogeneous vacation ownership notes receivable. We use the same criteria to estimate uncollectibility for non-securitized vacation ownership notes receivable and securitized vacation ownership notes receivable because they perform similarly. We estimate uncollectibility for each pool based on historical activity for similar vacation ownership notes receivable.</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our vacation ownership notes receivable reserve for the 2017 first three quarters: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Non-Securitized</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Securitized</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Vacation Ownership</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Vacation Ownership</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Notes Receivable</w:t>
            </w:r>
          </w:p>
        </w:tc>
        <w:tc>
          <w:tcPr>
            <w:tcW w:w="20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Notes Receivable</w:t>
            </w:r>
          </w:p>
        </w:tc>
        <w:tc>
          <w:tcPr>
            <w:tcW w:w="460" w:type="dxa"/>
            <w:vAlign w:val="bottom"/>
          </w:tcPr>
          <w:p>
            <w:pPr>
              <w:spacing w:after="0"/>
              <w:rPr>
                <w:sz w:val="20"/>
                <w:szCs w:val="20"/>
                <w:color w:val="auto"/>
              </w:rPr>
            </w:pPr>
          </w:p>
        </w:tc>
        <w:tc>
          <w:tcPr>
            <w:tcW w:w="1480" w:type="dxa"/>
            <w:vAlign w:val="bottom"/>
          </w:tcPr>
          <w:p>
            <w:pPr>
              <w:jc w:val="right"/>
              <w:ind w:right="6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30, 2016</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56,628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53,735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110,363</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20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31,711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7,206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38,917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Securitizations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29,071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5380" w:type="dxa"/>
            <w:vAlign w:val="bottom"/>
          </w:tcPr>
          <w:p>
            <w:pPr>
              <w:ind w:left="40"/>
              <w:spacing w:after="0"/>
              <w:rPr>
                <w:sz w:val="20"/>
                <w:szCs w:val="20"/>
                <w:color w:val="auto"/>
              </w:rPr>
            </w:pPr>
            <w:r>
              <w:rPr>
                <w:rFonts w:ascii="Arial" w:cs="Arial" w:eastAsia="Arial" w:hAnsi="Arial"/>
                <w:sz w:val="18"/>
                <w:szCs w:val="18"/>
                <w:color w:val="auto"/>
              </w:rPr>
              <w:t>Clean-up of Warehouse Credit Facility</w:t>
            </w:r>
            <w:r>
              <w:rPr>
                <w:rFonts w:ascii="Arial" w:cs="Arial" w:eastAsia="Arial" w:hAnsi="Arial"/>
                <w:sz w:val="18"/>
                <w:szCs w:val="18"/>
                <w:color w:val="auto"/>
                <w:vertAlign w:val="superscript"/>
              </w:rPr>
              <w:t>(1)</w:t>
            </w:r>
          </w:p>
        </w:tc>
        <w:tc>
          <w:tcPr>
            <w:tcW w:w="200" w:type="dxa"/>
            <w:vAlign w:val="bottom"/>
          </w:tcPr>
          <w:p>
            <w:pPr>
              <w:spacing w:after="0"/>
              <w:rPr>
                <w:sz w:val="22"/>
                <w:szCs w:val="22"/>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3,995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(3,995)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w:t>
            </w:r>
          </w:p>
        </w:tc>
        <w:tc>
          <w:tcPr>
            <w:tcW w:w="2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(35,264)</w:t>
            </w: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8"/>
              </w:rPr>
              <w:t>Defaulted vacation ownership notes receivable repurchase activity</w:t>
            </w:r>
            <w:r>
              <w:rPr>
                <w:rFonts w:ascii="Arial" w:cs="Arial" w:eastAsia="Arial" w:hAnsi="Arial"/>
                <w:sz w:val="18"/>
                <w:szCs w:val="18"/>
                <w:color w:val="auto"/>
                <w:w w:val="98"/>
                <w:vertAlign w:val="superscript"/>
              </w:rPr>
              <w:t>(2)</w:t>
            </w:r>
          </w:p>
        </w:tc>
        <w:tc>
          <w:tcPr>
            <w:tcW w:w="2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22,356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(22,356)</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50,355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63,661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114,016</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260" w:hanging="652"/>
        <w:spacing w:after="0" w:line="21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Refers to our voluntary repurchase of previously securitized non-defaulted vacation ownership notes receivable from our non-recourse warehouse credit facility (the “Warehouse Credit Facility”).</w:t>
      </w:r>
    </w:p>
    <w:p>
      <w:pPr>
        <w:spacing w:after="0" w:line="41" w:lineRule="exact"/>
        <w:rPr>
          <w:rFonts w:ascii="Arial" w:cs="Arial" w:eastAsia="Arial" w:hAnsi="Arial"/>
          <w:sz w:val="25"/>
          <w:szCs w:val="25"/>
          <w:color w:val="auto"/>
          <w:vertAlign w:val="superscript"/>
        </w:rPr>
      </w:pPr>
    </w:p>
    <w:p>
      <w:pPr>
        <w:ind w:left="660" w:right="40" w:hanging="652"/>
        <w:spacing w:after="0" w:line="252" w:lineRule="auto"/>
        <w:tabs>
          <w:tab w:leader="none" w:pos="66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Decrease in securitized vacation ownership notes receivable reserve and increase in non-securitized vacation ownership notes receivable reserve was attributable to the transfer of the reserve when we voluntarily repurchased defaulted securitized vacation ownership notes receivable.</w:t>
      </w:r>
    </w:p>
    <w:p>
      <w:pPr>
        <w:spacing w:after="0" w:line="18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Although we consider loans to owners to be past due if we do not receive payment within 30 days of the due date, we suspend accrual of interest only on those loans that are over 90 days past due. We consider loans over 150 days past due to be in default.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uncollectible vacation ownership notes receivable against the reserve once we receive title to the vacation ownership products through the foreclosure or deed-in-lieu process or, in Asia Pacific or Europe, when revocation is complete. For both non-securitized and securitized vacation ownership notes receivable, we estimated average remaining default rates of 7.18 percent and 7.09 percent as of September 30, 2017 and December 30, 2016, respectively. A 0.5 percentage point increase in the estimated default rate would have resulted in an increase in our allowance for loan losses of $5.6 million and $5.0 million as of September 30, 2017 and December 30, 2016,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table shows our recorded investment in non-accrual vacation ownership notes receivable, which are vacation ownership notes receivable that are 90 days or more past due:</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4060" w:type="dxa"/>
            <w:vAlign w:val="bottom"/>
          </w:tcPr>
          <w:p>
            <w:pPr>
              <w:jc w:val="center"/>
              <w:ind w:left="1939"/>
              <w:spacing w:after="0"/>
              <w:rPr>
                <w:sz w:val="20"/>
                <w:szCs w:val="20"/>
                <w:color w:val="auto"/>
              </w:rPr>
            </w:pPr>
            <w:r>
              <w:rPr>
                <w:rFonts w:ascii="Arial" w:cs="Arial" w:eastAsia="Arial" w:hAnsi="Arial"/>
                <w:sz w:val="16"/>
                <w:szCs w:val="16"/>
                <w:b w:val="1"/>
                <w:bCs w:val="1"/>
                <w:color w:val="auto"/>
                <w:w w:val="91"/>
              </w:rPr>
              <w:t>Non-Securitized</w:t>
            </w:r>
          </w:p>
        </w:tc>
        <w:tc>
          <w:tcPr>
            <w:tcW w:w="2320" w:type="dxa"/>
            <w:vAlign w:val="bottom"/>
          </w:tcPr>
          <w:p>
            <w:pPr>
              <w:jc w:val="center"/>
              <w:ind w:right="179"/>
              <w:spacing w:after="0"/>
              <w:rPr>
                <w:sz w:val="20"/>
                <w:szCs w:val="20"/>
                <w:color w:val="auto"/>
              </w:rPr>
            </w:pPr>
            <w:r>
              <w:rPr>
                <w:rFonts w:ascii="Arial" w:cs="Arial" w:eastAsia="Arial" w:hAnsi="Arial"/>
                <w:sz w:val="16"/>
                <w:szCs w:val="16"/>
                <w:b w:val="1"/>
                <w:bCs w:val="1"/>
                <w:color w:val="auto"/>
                <w:w w:val="91"/>
              </w:rPr>
              <w:t>Securitized</w:t>
            </w:r>
          </w:p>
        </w:tc>
        <w:tc>
          <w:tcPr>
            <w:tcW w:w="94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4060" w:type="dxa"/>
            <w:vAlign w:val="bottom"/>
          </w:tcPr>
          <w:p>
            <w:pPr>
              <w:jc w:val="center"/>
              <w:ind w:left="1939"/>
              <w:spacing w:after="0"/>
              <w:rPr>
                <w:sz w:val="20"/>
                <w:szCs w:val="20"/>
                <w:color w:val="auto"/>
              </w:rPr>
            </w:pPr>
            <w:r>
              <w:rPr>
                <w:rFonts w:ascii="Arial" w:cs="Arial" w:eastAsia="Arial" w:hAnsi="Arial"/>
                <w:sz w:val="16"/>
                <w:szCs w:val="16"/>
                <w:b w:val="1"/>
                <w:bCs w:val="1"/>
                <w:color w:val="auto"/>
                <w:w w:val="90"/>
              </w:rPr>
              <w:t>Vacation Ownership</w:t>
            </w:r>
          </w:p>
        </w:tc>
        <w:tc>
          <w:tcPr>
            <w:tcW w:w="232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Vacation Ownership</w:t>
            </w:r>
          </w:p>
        </w:tc>
        <w:tc>
          <w:tcPr>
            <w:tcW w:w="940" w:type="dxa"/>
            <w:vAlign w:val="bottom"/>
          </w:tcPr>
          <w:p>
            <w:pPr>
              <w:spacing w:after="0"/>
              <w:rPr>
                <w:sz w:val="17"/>
                <w:szCs w:val="17"/>
                <w:color w:val="auto"/>
              </w:rPr>
            </w:pPr>
          </w:p>
        </w:tc>
      </w:tr>
      <w:tr>
        <w:trPr>
          <w:trHeight w:val="231"/>
        </w:trPr>
        <w:tc>
          <w:tcPr>
            <w:tcW w:w="328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4060" w:type="dxa"/>
            <w:vAlign w:val="bottom"/>
          </w:tcPr>
          <w:p>
            <w:pPr>
              <w:jc w:val="center"/>
              <w:ind w:left="1939"/>
              <w:spacing w:after="0"/>
              <w:rPr>
                <w:sz w:val="20"/>
                <w:szCs w:val="20"/>
                <w:color w:val="auto"/>
              </w:rPr>
            </w:pPr>
            <w:r>
              <w:rPr>
                <w:rFonts w:ascii="Arial" w:cs="Arial" w:eastAsia="Arial" w:hAnsi="Arial"/>
                <w:sz w:val="16"/>
                <w:szCs w:val="16"/>
                <w:b w:val="1"/>
                <w:bCs w:val="1"/>
                <w:color w:val="auto"/>
                <w:w w:val="87"/>
              </w:rPr>
              <w:t>Notes Receivable</w:t>
            </w:r>
          </w:p>
        </w:tc>
        <w:tc>
          <w:tcPr>
            <w:tcW w:w="2320" w:type="dxa"/>
            <w:vAlign w:val="bottom"/>
          </w:tcPr>
          <w:p>
            <w:pPr>
              <w:jc w:val="center"/>
              <w:ind w:right="179"/>
              <w:spacing w:after="0"/>
              <w:rPr>
                <w:sz w:val="20"/>
                <w:szCs w:val="20"/>
                <w:color w:val="auto"/>
              </w:rPr>
            </w:pPr>
            <w:r>
              <w:rPr>
                <w:rFonts w:ascii="Arial" w:cs="Arial" w:eastAsia="Arial" w:hAnsi="Arial"/>
                <w:sz w:val="16"/>
                <w:szCs w:val="16"/>
                <w:b w:val="1"/>
                <w:bCs w:val="1"/>
                <w:color w:val="auto"/>
                <w:w w:val="89"/>
              </w:rPr>
              <w:t>Notes Receivable</w:t>
            </w:r>
          </w:p>
        </w:tc>
        <w:tc>
          <w:tcPr>
            <w:tcW w:w="940" w:type="dxa"/>
            <w:vAlign w:val="bottom"/>
          </w:tcPr>
          <w:p>
            <w:pPr>
              <w:ind w:left="580"/>
              <w:spacing w:after="0"/>
              <w:rPr>
                <w:sz w:val="20"/>
                <w:szCs w:val="20"/>
                <w:color w:val="auto"/>
              </w:rPr>
            </w:pPr>
            <w:r>
              <w:rPr>
                <w:rFonts w:ascii="Arial" w:cs="Arial" w:eastAsia="Arial" w:hAnsi="Arial"/>
                <w:sz w:val="16"/>
                <w:szCs w:val="16"/>
                <w:b w:val="1"/>
                <w:bCs w:val="1"/>
                <w:color w:val="auto"/>
                <w:w w:val="88"/>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Investment in vacation ownership notes receivable on non-accrual status</w:t>
      </w:r>
    </w:p>
    <w:p>
      <w:pPr>
        <w:spacing w:after="0" w:line="46"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at September 30, 2017</w:t>
      </w:r>
      <w:r>
        <w:rPr>
          <w:sz w:val="20"/>
          <w:szCs w:val="20"/>
          <w:color w:val="auto"/>
        </w:rPr>
        <w:tab/>
      </w:r>
      <w:r>
        <w:rPr>
          <w:rFonts w:ascii="Arial" w:cs="Arial" w:eastAsia="Arial" w:hAnsi="Arial"/>
          <w:sz w:val="14"/>
          <w:szCs w:val="14"/>
          <w:color w:val="auto"/>
        </w:rPr>
        <w:t>$</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Investment in vacation ownership notes receivable on non-accrual status</w:t>
      </w:r>
    </w:p>
    <w:p>
      <w:pPr>
        <w:spacing w:after="0" w:line="46"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at December 30, 2016</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Average investment in vacation ownership notes receivable on non-</w:t>
      </w:r>
    </w:p>
    <w:p>
      <w:pPr>
        <w:spacing w:after="0" w:line="23"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accrual status during the 2017 third quarter</w:t>
      </w:r>
      <w:r>
        <w:rPr>
          <w:sz w:val="20"/>
          <w:szCs w:val="20"/>
          <w:color w:val="auto"/>
        </w:rPr>
        <w:tab/>
      </w:r>
      <w:r>
        <w:rPr>
          <w:rFonts w:ascii="Arial" w:cs="Arial" w:eastAsia="Arial" w:hAnsi="Arial"/>
          <w:sz w:val="14"/>
          <w:szCs w:val="14"/>
          <w:color w:val="auto"/>
        </w:rPr>
        <w:t>$</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Average investment in vacation ownership notes receivable on non-</w:t>
      </w:r>
    </w:p>
    <w:p>
      <w:pPr>
        <w:spacing w:after="0" w:line="23"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accrual status during the 2016 third quarter</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Average investment in vacation ownership notes receivable on non-</w:t>
      </w:r>
    </w:p>
    <w:p>
      <w:pPr>
        <w:spacing w:after="0" w:line="23"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accrual status during the 2017 first three quarters</w:t>
      </w:r>
      <w:r>
        <w:rPr>
          <w:sz w:val="20"/>
          <w:szCs w:val="20"/>
          <w:color w:val="auto"/>
        </w:rPr>
        <w:tab/>
      </w:r>
      <w:r>
        <w:rPr>
          <w:rFonts w:ascii="Arial" w:cs="Arial" w:eastAsia="Arial" w:hAnsi="Arial"/>
          <w:sz w:val="14"/>
          <w:szCs w:val="14"/>
          <w:color w:val="auto"/>
        </w:rPr>
        <w:t>$</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Average investment in vacation ownership notes receivable on non-</w:t>
      </w:r>
    </w:p>
    <w:p>
      <w:pPr>
        <w:spacing w:after="0" w:line="23"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accrual status during the 2016 first three quarters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40,368</w:t>
            </w:r>
          </w:p>
        </w:tc>
        <w:tc>
          <w:tcPr>
            <w:tcW w:w="8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5,618</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45,986</w:t>
            </w:r>
          </w:p>
        </w:tc>
      </w:tr>
      <w:tr>
        <w:trPr>
          <w:trHeight w:val="486"/>
        </w:trPr>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43,792</w:t>
            </w:r>
          </w:p>
        </w:tc>
        <w:tc>
          <w:tcPr>
            <w:tcW w:w="8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6,687</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50,479</w:t>
            </w:r>
          </w:p>
        </w:tc>
      </w:tr>
      <w:tr>
        <w:trPr>
          <w:trHeight w:val="486"/>
        </w:trPr>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39,423</w:t>
            </w:r>
          </w:p>
        </w:tc>
        <w:tc>
          <w:tcPr>
            <w:tcW w:w="8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6,304</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45,727</w:t>
            </w:r>
          </w:p>
        </w:tc>
      </w:tr>
      <w:tr>
        <w:trPr>
          <w:trHeight w:val="486"/>
        </w:trPr>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47,038</w:t>
            </w:r>
          </w:p>
        </w:tc>
        <w:tc>
          <w:tcPr>
            <w:tcW w:w="8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8,278</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55,316</w:t>
            </w:r>
          </w:p>
        </w:tc>
      </w:tr>
      <w:tr>
        <w:trPr>
          <w:trHeight w:val="486"/>
        </w:trPr>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42,080</w:t>
            </w:r>
          </w:p>
        </w:tc>
        <w:tc>
          <w:tcPr>
            <w:tcW w:w="8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6,153</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48,233</w:t>
            </w:r>
          </w:p>
        </w:tc>
      </w:tr>
      <w:tr>
        <w:trPr>
          <w:trHeight w:val="486"/>
        </w:trPr>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45,926</w:t>
            </w:r>
          </w:p>
        </w:tc>
        <w:tc>
          <w:tcPr>
            <w:tcW w:w="8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7,296</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53,222</w:t>
            </w:r>
          </w:p>
        </w:tc>
      </w:tr>
    </w:tbl>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type w:val="continuous"/>
        </w:sectPr>
      </w:pPr>
    </w:p>
    <w:p>
      <w:pPr>
        <w:spacing w:after="0" w:line="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the aging of the recorded investment in principal, before reserves, in vacation ownership notes receivable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Non-Securitized</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Securitized</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Vacation Ownership</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Vacation Ownership</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Notes Receivable</w:t>
            </w:r>
          </w:p>
        </w:tc>
        <w:tc>
          <w:tcPr>
            <w:tcW w:w="20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Notes Receivable</w:t>
            </w:r>
          </w:p>
        </w:tc>
        <w:tc>
          <w:tcPr>
            <w:tcW w:w="460" w:type="dxa"/>
            <w:vAlign w:val="bottom"/>
          </w:tcPr>
          <w:p>
            <w:pPr>
              <w:spacing w:after="0"/>
              <w:rPr>
                <w:sz w:val="20"/>
                <w:szCs w:val="20"/>
                <w:color w:val="auto"/>
              </w:rPr>
            </w:pPr>
          </w:p>
        </w:tc>
        <w:tc>
          <w:tcPr>
            <w:tcW w:w="1480" w:type="dxa"/>
            <w:vAlign w:val="bottom"/>
          </w:tcPr>
          <w:p>
            <w:pPr>
              <w:jc w:val="right"/>
              <w:ind w:right="691"/>
              <w:spacing w:after="0"/>
              <w:rPr>
                <w:sz w:val="20"/>
                <w:szCs w:val="20"/>
                <w:color w:val="auto"/>
              </w:rPr>
            </w:pPr>
            <w:r>
              <w:rPr>
                <w:rFonts w:ascii="Arial" w:cs="Arial" w:eastAsia="Arial" w:hAnsi="Arial"/>
                <w:sz w:val="16"/>
                <w:szCs w:val="16"/>
                <w:b w:val="1"/>
                <w:bCs w:val="1"/>
                <w:color w:val="auto"/>
              </w:rPr>
              <w:t>Total</w:t>
            </w:r>
          </w:p>
        </w:tc>
      </w:tr>
      <w:tr>
        <w:trPr>
          <w:trHeight w:val="250"/>
        </w:trPr>
        <w:tc>
          <w:tcPr>
            <w:tcW w:w="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31</w:t>
            </w: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90 days past due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21,105</w:t>
            </w:r>
          </w:p>
        </w:tc>
      </w:tr>
      <w:tr>
        <w:trPr>
          <w:trHeight w:val="243"/>
        </w:trPr>
        <w:tc>
          <w:tcPr>
            <w:tcW w:w="240" w:type="dxa"/>
            <w:vAlign w:val="bottom"/>
          </w:tcPr>
          <w:p>
            <w:pPr>
              <w:ind w:left="40"/>
              <w:spacing w:after="0"/>
              <w:rPr>
                <w:sz w:val="20"/>
                <w:szCs w:val="20"/>
                <w:color w:val="auto"/>
              </w:rPr>
            </w:pPr>
            <w:r>
              <w:rPr>
                <w:rFonts w:ascii="Arial" w:cs="Arial" w:eastAsia="Arial" w:hAnsi="Arial"/>
                <w:sz w:val="18"/>
                <w:szCs w:val="18"/>
                <w:color w:val="auto"/>
                <w:w w:val="89"/>
              </w:rPr>
              <w:t>91</w:t>
            </w:r>
          </w:p>
        </w:tc>
        <w:tc>
          <w:tcPr>
            <w:tcW w:w="5140" w:type="dxa"/>
            <w:vAlign w:val="bottom"/>
          </w:tcPr>
          <w:p>
            <w:pPr>
              <w:ind w:left="20"/>
              <w:spacing w:after="0"/>
              <w:rPr>
                <w:sz w:val="20"/>
                <w:szCs w:val="20"/>
                <w:color w:val="auto"/>
              </w:rPr>
            </w:pPr>
            <w:r>
              <w:rPr>
                <w:rFonts w:ascii="Arial" w:cs="Arial" w:eastAsia="Arial" w:hAnsi="Arial"/>
                <w:sz w:val="18"/>
                <w:szCs w:val="18"/>
                <w:color w:val="auto"/>
              </w:rPr>
              <w:t>– 150 days past due</w:t>
            </w:r>
          </w:p>
        </w:tc>
        <w:tc>
          <w:tcPr>
            <w:tcW w:w="20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4,297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5,618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9,915</w:t>
            </w:r>
          </w:p>
        </w:tc>
      </w:tr>
      <w:tr>
        <w:trPr>
          <w:trHeight w:val="27"/>
        </w:trPr>
        <w:tc>
          <w:tcPr>
            <w:tcW w:w="5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Greater than 150 days past due</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36,071</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past due</w:t>
            </w:r>
          </w:p>
        </w:tc>
        <w:tc>
          <w:tcPr>
            <w:tcW w:w="2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46,119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20,972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67,091</w:t>
            </w:r>
          </w:p>
        </w:tc>
      </w:tr>
      <w:tr>
        <w:trPr>
          <w:trHeight w:val="27"/>
        </w:trPr>
        <w:tc>
          <w:tcPr>
            <w:tcW w:w="5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205,401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917,926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1,123,327</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vacation ownership notes receivable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251,520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938,898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1,190,418</w:t>
            </w:r>
          </w:p>
        </w:tc>
      </w:tr>
      <w:tr>
        <w:trPr>
          <w:trHeight w:val="27"/>
        </w:trPr>
        <w:tc>
          <w:tcPr>
            <w:tcW w:w="2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2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table shows the aging of the recorded investment in principal, before reserves, in vacation ownership notes receivable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30,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Non-Securitized</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Securitized</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Vacation Ownership</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Vacation Ownership</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0"/>
                <w:szCs w:val="20"/>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Notes Receivable</w:t>
            </w:r>
          </w:p>
        </w:tc>
        <w:tc>
          <w:tcPr>
            <w:tcW w:w="20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Notes Receivable</w:t>
            </w:r>
          </w:p>
        </w:tc>
        <w:tc>
          <w:tcPr>
            <w:tcW w:w="460" w:type="dxa"/>
            <w:vAlign w:val="bottom"/>
          </w:tcPr>
          <w:p>
            <w:pPr>
              <w:spacing w:after="0"/>
              <w:rPr>
                <w:sz w:val="20"/>
                <w:szCs w:val="20"/>
                <w:color w:val="auto"/>
              </w:rPr>
            </w:pPr>
          </w:p>
        </w:tc>
        <w:tc>
          <w:tcPr>
            <w:tcW w:w="1480" w:type="dxa"/>
            <w:vAlign w:val="bottom"/>
          </w:tcPr>
          <w:p>
            <w:pPr>
              <w:jc w:val="right"/>
              <w:ind w:right="691"/>
              <w:spacing w:after="0"/>
              <w:rPr>
                <w:sz w:val="20"/>
                <w:szCs w:val="20"/>
                <w:color w:val="auto"/>
              </w:rPr>
            </w:pPr>
            <w:r>
              <w:rPr>
                <w:rFonts w:ascii="Arial" w:cs="Arial" w:eastAsia="Arial" w:hAnsi="Arial"/>
                <w:sz w:val="16"/>
                <w:szCs w:val="16"/>
                <w:b w:val="1"/>
                <w:bCs w:val="1"/>
                <w:color w:val="auto"/>
              </w:rPr>
              <w:t>Total</w:t>
            </w: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 – 90 days past due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24,248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91 – 150 days past due</w:t>
            </w:r>
          </w:p>
        </w:tc>
        <w:tc>
          <w:tcPr>
            <w:tcW w:w="1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3,981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6,687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10,668</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Greater than 150 days past due</w:t>
            </w: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39,811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39,811</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Total past due</w:t>
            </w:r>
          </w:p>
        </w:tc>
        <w:tc>
          <w:tcPr>
            <w:tcW w:w="1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51,572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23,155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74,727</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259,824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748,123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1,007,947</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Total vacation ownership notes receivable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311,396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771,278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1,082,674</w:t>
            </w:r>
          </w:p>
        </w:tc>
      </w:tr>
      <w:tr>
        <w:trPr>
          <w:trHeight w:val="27"/>
        </w:trPr>
        <w:tc>
          <w:tcPr>
            <w:tcW w:w="5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440"/>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ind w:right="145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FINANCIAL INSTRUMENTS</w:t>
      </w:r>
    </w:p>
    <w:p>
      <w:pPr>
        <w:spacing w:after="0" w:line="12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Accounts payable, Advance deposits and Accrued liabilities, all of which had fair values approximating their carrying amounts due to the short maturities and liquidity of these instruments.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500"/>
              <w:spacing w:after="0"/>
              <w:rPr>
                <w:sz w:val="20"/>
                <w:szCs w:val="20"/>
                <w:color w:val="auto"/>
              </w:rPr>
            </w:pPr>
            <w:r>
              <w:rPr>
                <w:rFonts w:ascii="Arial" w:cs="Arial" w:eastAsia="Arial" w:hAnsi="Arial"/>
                <w:sz w:val="16"/>
                <w:szCs w:val="16"/>
                <w:b w:val="1"/>
                <w:bCs w:val="1"/>
                <w:color w:val="auto"/>
              </w:rPr>
              <w:t>At September 30, 2017</w:t>
            </w:r>
          </w:p>
        </w:tc>
        <w:tc>
          <w:tcPr>
            <w:tcW w:w="280" w:type="dxa"/>
            <w:vAlign w:val="bottom"/>
          </w:tcPr>
          <w:p>
            <w:pPr>
              <w:spacing w:after="0"/>
              <w:rPr>
                <w:sz w:val="18"/>
                <w:szCs w:val="18"/>
                <w:color w:val="auto"/>
              </w:rPr>
            </w:pPr>
          </w:p>
        </w:tc>
        <w:tc>
          <w:tcPr>
            <w:tcW w:w="278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At December 30, 2016</w:t>
            </w: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Carrying</w:t>
            </w:r>
          </w:p>
        </w:tc>
        <w:tc>
          <w:tcPr>
            <w:tcW w:w="3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Carrying</w:t>
            </w:r>
          </w:p>
        </w:tc>
        <w:tc>
          <w:tcPr>
            <w:tcW w:w="300" w:type="dxa"/>
            <w:vAlign w:val="bottom"/>
          </w:tcPr>
          <w:p>
            <w:pPr>
              <w:spacing w:after="0"/>
              <w:rPr>
                <w:sz w:val="18"/>
                <w:szCs w:val="18"/>
                <w:color w:val="auto"/>
              </w:rPr>
            </w:pPr>
          </w:p>
        </w:tc>
        <w:tc>
          <w:tcPr>
            <w:tcW w:w="1180" w:type="dxa"/>
            <w:vAlign w:val="bottom"/>
          </w:tcPr>
          <w:p>
            <w:pPr>
              <w:jc w:val="right"/>
              <w:ind w:right="492"/>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21"/>
                <w:szCs w:val="21"/>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300" w:type="dxa"/>
            <w:vAlign w:val="bottom"/>
          </w:tcPr>
          <w:p>
            <w:pPr>
              <w:spacing w:after="0"/>
              <w:rPr>
                <w:sz w:val="21"/>
                <w:szCs w:val="21"/>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Value</w:t>
            </w:r>
            <w:r>
              <w:rPr>
                <w:rFonts w:ascii="Arial" w:cs="Arial" w:eastAsia="Arial" w:hAnsi="Arial"/>
                <w:sz w:val="21"/>
                <w:szCs w:val="21"/>
                <w:b w:val="1"/>
                <w:bCs w:val="1"/>
                <w:color w:val="auto"/>
                <w:w w:val="86"/>
                <w:vertAlign w:val="superscript"/>
              </w:rPr>
              <w:t>(1)</w:t>
            </w:r>
          </w:p>
        </w:tc>
        <w:tc>
          <w:tcPr>
            <w:tcW w:w="280" w:type="dxa"/>
            <w:vAlign w:val="bottom"/>
          </w:tcPr>
          <w:p>
            <w:pPr>
              <w:spacing w:after="0"/>
              <w:rPr>
                <w:sz w:val="21"/>
                <w:szCs w:val="21"/>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Amount</w:t>
            </w:r>
          </w:p>
        </w:tc>
        <w:tc>
          <w:tcPr>
            <w:tcW w:w="300" w:type="dxa"/>
            <w:vAlign w:val="bottom"/>
          </w:tcPr>
          <w:p>
            <w:pPr>
              <w:spacing w:after="0"/>
              <w:rPr>
                <w:sz w:val="21"/>
                <w:szCs w:val="21"/>
                <w:color w:val="auto"/>
              </w:rPr>
            </w:pPr>
          </w:p>
        </w:tc>
        <w:tc>
          <w:tcPr>
            <w:tcW w:w="1180" w:type="dxa"/>
            <w:vAlign w:val="bottom"/>
          </w:tcPr>
          <w:p>
            <w:pPr>
              <w:jc w:val="right"/>
              <w:ind w:right="392"/>
              <w:spacing w:after="0"/>
              <w:rPr>
                <w:sz w:val="20"/>
                <w:szCs w:val="20"/>
                <w:color w:val="auto"/>
              </w:rPr>
            </w:pPr>
            <w:r>
              <w:rPr>
                <w:rFonts w:ascii="Arial" w:cs="Arial" w:eastAsia="Arial" w:hAnsi="Arial"/>
                <w:sz w:val="16"/>
                <w:szCs w:val="16"/>
                <w:b w:val="1"/>
                <w:bCs w:val="1"/>
                <w:color w:val="auto"/>
              </w:rPr>
              <w:t>Value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44"/>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 securitized</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875,237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1,028,374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717,543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834,009</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Vacation ownership notes receivable — non-securitized</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201,165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207,592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254,768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269,161</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13,153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 financial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1,089,555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1,249,119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972,311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1,103,170</w:t>
            </w:r>
          </w:p>
        </w:tc>
        <w:tc>
          <w:tcPr>
            <w:tcW w:w="0" w:type="dxa"/>
            <w:vAlign w:val="bottom"/>
          </w:tcPr>
          <w:p>
            <w:pPr>
              <w:spacing w:after="0"/>
              <w:rPr>
                <w:sz w:val="1"/>
                <w:szCs w:val="1"/>
                <w:color w:val="auto"/>
              </w:rPr>
            </w:pPr>
          </w:p>
        </w:tc>
      </w:tr>
      <w:tr>
        <w:trPr>
          <w:trHeight w:val="189"/>
        </w:trPr>
        <w:tc>
          <w:tcPr>
            <w:tcW w:w="516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rPr>
              <w:t>Non-recourse debt associated with vacation ownership notes</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receivable securitizations,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(895,405)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(902,213)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(729,188)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(725,963)</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Convertible notes,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(190,739)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(241,562)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shd w:val="clear" w:color="auto" w:fill="CCEEFF"/>
              </w:rPr>
              <w:t>Non-interest bearing note payable, net</w:t>
            </w:r>
          </w:p>
        </w:tc>
        <w:tc>
          <w:tcPr>
            <w:tcW w:w="23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(59,677)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(59,677)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Total financial liabilities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(1,145,821)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(1,203,452)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(729,188)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(725,963)</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3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0" w:type="dxa"/>
            <w:vAlign w:val="bottom"/>
            <w:vMerge w:val="continue"/>
          </w:tcPr>
          <w:p>
            <w:pPr>
              <w:spacing w:after="0"/>
              <w:rPr>
                <w:sz w:val="17"/>
                <w:szCs w:val="17"/>
                <w:color w:val="auto"/>
              </w:rPr>
            </w:pPr>
          </w:p>
        </w:tc>
        <w:tc>
          <w:tcPr>
            <w:tcW w:w="23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20" w:hanging="652"/>
        <w:spacing w:after="0" w:line="216"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Fair value of financial instruments, with the exception of other assets and convertible notes, has been determined using Level 3 inputs. Fair value of other assets and convertible notes that are financial instruments has been determined using Level 2 inputs.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Vacation Ownership Notes Receivable</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estimate the fair value of our securitized vacation ownership notes receivable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that, when applied in combination with pricing parameters, determine the fair value of the underlying vacation ownership notes receivable.</w:t>
      </w:r>
    </w:p>
    <w:p>
      <w:pPr>
        <w:spacing w:after="0" w:line="7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Due to factors that impact the general marketability of our non-securitized vacation ownership notes receivable, as well as current market conditions, we bifurcate our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81"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following table shows the bifurcation of our non-securitized vacation ownership notes receivable into those eligible and not eligible for securitization based upon the aforementioned eligibility criteria: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500"/>
              <w:spacing w:after="0"/>
              <w:rPr>
                <w:sz w:val="20"/>
                <w:szCs w:val="20"/>
                <w:color w:val="auto"/>
              </w:rPr>
            </w:pPr>
            <w:r>
              <w:rPr>
                <w:rFonts w:ascii="Arial" w:cs="Arial" w:eastAsia="Arial" w:hAnsi="Arial"/>
                <w:sz w:val="16"/>
                <w:szCs w:val="16"/>
                <w:b w:val="1"/>
                <w:bCs w:val="1"/>
                <w:color w:val="auto"/>
              </w:rPr>
              <w:t>At September 30, 2017</w:t>
            </w:r>
          </w:p>
        </w:tc>
        <w:tc>
          <w:tcPr>
            <w:tcW w:w="280" w:type="dxa"/>
            <w:vAlign w:val="bottom"/>
          </w:tcPr>
          <w:p>
            <w:pPr>
              <w:spacing w:after="0"/>
              <w:rPr>
                <w:sz w:val="18"/>
                <w:szCs w:val="18"/>
                <w:color w:val="auto"/>
              </w:rPr>
            </w:pPr>
          </w:p>
        </w:tc>
        <w:tc>
          <w:tcPr>
            <w:tcW w:w="2780" w:type="dxa"/>
            <w:vAlign w:val="bottom"/>
            <w:gridSpan w:val="4"/>
          </w:tcPr>
          <w:p>
            <w:pPr>
              <w:jc w:val="right"/>
              <w:ind w:right="674"/>
              <w:spacing w:after="0"/>
              <w:rPr>
                <w:sz w:val="20"/>
                <w:szCs w:val="20"/>
                <w:color w:val="auto"/>
              </w:rPr>
            </w:pPr>
            <w:r>
              <w:rPr>
                <w:rFonts w:ascii="Arial" w:cs="Arial" w:eastAsia="Arial" w:hAnsi="Arial"/>
                <w:sz w:val="16"/>
                <w:szCs w:val="16"/>
                <w:b w:val="1"/>
                <w:bCs w:val="1"/>
                <w:color w:val="auto"/>
              </w:rPr>
              <w:t>At December 30, 2016</w:t>
            </w: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Carrying</w:t>
            </w:r>
          </w:p>
        </w:tc>
        <w:tc>
          <w:tcPr>
            <w:tcW w:w="34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Fair</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Carrying</w:t>
            </w:r>
          </w:p>
        </w:tc>
        <w:tc>
          <w:tcPr>
            <w:tcW w:w="340" w:type="dxa"/>
            <w:vAlign w:val="bottom"/>
          </w:tcPr>
          <w:p>
            <w:pPr>
              <w:spacing w:after="0"/>
              <w:rPr>
                <w:sz w:val="18"/>
                <w:szCs w:val="18"/>
                <w:color w:val="auto"/>
              </w:rPr>
            </w:pPr>
          </w:p>
        </w:tc>
        <w:tc>
          <w:tcPr>
            <w:tcW w:w="1140" w:type="dxa"/>
            <w:vAlign w:val="bottom"/>
          </w:tcPr>
          <w:p>
            <w:pPr>
              <w:jc w:val="right"/>
              <w:ind w:right="494"/>
              <w:spacing w:after="0"/>
              <w:rPr>
                <w:sz w:val="20"/>
                <w:szCs w:val="20"/>
                <w:color w:val="auto"/>
              </w:rPr>
            </w:pPr>
            <w:r>
              <w:rPr>
                <w:rFonts w:ascii="Arial" w:cs="Arial" w:eastAsia="Arial" w:hAnsi="Arial"/>
                <w:sz w:val="16"/>
                <w:szCs w:val="16"/>
                <w:b w:val="1"/>
                <w:bCs w:val="1"/>
                <w:color w:val="auto"/>
              </w:rPr>
              <w:t>Fair</w:t>
            </w:r>
          </w:p>
        </w:tc>
      </w:tr>
      <w:tr>
        <w:trPr>
          <w:trHeight w:val="237"/>
        </w:trPr>
        <w:tc>
          <w:tcPr>
            <w:tcW w:w="51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Arial" w:cs="Arial" w:eastAsia="Arial" w:hAnsi="Arial"/>
                <w:sz w:val="16"/>
                <w:szCs w:val="16"/>
                <w:b w:val="1"/>
                <w:bCs w:val="1"/>
                <w:color w:val="auto"/>
              </w:rPr>
              <w:t>Amount</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Value</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Amount</w:t>
            </w:r>
          </w:p>
        </w:tc>
        <w:tc>
          <w:tcPr>
            <w:tcW w:w="340" w:type="dxa"/>
            <w:vAlign w:val="bottom"/>
          </w:tcPr>
          <w:p>
            <w:pPr>
              <w:spacing w:after="0"/>
              <w:rPr>
                <w:sz w:val="20"/>
                <w:szCs w:val="20"/>
                <w:color w:val="auto"/>
              </w:rPr>
            </w:pPr>
          </w:p>
        </w:tc>
        <w:tc>
          <w:tcPr>
            <w:tcW w:w="1140" w:type="dxa"/>
            <w:vAlign w:val="bottom"/>
          </w:tcPr>
          <w:p>
            <w:pPr>
              <w:jc w:val="right"/>
              <w:ind w:right="454"/>
              <w:spacing w:after="0"/>
              <w:rPr>
                <w:sz w:val="20"/>
                <w:szCs w:val="20"/>
                <w:color w:val="auto"/>
              </w:rPr>
            </w:pPr>
            <w:r>
              <w:rPr>
                <w:rFonts w:ascii="Arial" w:cs="Arial" w:eastAsia="Arial" w:hAnsi="Arial"/>
                <w:sz w:val="16"/>
                <w:szCs w:val="16"/>
                <w:b w:val="1"/>
                <w:bCs w:val="1"/>
                <w:color w:val="auto"/>
              </w:rPr>
              <w:t>Value</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Eligible for securitization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44,907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51,334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98,508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112,901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Not eligible for securitization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156,258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156,258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156,260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156,260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non-securitized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201,165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207,592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254,768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269,161</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ind w:left="18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estimate the fair value of the portion of our non-securitized vacation ownership notes receivable that we believe will ultimately be securitized in the same manner as securitized vacation ownership notes receivable. We value the remaining non-securitized vacation ownership notes receivable at their carrying value, rather than using our pricing model. We believe that the carrying value of these particular vacation ownership notes receivable approximates fair value because the stated interest rates of these loans are consistent with current market rates and the reserve for these vacation ownership notes receivable appropriately accounts for risks in default rates, prepayment rates, discount rates and loan terms.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estimate the fair value of our other assets that are financial instruments using Level 2 inputs. These assets consist of COLI policies held in a rabbi trust. The carrying value of the COLI policies is equal to their cash surrender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Debt Associated with Securitized Vacation Ownership Notes Receivable</w:t>
      </w:r>
    </w:p>
    <w:p>
      <w:pPr>
        <w:spacing w:after="0" w:line="11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We estimate the fair value of our Convertible Notes (as defined in Footnote No. 9, “Debt,”) based on quoted market prices as of the last trading day for the 2017 third quarter; however these notes have only a limited trading volume and as such this fair value estimate is not necessarily the value at which they could be retired or transferred. We concluded that this fair value measurement should be categorized within Level 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Bearing Note Payable</w:t>
      </w:r>
    </w:p>
    <w:p>
      <w:pPr>
        <w:spacing w:after="0" w:line="11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carrying value of our non-interest bearing note payable issued in connection with the acquisition of vacation ownership units located on the Big Island of Hawaii approximates fair value, because the imputed interest rate used to discount this note payable is consistent with current market rates. See Footnote No. 5, “Acquisitions and Dispositions,” and Footnote No. 9, “Debt,” for additional information on this transaction.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 AND DISPOSITIONS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Bali, Indonesia</w:t>
      </w:r>
    </w:p>
    <w:p>
      <w:pPr>
        <w:spacing w:after="0" w:line="11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During the 2017 third quarter, we acquired 51 completed vacation ownership units, as well as a sales gallery and related amenities and infrastructure, located in Bali, Indonesia for $23.8 million. The transaction was accounted for as an asset acquisition with the purchase price allocated to Inventory ($21.7 million) and Property and equipment ($2.1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Marco Island, Florida</w:t>
      </w:r>
    </w:p>
    <w:p>
      <w:pPr>
        <w:spacing w:after="0" w:line="11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During the 2017 second quarter, we acquired 36 completed vacation ownership units located at our resort in Marco Island, Florida for $33.6 million. The transaction was accounted for as an asset acquisition with all of the purchase price allocated to Property and equipment. To ensure consistency with the expected related future cash flow presentation, the cash purchase price was included as an operating activity in the Purchase of vacation ownership units for future transfer to inventory line on our Cash Flows. See Footnote No. 8, “Contingencies and Commitments,” for information on our remaining commitment related to this property.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Big Island of Hawaii</w:t>
      </w:r>
    </w:p>
    <w:p>
      <w:pPr>
        <w:spacing w:after="0" w:line="117" w:lineRule="exact"/>
        <w:rPr>
          <w:sz w:val="20"/>
          <w:szCs w:val="20"/>
          <w:color w:val="auto"/>
        </w:rPr>
      </w:pPr>
    </w:p>
    <w:p>
      <w:pPr>
        <w:ind w:left="60" w:right="60" w:firstLine="648"/>
        <w:spacing w:after="0" w:line="259" w:lineRule="auto"/>
        <w:rPr>
          <w:sz w:val="20"/>
          <w:szCs w:val="20"/>
          <w:color w:val="auto"/>
        </w:rPr>
      </w:pPr>
      <w:r>
        <w:rPr>
          <w:rFonts w:ascii="Arial" w:cs="Arial" w:eastAsia="Arial" w:hAnsi="Arial"/>
          <w:sz w:val="18"/>
          <w:szCs w:val="18"/>
          <w:color w:val="auto"/>
        </w:rPr>
        <w:t>During the 2017 second quarter, we acquired 112 completed vacation ownership units located on the Big Island of Hawaii. The transaction was accounted for as an asset acquisition with all of the purchase price allocated to Inventory. As consideration for the acquisition, we paid $27.3 million in cash, settled a $0.5 million note receivable from the seller on a non-cash basis, and issued a non-interest bearing note payable for $63.6 million. See Footnote No. 9, “Debt,” for information on the non-interest bearing note payable.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Miami Beach, Florida</w:t>
      </w:r>
    </w:p>
    <w:p>
      <w:pPr>
        <w:spacing w:after="0" w:line="117"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During the 2016 first quarter, we completed the acquisition of an operating property located in the South Beach area of Miami Beach, Florida for $23.5 million. The acquisition was treated as a business combination, accounted for using the acquisition method of accounting and included within Operating activities on our Cash Flows. As consideration for the acquisition, we paid $23.5 million in cash; the value of the acquired property was allocated to Inventory. We rebranded this property as Marriott Vacation Club Pulse, South Beach and converted it, in its entirety, into vacation ownership inventory.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Francisco, California</w:t>
      </w:r>
    </w:p>
    <w:p>
      <w:pPr>
        <w:spacing w:after="0" w:line="117"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During the 2016 second quarter, we disposed of 19 residential units located at The Ritz-Carlton Club and Residences, San Francisco (the “RCC San Francisco”) for gross cash proceeds of $19.5 million. We accounted for the sale under the full accrual method in accordance with the authoritative guidance on accounting for sales of real estate and recorded a gain of $10.5 million in the Gains and other income line on our Statements of Income for the 2016 first three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Surfers Paradise, Australia</w:t>
      </w:r>
    </w:p>
    <w:p>
      <w:pPr>
        <w:spacing w:after="0" w:line="11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During 2015, we completed the acquisition of an operating property located in Surfers Paradise, Australia. During the 2016 second quarter, we disposed of the portion of this operating property that we did not intend to convert into vacation ownership inventory for gross cash proceeds of AUD $70.5 million ($50.9 million). We accounted for the sale under the full accrual method in accordance with the authoritative guidance on accounting for sales of real estate. As part of the disposition, we guaranteed the net operating income of this portion of the operating property through 2021 up to a specified maximum of AUD $2.9 million ($2.3 million), which was recorded as a deferred gain in the Other line within liabilities on our balance sheet. We recognized a loss, inclusive of the deferred gain, of AUD $1.4 million ($1.0 million) in connection with the sale, which was recorded in the Gains and other income line on the Statement of Income for the 2016 first three quarters.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2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Basic earnings per common share is calculated by dividing net income attributable to common shareholders by the weighted average number of shares of common stock outstanding during the reporting period. Treasury stock is excluded from the weighted average number of shares of common stock outstanding. Diluted earnings per common share is calculated to give effect to all potentially dilutive common shares that were outstanding during the reporting period. The dilutive effect of outstanding equity-based compensation awards is reflected in diluted earnings per common share by application of the treasury stock method using average market prices during the period.</w:t>
      </w:r>
    </w:p>
    <w:p>
      <w:pPr>
        <w:spacing w:after="0" w:line="8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calculation of diluted earnings per share reflects our intent to settle conversions of the Convertible Notes (as defined in Footnote No. 9, “Debt”) through a combination settlement, which contemplates repayment in cash of the principal amount and repayment in shares of our common stock of any excess of the conversion value over the principal amount (the “conversion premium”). Therefore, we will include only the shares that may be issued with respect to any conversion premium in total dilutive weighted average shares outstanding, which we calculate using the treasury stock method. As no conversion premium existed as of September 30, 2017, there was no dilutive impact from the Convertible Notes for the 2017 third quarter or the 2017 first three quarters.</w:t>
      </w:r>
    </w:p>
    <w:p>
      <w:pPr>
        <w:spacing w:after="0" w:line="5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shares issuable on exercise of the Warrants (as defined in Footnote No. 9, “Debt”) sold in connection with the issuance of the Convertible Notes will not impact the total dilutive weighted average shares outstanding unless and until the price of our common stock exceeds the strike price of $176.68, as described in Footnote No. 9, “Debt.” If and when the price of our common stock exceeds the strike price of the Warrants, we will include the dilutive effect of the additional shares that may be issued upon exercise of the Warrants in total dilutive weighted average shares outstanding, which we calculate using the treasury stock method. The Convertible Note Hedges (as defined in Footnote No. 9, “Debt”) purchased in connection with the issuance of the Convertible Notes are considered to be anti-dilutive and will not impact our calculation of diluted earnings per share.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illustrates the reconciliation of the earnings and number of shares used in our calculation of basic and diluted earnings per share.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Quarter Ended</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gridSpan w:val="4"/>
          </w:tcPr>
          <w:p>
            <w:pPr>
              <w:jc w:val="right"/>
              <w:ind w:right="872"/>
              <w:spacing w:after="0"/>
              <w:rPr>
                <w:sz w:val="20"/>
                <w:szCs w:val="20"/>
                <w:color w:val="auto"/>
              </w:rPr>
            </w:pPr>
            <w:r>
              <w:rPr>
                <w:rFonts w:ascii="Arial" w:cs="Arial" w:eastAsia="Arial" w:hAnsi="Arial"/>
                <w:sz w:val="16"/>
                <w:szCs w:val="16"/>
                <w:b w:val="1"/>
                <w:bCs w:val="1"/>
                <w:color w:val="auto"/>
              </w:rPr>
              <w:t>Year to Date Ended</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4580" w:type="dxa"/>
            <w:vAlign w:val="bottom"/>
          </w:tcPr>
          <w:p>
            <w:pPr>
              <w:spacing w:after="0"/>
              <w:rPr>
                <w:sz w:val="22"/>
                <w:szCs w:val="22"/>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September 30, 2017</w:t>
            </w:r>
            <w:r>
              <w:rPr>
                <w:rFonts w:ascii="Arial" w:cs="Arial" w:eastAsia="Arial" w:hAnsi="Arial"/>
                <w:sz w:val="17"/>
                <w:szCs w:val="17"/>
                <w:b w:val="1"/>
                <w:bCs w:val="1"/>
                <w:color w:val="auto"/>
                <w:w w:val="89"/>
                <w:vertAlign w:val="superscript"/>
              </w:rPr>
              <w:t>(1)</w:t>
            </w:r>
          </w:p>
        </w:tc>
        <w:tc>
          <w:tcPr>
            <w:tcW w:w="18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September 9, 2016</w:t>
            </w:r>
            <w:r>
              <w:rPr>
                <w:rFonts w:ascii="Arial" w:cs="Arial" w:eastAsia="Arial" w:hAnsi="Arial"/>
                <w:sz w:val="17"/>
                <w:szCs w:val="17"/>
                <w:b w:val="1"/>
                <w:bCs w:val="1"/>
                <w:color w:val="auto"/>
                <w:w w:val="89"/>
                <w:vertAlign w:val="superscript"/>
              </w:rPr>
              <w:t>(2)</w:t>
            </w:r>
          </w:p>
        </w:tc>
        <w:tc>
          <w:tcPr>
            <w:tcW w:w="17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September 30, 2017</w:t>
            </w:r>
            <w:r>
              <w:rPr>
                <w:rFonts w:ascii="Arial" w:cs="Arial" w:eastAsia="Arial" w:hAnsi="Arial"/>
                <w:sz w:val="17"/>
                <w:szCs w:val="17"/>
                <w:b w:val="1"/>
                <w:bCs w:val="1"/>
                <w:color w:val="auto"/>
                <w:w w:val="89"/>
                <w:vertAlign w:val="superscript"/>
              </w:rPr>
              <w:t>(1)</w:t>
            </w:r>
          </w:p>
        </w:tc>
        <w:tc>
          <w:tcPr>
            <w:tcW w:w="160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w w:val="95"/>
              </w:rPr>
              <w:t>September 9, 2016</w:t>
            </w:r>
            <w:r>
              <w:rPr>
                <w:rFonts w:ascii="Arial" w:cs="Arial" w:eastAsia="Arial" w:hAnsi="Arial"/>
                <w:sz w:val="17"/>
                <w:szCs w:val="17"/>
                <w:b w:val="1"/>
                <w:bCs w:val="1"/>
                <w:color w:val="auto"/>
                <w:w w:val="95"/>
                <w:vertAlign w:val="superscript"/>
              </w:rPr>
              <w:t>(2)</w:t>
            </w:r>
          </w:p>
        </w:tc>
        <w:tc>
          <w:tcPr>
            <w:tcW w:w="0" w:type="dxa"/>
            <w:vAlign w:val="bottom"/>
          </w:tcPr>
          <w:p>
            <w:pPr>
              <w:spacing w:after="0"/>
              <w:rPr>
                <w:sz w:val="1"/>
                <w:szCs w:val="1"/>
                <w:color w:val="auto"/>
              </w:rPr>
            </w:pPr>
          </w:p>
        </w:tc>
      </w:tr>
      <w:tr>
        <w:trPr>
          <w:trHeight w:val="266"/>
        </w:trPr>
        <w:tc>
          <w:tcPr>
            <w:tcW w:w="45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340" w:type="dxa"/>
            <w:vAlign w:val="bottom"/>
          </w:tcPr>
          <w:p>
            <w:pPr>
              <w:spacing w:after="0"/>
              <w:rPr>
                <w:sz w:val="23"/>
                <w:szCs w:val="23"/>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(92 days)</w:t>
            </w:r>
          </w:p>
        </w:tc>
        <w:tc>
          <w:tcPr>
            <w:tcW w:w="500" w:type="dxa"/>
            <w:vAlign w:val="bottom"/>
          </w:tcPr>
          <w:p>
            <w:pPr>
              <w:spacing w:after="0"/>
              <w:rPr>
                <w:sz w:val="23"/>
                <w:szCs w:val="23"/>
                <w:color w:val="auto"/>
              </w:rPr>
            </w:pPr>
          </w:p>
        </w:tc>
        <w:tc>
          <w:tcPr>
            <w:tcW w:w="13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8"/>
              </w:rPr>
              <w:t>(84 days)</w:t>
            </w:r>
          </w:p>
        </w:tc>
        <w:tc>
          <w:tcPr>
            <w:tcW w:w="300" w:type="dxa"/>
            <w:vAlign w:val="bottom"/>
          </w:tcPr>
          <w:p>
            <w:pPr>
              <w:spacing w:after="0"/>
              <w:rPr>
                <w:sz w:val="23"/>
                <w:szCs w:val="23"/>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(274 days)</w:t>
            </w:r>
          </w:p>
        </w:tc>
        <w:tc>
          <w:tcPr>
            <w:tcW w:w="300" w:type="dxa"/>
            <w:vAlign w:val="bottom"/>
          </w:tcPr>
          <w:p>
            <w:pPr>
              <w:spacing w:after="0"/>
              <w:rPr>
                <w:sz w:val="23"/>
                <w:szCs w:val="23"/>
                <w:color w:val="auto"/>
              </w:rPr>
            </w:pPr>
          </w:p>
        </w:tc>
        <w:tc>
          <w:tcPr>
            <w:tcW w:w="1300" w:type="dxa"/>
            <w:vAlign w:val="bottom"/>
          </w:tcPr>
          <w:p>
            <w:pPr>
              <w:jc w:val="right"/>
              <w:ind w:right="392"/>
              <w:spacing w:after="0"/>
              <w:rPr>
                <w:sz w:val="20"/>
                <w:szCs w:val="20"/>
                <w:color w:val="auto"/>
              </w:rPr>
            </w:pPr>
            <w:r>
              <w:rPr>
                <w:rFonts w:ascii="Arial" w:cs="Arial" w:eastAsia="Arial" w:hAnsi="Arial"/>
                <w:sz w:val="14"/>
                <w:szCs w:val="14"/>
                <w:b w:val="1"/>
                <w:bCs w:val="1"/>
                <w:color w:val="auto"/>
              </w:rPr>
              <w:t>(252 days)</w:t>
            </w:r>
          </w:p>
        </w:tc>
        <w:tc>
          <w:tcPr>
            <w:tcW w:w="0" w:type="dxa"/>
            <w:vAlign w:val="bottom"/>
          </w:tcPr>
          <w:p>
            <w:pPr>
              <w:spacing w:after="0"/>
              <w:rPr>
                <w:sz w:val="1"/>
                <w:szCs w:val="1"/>
                <w:color w:val="auto"/>
              </w:rPr>
            </w:pP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Computation of Basic Earnings Per Share</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40,762</w:t>
            </w:r>
          </w:p>
        </w:tc>
        <w:tc>
          <w:tcPr>
            <w:tcW w:w="120" w:type="dxa"/>
            <w:vAlign w:val="bottom"/>
          </w:tcPr>
          <w:p>
            <w:pPr>
              <w:spacing w:after="0"/>
              <w:rPr>
                <w:sz w:val="21"/>
                <w:szCs w:val="21"/>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26,807</w:t>
            </w:r>
          </w:p>
        </w:tc>
        <w:tc>
          <w:tcPr>
            <w:tcW w:w="22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118,738</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87,524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for basic earnings per share</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27,090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27,152</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28,207</w:t>
            </w:r>
          </w:p>
        </w:tc>
        <w:tc>
          <w:tcPr>
            <w:tcW w:w="0" w:type="dxa"/>
            <w:vAlign w:val="bottom"/>
          </w:tcPr>
          <w:p>
            <w:pPr>
              <w:spacing w:after="0"/>
              <w:rPr>
                <w:sz w:val="1"/>
                <w:szCs w:val="1"/>
                <w:color w:val="auto"/>
              </w:rPr>
            </w:pPr>
          </w:p>
        </w:tc>
      </w:tr>
      <w:tr>
        <w:trPr>
          <w:trHeight w:val="297"/>
        </w:trPr>
        <w:tc>
          <w:tcPr>
            <w:tcW w:w="4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 earnings per share</w:t>
            </w: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0.99</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Computation of Diluted Earnings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40,762</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26,807</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118,738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87,524</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for basic earnings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27,090</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27,152</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27,219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28,207</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Effect of dilutive shares outstanding</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Employee stock options and SARs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43"/>
        </w:trPr>
        <w:tc>
          <w:tcPr>
            <w:tcW w:w="4580" w:type="dxa"/>
            <w:vAlign w:val="bottom"/>
          </w:tcPr>
          <w:p>
            <w:pPr>
              <w:ind w:left="500"/>
              <w:spacing w:after="0"/>
              <w:rPr>
                <w:sz w:val="20"/>
                <w:szCs w:val="20"/>
                <w:color w:val="auto"/>
              </w:rPr>
            </w:pPr>
            <w:r>
              <w:rPr>
                <w:rFonts w:ascii="Arial" w:cs="Arial" w:eastAsia="Arial" w:hAnsi="Arial"/>
                <w:sz w:val="18"/>
                <w:szCs w:val="18"/>
                <w:color w:val="auto"/>
              </w:rPr>
              <w:t>Restricted stock units</w:t>
            </w:r>
          </w:p>
        </w:tc>
        <w:tc>
          <w:tcPr>
            <w:tcW w:w="34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for diluted earnings per share</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27,713</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27,680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28,718</w:t>
            </w:r>
          </w:p>
        </w:tc>
        <w:tc>
          <w:tcPr>
            <w:tcW w:w="0" w:type="dxa"/>
            <w:vAlign w:val="bottom"/>
          </w:tcPr>
          <w:p>
            <w:pPr>
              <w:spacing w:after="0"/>
              <w:rPr>
                <w:sz w:val="1"/>
                <w:szCs w:val="1"/>
                <w:color w:val="auto"/>
              </w:rPr>
            </w:pPr>
          </w:p>
        </w:tc>
      </w:tr>
      <w:tr>
        <w:trPr>
          <w:trHeight w:val="257"/>
        </w:trPr>
        <w:tc>
          <w:tcPr>
            <w:tcW w:w="4580" w:type="dxa"/>
            <w:vAlign w:val="bottom"/>
          </w:tcPr>
          <w:p>
            <w:pPr>
              <w:ind w:left="280"/>
              <w:spacing w:after="0"/>
              <w:rPr>
                <w:sz w:val="20"/>
                <w:szCs w:val="20"/>
                <w:color w:val="auto"/>
              </w:rPr>
            </w:pPr>
            <w:r>
              <w:rPr>
                <w:rFonts w:ascii="Arial" w:cs="Arial" w:eastAsia="Arial" w:hAnsi="Arial"/>
                <w:sz w:val="18"/>
                <w:szCs w:val="18"/>
                <w:color w:val="auto"/>
              </w:rPr>
              <w:t>Diluted earnings per share</w:t>
            </w: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0.97</w:t>
            </w:r>
          </w:p>
        </w:tc>
        <w:tc>
          <w:tcPr>
            <w:tcW w:w="2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660" w:right="80" w:hanging="652"/>
        <w:spacing w:after="0" w:line="226"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computations of diluted earnings per share exclude approximately 289,000 shares of common stock, the maximum number of shares issuable as of September 30, 2017 upon the vesting of certain performance-based awards, because the performance conditions required to be met for the shares subject to such awards to vest were not achieved by the end of the reporting period.</w:t>
      </w:r>
    </w:p>
    <w:p>
      <w:pPr>
        <w:spacing w:after="0" w:line="41" w:lineRule="exact"/>
        <w:rPr>
          <w:rFonts w:ascii="Arial" w:cs="Arial" w:eastAsia="Arial" w:hAnsi="Arial"/>
          <w:sz w:val="25"/>
          <w:szCs w:val="25"/>
          <w:color w:val="auto"/>
          <w:vertAlign w:val="superscript"/>
        </w:rPr>
      </w:pPr>
    </w:p>
    <w:p>
      <w:pPr>
        <w:ind w:left="660" w:right="80" w:hanging="652"/>
        <w:spacing w:after="0" w:line="226"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computations of diluted earnings per share exclude approximately 254,000 shares of common stock, the maximum number of shares issuable as of September 9, 2016 upon the vesting of certain performance-based awards, because the performance conditions required to be met for the shares subject to such awards to vest were not achieved by the end of the reporting period.</w:t>
      </w:r>
    </w:p>
    <w:p>
      <w:pPr>
        <w:spacing w:after="0" w:line="96"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In accordance with the applicable accounting guidance for calculating earnings per share, for the 2017 third quarter and the 2017 first three quarters, our calculation of diluted earnings per share included shares underlying stock appreciation rights (“SARs”) that may be settled in shares of common stock, because the exercise prices of such SARs were less than or equal to the average market prices for the applicable period.</w:t>
      </w:r>
    </w:p>
    <w:p>
      <w:pPr>
        <w:spacing w:after="0" w:line="5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For the 2016 third quarter and the 2016 first three quarters, we excluded from our calculation of diluted earnings per share 62,018 shares underlying SARs that may be settled in shares of common stock because the exercise price of $77.42 of such SARs was greater than the average market price for the applicable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0"/>
                <w:szCs w:val="20"/>
                <w:color w:val="auto"/>
              </w:rPr>
            </w:pPr>
          </w:p>
        </w:tc>
        <w:tc>
          <w:tcPr>
            <w:tcW w:w="2000" w:type="dxa"/>
            <w:vAlign w:val="bottom"/>
            <w:gridSpan w:val="2"/>
          </w:tcPr>
          <w:p>
            <w:pPr>
              <w:ind w:left="60"/>
              <w:spacing w:after="0"/>
              <w:rPr>
                <w:sz w:val="20"/>
                <w:szCs w:val="20"/>
                <w:color w:val="auto"/>
              </w:rPr>
            </w:pPr>
            <w:r>
              <w:rPr>
                <w:rFonts w:ascii="Arial" w:cs="Arial" w:eastAsia="Arial" w:hAnsi="Arial"/>
                <w:sz w:val="16"/>
                <w:szCs w:val="16"/>
                <w:b w:val="1"/>
                <w:bCs w:val="1"/>
                <w:color w:val="auto"/>
              </w:rPr>
              <w:t>At September 30, 2017</w:t>
            </w:r>
          </w:p>
        </w:tc>
        <w:tc>
          <w:tcPr>
            <w:tcW w:w="200" w:type="dxa"/>
            <w:vAlign w:val="bottom"/>
          </w:tcPr>
          <w:p>
            <w:pPr>
              <w:spacing w:after="0"/>
              <w:rPr>
                <w:sz w:val="20"/>
                <w:szCs w:val="20"/>
                <w:color w:val="auto"/>
              </w:rPr>
            </w:pPr>
          </w:p>
        </w:tc>
        <w:tc>
          <w:tcPr>
            <w:tcW w:w="1900" w:type="dxa"/>
            <w:vAlign w:val="bottom"/>
          </w:tcPr>
          <w:p>
            <w:pPr>
              <w:jc w:val="right"/>
              <w:ind w:right="211"/>
              <w:spacing w:after="0"/>
              <w:rPr>
                <w:sz w:val="20"/>
                <w:szCs w:val="20"/>
                <w:color w:val="auto"/>
              </w:rPr>
            </w:pPr>
            <w:r>
              <w:rPr>
                <w:rFonts w:ascii="Arial" w:cs="Arial" w:eastAsia="Arial" w:hAnsi="Arial"/>
                <w:sz w:val="16"/>
                <w:szCs w:val="16"/>
                <w:b w:val="1"/>
                <w:bCs w:val="1"/>
                <w:color w:val="auto"/>
                <w:w w:val="95"/>
              </w:rPr>
              <w:t>At December 30, 2016</w:t>
            </w:r>
          </w:p>
        </w:tc>
        <w:tc>
          <w:tcPr>
            <w:tcW w:w="0" w:type="dxa"/>
            <w:vAlign w:val="bottom"/>
          </w:tcPr>
          <w:p>
            <w:pPr>
              <w:spacing w:after="0"/>
              <w:rPr>
                <w:sz w:val="1"/>
                <w:szCs w:val="1"/>
                <w:color w:val="auto"/>
              </w:rPr>
            </w:pPr>
          </w:p>
        </w:tc>
      </w:tr>
      <w:tr>
        <w:trPr>
          <w:trHeight w:val="270"/>
        </w:trPr>
        <w:tc>
          <w:tcPr>
            <w:tcW w:w="6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r>
              <w:rPr>
                <w:rFonts w:ascii="Arial" w:cs="Arial" w:eastAsia="Arial" w:hAnsi="Arial"/>
                <w:sz w:val="18"/>
                <w:szCs w:val="18"/>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390,383</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337,949</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Work-in-progress</w:t>
            </w:r>
          </w:p>
        </w:tc>
        <w:tc>
          <w:tcPr>
            <w:tcW w:w="200" w:type="dxa"/>
            <w:vAlign w:val="bottom"/>
          </w:tcPr>
          <w:p>
            <w:pPr>
              <w:spacing w:after="0"/>
              <w:rPr>
                <w:sz w:val="21"/>
                <w:szCs w:val="21"/>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39,486</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infrastructure</w:t>
            </w:r>
            <w:r>
              <w:rPr>
                <w:rFonts w:ascii="Arial" w:cs="Arial" w:eastAsia="Arial" w:hAnsi="Arial"/>
                <w:sz w:val="18"/>
                <w:szCs w:val="18"/>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338,149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330,728</w:t>
            </w:r>
          </w:p>
        </w:tc>
        <w:tc>
          <w:tcPr>
            <w:tcW w:w="0" w:type="dxa"/>
            <w:vAlign w:val="bottom"/>
          </w:tcPr>
          <w:p>
            <w:pPr>
              <w:spacing w:after="0"/>
              <w:rPr>
                <w:sz w:val="1"/>
                <w:szCs w:val="1"/>
                <w:color w:val="auto"/>
              </w:rPr>
            </w:pPr>
          </w:p>
        </w:tc>
      </w:tr>
      <w:tr>
        <w:trPr>
          <w:trHeight w:val="237"/>
        </w:trPr>
        <w:tc>
          <w:tcPr>
            <w:tcW w:w="6720" w:type="dxa"/>
            <w:vAlign w:val="bottom"/>
          </w:tcPr>
          <w:p>
            <w:pPr>
              <w:ind w:left="1140"/>
              <w:spacing w:after="0"/>
              <w:rPr>
                <w:sz w:val="20"/>
                <w:szCs w:val="20"/>
                <w:color w:val="auto"/>
              </w:rPr>
            </w:pPr>
            <w:r>
              <w:rPr>
                <w:rFonts w:ascii="Arial" w:cs="Arial" w:eastAsia="Arial" w:hAnsi="Arial"/>
                <w:sz w:val="18"/>
                <w:szCs w:val="18"/>
                <w:color w:val="auto"/>
              </w:rPr>
              <w:t>Real estate inventory</w:t>
            </w:r>
          </w:p>
        </w:tc>
        <w:tc>
          <w:tcPr>
            <w:tcW w:w="200" w:type="dxa"/>
            <w:vAlign w:val="bottom"/>
          </w:tcPr>
          <w:p>
            <w:pPr>
              <w:spacing w:after="0"/>
              <w:rPr>
                <w:sz w:val="20"/>
                <w:szCs w:val="20"/>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730,496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708,163</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supplies and retail inventory</w:t>
            </w:r>
          </w:p>
        </w:tc>
        <w:tc>
          <w:tcPr>
            <w:tcW w:w="2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4,373</w:t>
            </w:r>
          </w:p>
        </w:tc>
        <w:tc>
          <w:tcPr>
            <w:tcW w:w="0" w:type="dxa"/>
            <w:vAlign w:val="bottom"/>
          </w:tcPr>
          <w:p>
            <w:pPr>
              <w:spacing w:after="0"/>
              <w:rPr>
                <w:sz w:val="1"/>
                <w:szCs w:val="1"/>
                <w:color w:val="auto"/>
              </w:rPr>
            </w:pPr>
          </w:p>
        </w:tc>
      </w:tr>
      <w:tr>
        <w:trPr>
          <w:trHeight w:val="237"/>
        </w:trPr>
        <w:tc>
          <w:tcPr>
            <w:tcW w:w="67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735,072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712,536</w:t>
            </w:r>
          </w:p>
        </w:tc>
        <w:tc>
          <w:tcPr>
            <w:tcW w:w="0" w:type="dxa"/>
            <w:vAlign w:val="bottom"/>
          </w:tcPr>
          <w:p>
            <w:pPr>
              <w:spacing w:after="0"/>
              <w:rPr>
                <w:sz w:val="1"/>
                <w:szCs w:val="1"/>
                <w:color w:val="auto"/>
              </w:rPr>
            </w:pPr>
          </w:p>
        </w:tc>
      </w:tr>
      <w:tr>
        <w:trPr>
          <w:trHeight w:val="27"/>
        </w:trPr>
        <w:tc>
          <w:tcPr>
            <w:tcW w:w="672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2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80" w:hanging="652"/>
        <w:spacing w:after="0" w:line="216"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Represents completed inventory that is either registered for sale as vacation ownership interests, or unregistered and available for sale in its current form.</w:t>
      </w:r>
    </w:p>
    <w:p>
      <w:pPr>
        <w:spacing w:after="0" w:line="1" w:lineRule="exact"/>
        <w:rPr>
          <w:rFonts w:ascii="Arial" w:cs="Arial" w:eastAsia="Arial" w:hAnsi="Arial"/>
          <w:sz w:val="25"/>
          <w:szCs w:val="25"/>
          <w:color w:val="auto"/>
          <w:vertAlign w:val="superscript"/>
        </w:rPr>
      </w:pPr>
    </w:p>
    <w:p>
      <w:pPr>
        <w:ind w:left="660" w:hanging="652"/>
        <w:spacing w:after="0" w:line="225"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Includes $66.0 million of inventory related to estimated future foreclosures at September 30, 2017.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value vacation ownership and residential products at the lower of cost or fair market value less costs to sell, in accordance with applicable accounting guidance, and we record operating supplies at the lower of cost (using the first-in, first-out method) or net realizable value. During the 2017 and 2016 first three quarters, product cost true-up activity relating to vacation ownership products increased carrying values of inventory by $1.0 million and $12.2 million, respectively.</w:t>
      </w:r>
    </w:p>
    <w:p>
      <w:pPr>
        <w:spacing w:after="0" w:line="79" w:lineRule="exact"/>
        <w:rPr>
          <w:sz w:val="20"/>
          <w:szCs w:val="20"/>
          <w:color w:val="auto"/>
        </w:rPr>
      </w:pPr>
    </w:p>
    <w:p>
      <w:pPr>
        <w:ind w:right="520" w:firstLine="648"/>
        <w:spacing w:after="0" w:line="259" w:lineRule="auto"/>
        <w:rPr>
          <w:sz w:val="20"/>
          <w:szCs w:val="20"/>
          <w:color w:val="auto"/>
        </w:rPr>
      </w:pPr>
      <w:r>
        <w:rPr>
          <w:rFonts w:ascii="Arial" w:cs="Arial" w:eastAsia="Arial" w:hAnsi="Arial"/>
          <w:sz w:val="18"/>
          <w:szCs w:val="18"/>
          <w:color w:val="auto"/>
        </w:rPr>
        <w:t>In addition to the above, at September 30, 2017, we had $49.1 million of completed vacation ownership units which have been classified as a component of Property and equipment until the time at which they are legally registered for sale as vacation ownership products. Furthermore, at September 30, 2017, we also had $305.8 million of commitments to acquire completed vacation ownership units as discussed below in Footnote No. 8, “Contingencies and Commitments.”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CONTINGENCIES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2017, we had the following commitments outstanding:</w:t>
      </w:r>
    </w:p>
    <w:p>
      <w:pPr>
        <w:spacing w:after="0" w:line="117" w:lineRule="exact"/>
        <w:rPr>
          <w:sz w:val="20"/>
          <w:szCs w:val="20"/>
          <w:color w:val="auto"/>
        </w:rPr>
      </w:pPr>
    </w:p>
    <w:p>
      <w:pPr>
        <w:ind w:left="980" w:right="28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various contracts for the use of information technology hardware and software that we use in the normal course of business. Our aggregate commitments under these contracts were $26.6 million, of which we expect $4.9 million, $12.9 million, $5.3 million, $1.3 million, $0.8 million and $1.4 million will be paid in 2017, 2018, 2019, 2020, 2021 and thereafter, respectively.</w:t>
      </w:r>
    </w:p>
    <w:p>
      <w:pPr>
        <w:spacing w:after="0" w:line="73" w:lineRule="exact"/>
        <w:rPr>
          <w:rFonts w:ascii="Arial" w:cs="Arial" w:eastAsia="Arial" w:hAnsi="Arial"/>
          <w:sz w:val="18"/>
          <w:szCs w:val="18"/>
          <w:color w:val="auto"/>
        </w:rPr>
      </w:pPr>
    </w:p>
    <w:p>
      <w:pPr>
        <w:ind w:left="980" w:hanging="324"/>
        <w:spacing w:after="0" w:line="255"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commitment to purchase an operating property located in New York, New York for $158.5 million, of which $7.2 million is attributed to a related capital lease arrangement and recorded in Debt. We expect to acquire the units in the property in their current form, over time. We currently manage this property, which we have rebranded as Marriott Vacation Club Pulse, New York City. See Footnote No. 12, “Variable Interest Entities,” for additional information on this transaction. As of the end of the 2017 third quarter, we had expected to make payments for these units of $96.8 million and $61.7 million in 2018 and 2019, respectively. Subsequent to the 2017 third quarter, we amended the terms of this commitment and, as a result, we expect to make payments of $108.5 million and $61.7 million in 2019 and 2020, respectively, for these units.</w:t>
      </w:r>
    </w:p>
    <w:p>
      <w:pPr>
        <w:spacing w:after="0" w:line="81" w:lineRule="exact"/>
        <w:rPr>
          <w:rFonts w:ascii="Arial" w:cs="Arial" w:eastAsia="Arial" w:hAnsi="Arial"/>
          <w:sz w:val="18"/>
          <w:szCs w:val="18"/>
          <w:color w:val="auto"/>
        </w:rPr>
      </w:pPr>
    </w:p>
    <w:p>
      <w:pPr>
        <w:ind w:left="980" w:right="40" w:hanging="324"/>
        <w:spacing w:after="0" w:line="25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commitment to purchase 88 vacation ownership units located in Bali, Indonesia for use in our Asia Pacific segment, contingent upon completion of construction to agreed-upon standards within specified timeframes. We expect to complete the acquisition in 2019 and to make payments with respect to these units when specific construction milestones are completed, as follows: $7.8 million in 2017, $5.9 million in 2018 and $25.4 million in 2019.</w:t>
      </w:r>
    </w:p>
    <w:p>
      <w:pPr>
        <w:spacing w:after="0" w:line="78" w:lineRule="exact"/>
        <w:rPr>
          <w:rFonts w:ascii="Arial" w:cs="Arial" w:eastAsia="Arial" w:hAnsi="Arial"/>
          <w:sz w:val="18"/>
          <w:szCs w:val="18"/>
          <w:color w:val="auto"/>
        </w:rPr>
      </w:pPr>
    </w:p>
    <w:p>
      <w:pPr>
        <w:ind w:left="980" w:right="8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remaining commitment to purchase vacation ownership units located at our resort in Marco Island, Florida for $108.2 million, which we expect will be paid as follows: $23.7 million in 2018 and $84.5 million in 2019. See Footnote No. 5, “Acquisitions and Dispositions,” and Footnote No. 12, “Variable Interest Entities,” for additional information on this transaction.</w:t>
      </w:r>
    </w:p>
    <w:p>
      <w:pPr>
        <w:spacing w:after="0" w:line="73" w:lineRule="exact"/>
        <w:rPr>
          <w:rFonts w:ascii="Arial" w:cs="Arial" w:eastAsia="Arial" w:hAnsi="Arial"/>
          <w:sz w:val="18"/>
          <w:szCs w:val="18"/>
          <w:color w:val="auto"/>
        </w:rPr>
      </w:pPr>
    </w:p>
    <w:p>
      <w:pPr>
        <w:ind w:left="980" w:right="360" w:hanging="324"/>
        <w:spacing w:after="0" w:line="25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addition to those disclosed in our Annual Report on Form 10-K for the fiscal year ended December 30, 2016, we have operating lease commitments that expire in 2029. Our aggregate minimum lease payments under these contracts are $17.5 million, of which we expect $0.1 million, $0.4 million, $1.7 million, $1.7 million, $1.9 million and $11.7 million will be paid in 2017, 2018, 2019, 2020, 2021 and thereafter, respectively.</w:t>
      </w:r>
    </w:p>
    <w:p>
      <w:pPr>
        <w:spacing w:after="0" w:line="7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Surety bonds issued as of September 30, 2017 totaled $37.7 million, the majority of which were requested by federal, state or local governments in connection with our operations.</w:t>
      </w:r>
    </w:p>
    <w:p>
      <w:pPr>
        <w:spacing w:after="0" w:line="6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Additionally, as of September 30, 2017, we had $4.6 million of letters of credit outstanding under our $250.0 million revolving credit facility (the “Revolving Corporate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April 2013, Krishna and Sherrie Narayan and other owners of 12 residential units (owners of two of which subsequently agreed to release their claims) at the resort formerly known as The Ritz-Carlton Club &amp; Residences, Kapalua Bay (“Kapalua Bay”) filed an amended complaint in Circuit Court for Maui County, Hawaii against us, certain of our subsidiaries, Marriott International, certain of its subsidiaries, and the joint venture in which we have an equity investment that developed and marketed vacation ownership and residential products at Kapalua Bay (the “Joint Venture”). In the original complaint, the plaintiffs alleged that defendants mismanaged funds of the residential owners association (the “Kapalua Bay Association”), created a conflict of interest by permitting their employees to serve on the Kapalua Bay Association’s board, and failed to disclose documents to which the plaintiffs were allegedly entitled. The amended complaint alleges breach of fiduciary duty, violations of the Hawaii Unfair and Deceptive Trade Practices Act and the Hawaii condominium statute, intentional misrepresentation and concealment, unjust enrichment and civil conspiracy. The relief sought in the amended complaint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includes injunctive relief, repayment of all sums paid to us and our subsidiaries and Marriott International and its subsidiaries, compensatory and punitive damages, and treble damages under the Hawaii Unfair and Deceptive Trade Practices Act. We filed a motion in the Circuit Court to compel arbitration of plaintiffs’ claims. That motion was denied, but on appeal the Hawaii Intermediate Court of Appeals reversed. The Hawaii Supreme Court reversed the decision of the Intermediate Court of Appeals and reinstated the action in Circuit Court, which set the case for trial. We filed a petition with the United States Supreme Court seeking review of the Hawaii Supreme Court’s decision. In January 2016, the U.S. Supreme Court issued an order vacating the Hawaii Supreme Court’s decision and remanding the case with instructions to reconsider its ruling in light of a recent U.S. Supreme Court decision reiterating the obligation of courts to enforce arbitration agreements. On July 14, 2017, the Hawaii Supreme Court issued a decision reaffirming its prior ruling and remanding the case to the Circuit Court for trial. Our motion for reconsideration of that decision was denied on August 9, 2017. We dispute the material allegations in the amended complaint and continue to defend against the action vigorously. Given the inherent uncertainties of litigation, we cannot estimate a range of the potential liability, if any, at this time.</w:t>
      </w:r>
    </w:p>
    <w:p>
      <w:pPr>
        <w:spacing w:after="0" w:line="70"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In June 2013, Earl C. and Patricia A. Charles, owners of a fractional interest at Kapalua Bay, together with owners of 38 other fractional interests (owners of two of which subsequently agreed to release their claims) at Kapalua Bay, filed an amended complaint in the Circuit Court of the Second Circuit for the State of Hawaii against us, certain of our subsidiaries, Marriott International, certain of its subsidiaries, the Joint Venture, and other entities that have equity investments in the Joint Venture. The plaintiffs allege that the defendants failed to disclose the financial condition of the Joint Venture and the commitment of the defendants to the Joint Venture, and that defendants’ actions constituted fraud and violated the Hawaii Unfair and Deceptive Trade Practices Act, the Hawaii Condominium Property Act and the Hawaii Time Sharing Plans statute. The relief sought includes compensatory and punitive damages, attorneys’ fees, pre-judgment interest, declaratory relief, rescission and treble damages under the Hawaii Unfair and Deceptive Trade Practices Act. The complaint was subsequently further amended to add owners of two additional fractional interests as plaintiffs. The Circuit Court granted our motion to compel arbitration of the claims asserted by the plaintiffs. Plaintiffs appealed that decision to the Hawaii Intermediate Court of Appeals and also initiated arbitration. In July 2015, the Intermediate Court of Appeals reversed the decision of the Circuit Court and directed that the action be reinstated in the Circuit Court, based on the Hawaii Supreme Court’s decision in the Narayan case discussed above. On October 10, 2017, following the most recent action of the Hawaii Supreme Court in the Narayan case, the Circuit Court set the Charles case for trial beginning in January 2019. We dispute the material allegations in the amended complaint and intend to defend against the action vigorously. Given the early stages of the action and the inherent uncertainties of litigation, we cannot estimate a range of the potential liability, if any, at this time.</w:t>
      </w:r>
    </w:p>
    <w:p>
      <w:pPr>
        <w:spacing w:after="0" w:line="7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May 2015, we and certain of our subsidiaries were named as defendants in an action filed in the Superior Court of San Francisco County, California, by William and Sharon Petrick and certain other present and former owners of 69 fractional interests at the RCC San Francisco. The plaintiffs allege that the affiliation of the RCC San Francisco with our points-based Marriott Vacation Club Destinations (“MVCD”) program, certain alleged sales practices, and other acts we and the other defendants allegedly took caused an actionable decrease in the value of their fractional interests. The relief sought includes, among other things, compensatory and punitive damages, rescission, and pre- and post-judgment interest. Plaintiffs filed an amended complaint in April 2016. We filed a motion to dismiss, which the Court granted in part and denied in part on September 13, 2017. The Court also granted leave to plaintiffs to file a second amended complaint, which plaintiffs filed on October 17, 2017. We dispute the plaintiffs’ material allegations and intend to defend against the action vigorously. Given the early stages of the action and the inherent uncertainties of litigation, we cannot estimate a range of the potential liability, if any, at this time.</w:t>
      </w:r>
    </w:p>
    <w:p>
      <w:pPr>
        <w:spacing w:after="0" w:line="8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March 2017, RCHFU, L.L.C. and other owners of 232 fractional interests at The Ritz-Carlton Club, Aspen Highlands (“RCC Aspen Highlands”) served an amended complaint in an action pending in the court against us, certain of our subsidiaries, and other third party defendants. The U.S. District Court for the District of Colorado has ordered that no further amendments will be permitted. The amended complaint alleges that the plaintiffs’ fractional interests were devalued by the affiliation of RCC Aspen Highlands and other Ritz-Carlton Clubs with our points-based MVCD program. The relief sought includes, among other things, unspecified damages, pre- and post-judgment interest, and attorneys’ fees. We filed a motion to dismiss the amended complaint, which remains pending. We dispute the plaintiffs’ material allegations and intend to defend against the action vigorously. Given the early stages of the action and the inherent uncertainties of litigation, we cannot estimate a range of the potential liability, if any, at this time.</w:t>
      </w:r>
    </w:p>
    <w:p>
      <w:pPr>
        <w:spacing w:after="0" w:line="5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In May 2016, we, certain of our subsidiaries, and other third parties were named as defendants in an action filed in the U.S. District Court for the Middle District of Florida by Anthony and Beth Lennen. The case is filed as a putative class action; the plaintiffs seek to represent a class consisting of themselves and all other purchasers of MVCD points, from inception of the MVCD program in June 2010 to the present, as well as all individuals who own or have owned weeks in any resorts for which weeks have been added to the MVCD program. Plaintiffs challenge the characterization of the beneficial interests in the MVCD trust that are sold to customers as real estate interests under Florida law. They also challenge the structure of the trust and associated operational aspects of the trust product. The relief sought includes, among other things, declaratory relief, an unwinding of the MVCD product, and punitive damages. On September 15, 2016, we filed a motion to dismiss the complaint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a motion to stay the case pending referral of certain questions to Florida state regulators. On September 27, 2017, the Court granted the motion to dismiss and denied the motion to stay. The Court granted leave to plaintiffs to file an amended complaint, which plaintiffs filed on October 25, 2017. We dispute the plaintiffs’ material allegations and intend to defend against the action vigorously. Given the early stages of the action and the inherent uncertainties of litigation, we cannot estimate a range of the potential liability, if any, at this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In September 2017, over 20 of our properties were impacted by Hurricane Irma and Hurricane Maria and, as a result, we have accrued $1.7 million of expense for the estimated property damage insurance deductibles, which was recorded in the Gains and other income, net line on the Statement of Income.</w:t>
      </w:r>
    </w:p>
    <w:p>
      <w:pPr>
        <w:spacing w:after="0" w:line="16"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During 2016, our properties in Hilton Head and Myrtle Beach, South Carolina were temporarily closed as a result of damage from Hurricane Matthew. In the 2017 third quarter, we received $8.7 million in net insurance proceeds related to the settlement of business interruption insurance claims arising from Hurricane Matthew, which were recorded in the Gains and other income line on the Statement of Income.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our debt balances, net of unamortized debt discount and issuance costs: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20" w:type="dxa"/>
            <w:vAlign w:val="bottom"/>
          </w:tcPr>
          <w:p>
            <w:pPr>
              <w:ind w:left="40"/>
              <w:spacing w:after="0"/>
              <w:rPr>
                <w:sz w:val="20"/>
                <w:szCs w:val="20"/>
                <w:color w:val="auto"/>
              </w:rPr>
            </w:pPr>
            <w:r>
              <w:rPr>
                <w:rFonts w:ascii="Arial" w:cs="Arial" w:eastAsia="Arial" w:hAnsi="Arial"/>
                <w:sz w:val="14"/>
                <w:szCs w:val="14"/>
                <w:i w:val="1"/>
                <w:iCs w:val="1"/>
                <w:color w:val="auto"/>
              </w:rPr>
              <w:t>($ in thousands)</w:t>
            </w:r>
          </w:p>
        </w:tc>
        <w:tc>
          <w:tcPr>
            <w:tcW w:w="200" w:type="dxa"/>
            <w:vAlign w:val="bottom"/>
          </w:tcPr>
          <w:p>
            <w:pPr>
              <w:spacing w:after="0"/>
              <w:rPr>
                <w:sz w:val="20"/>
                <w:szCs w:val="20"/>
                <w:color w:val="auto"/>
              </w:rPr>
            </w:pPr>
          </w:p>
        </w:tc>
        <w:tc>
          <w:tcPr>
            <w:tcW w:w="2000" w:type="dxa"/>
            <w:vAlign w:val="bottom"/>
            <w:gridSpan w:val="2"/>
          </w:tcPr>
          <w:p>
            <w:pPr>
              <w:ind w:left="60"/>
              <w:spacing w:after="0"/>
              <w:rPr>
                <w:sz w:val="20"/>
                <w:szCs w:val="20"/>
                <w:color w:val="auto"/>
              </w:rPr>
            </w:pPr>
            <w:r>
              <w:rPr>
                <w:rFonts w:ascii="Arial" w:cs="Arial" w:eastAsia="Arial" w:hAnsi="Arial"/>
                <w:sz w:val="16"/>
                <w:szCs w:val="16"/>
                <w:b w:val="1"/>
                <w:bCs w:val="1"/>
                <w:color w:val="auto"/>
              </w:rPr>
              <w:t>At September 30, 2017</w:t>
            </w:r>
          </w:p>
        </w:tc>
        <w:tc>
          <w:tcPr>
            <w:tcW w:w="200" w:type="dxa"/>
            <w:vAlign w:val="bottom"/>
          </w:tcPr>
          <w:p>
            <w:pPr>
              <w:spacing w:after="0"/>
              <w:rPr>
                <w:sz w:val="20"/>
                <w:szCs w:val="20"/>
                <w:color w:val="auto"/>
              </w:rPr>
            </w:pPr>
          </w:p>
        </w:tc>
        <w:tc>
          <w:tcPr>
            <w:tcW w:w="1900" w:type="dxa"/>
            <w:vAlign w:val="bottom"/>
          </w:tcPr>
          <w:p>
            <w:pPr>
              <w:jc w:val="right"/>
              <w:ind w:right="211"/>
              <w:spacing w:after="0"/>
              <w:rPr>
                <w:sz w:val="20"/>
                <w:szCs w:val="20"/>
                <w:color w:val="auto"/>
              </w:rPr>
            </w:pPr>
            <w:r>
              <w:rPr>
                <w:rFonts w:ascii="Arial" w:cs="Arial" w:eastAsia="Arial" w:hAnsi="Arial"/>
                <w:sz w:val="16"/>
                <w:szCs w:val="16"/>
                <w:b w:val="1"/>
                <w:bCs w:val="1"/>
                <w:color w:val="auto"/>
                <w:w w:val="95"/>
              </w:rPr>
              <w:t>At December 30, 2016</w:t>
            </w:r>
          </w:p>
        </w:tc>
        <w:tc>
          <w:tcPr>
            <w:tcW w:w="0" w:type="dxa"/>
            <w:vAlign w:val="bottom"/>
          </w:tcPr>
          <w:p>
            <w:pPr>
              <w:spacing w:after="0"/>
              <w:rPr>
                <w:sz w:val="1"/>
                <w:szCs w:val="1"/>
                <w:color w:val="auto"/>
              </w:rPr>
            </w:pPr>
          </w:p>
        </w:tc>
      </w:tr>
      <w:tr>
        <w:trPr>
          <w:trHeight w:val="270"/>
        </w:trPr>
        <w:tc>
          <w:tcPr>
            <w:tcW w:w="6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securitizations, gross</w:t>
            </w:r>
            <w:r>
              <w:rPr>
                <w:rFonts w:ascii="Arial" w:cs="Arial" w:eastAsia="Arial" w:hAnsi="Arial"/>
                <w:sz w:val="18"/>
                <w:szCs w:val="18"/>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906,701</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738,362</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Unamortized debt issuance costs</w:t>
            </w:r>
          </w:p>
        </w:tc>
        <w:tc>
          <w:tcPr>
            <w:tcW w:w="2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(11,296)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(9,174)</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895,405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729,188</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Convertible notes, gross</w:t>
            </w:r>
            <w:r>
              <w:rPr>
                <w:rFonts w:ascii="Arial" w:cs="Arial" w:eastAsia="Arial" w:hAnsi="Arial"/>
                <w:sz w:val="18"/>
                <w:szCs w:val="18"/>
                <w:color w:val="auto"/>
                <w:vertAlign w:val="superscript"/>
              </w:rPr>
              <w:t>(2)</w:t>
            </w:r>
          </w:p>
        </w:tc>
        <w:tc>
          <w:tcPr>
            <w:tcW w:w="20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230,000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Unamortized debt discount and issuance costs</w:t>
            </w:r>
          </w:p>
        </w:tc>
        <w:tc>
          <w:tcPr>
            <w:tcW w:w="2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(39,261)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190,739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Non-interest bearing note payable</w:t>
            </w:r>
          </w:p>
        </w:tc>
        <w:tc>
          <w:tcPr>
            <w:tcW w:w="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63,558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Unamortized debt discount</w:t>
            </w:r>
            <w:r>
              <w:rPr>
                <w:rFonts w:ascii="Arial" w:cs="Arial" w:eastAsia="Arial" w:hAnsi="Arial"/>
                <w:sz w:val="18"/>
                <w:szCs w:val="18"/>
                <w:color w:val="auto"/>
                <w:vertAlign w:val="superscript"/>
              </w:rPr>
              <w:t>(3)</w:t>
            </w:r>
          </w:p>
        </w:tc>
        <w:tc>
          <w:tcPr>
            <w:tcW w:w="20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59,677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debt, gross</w:t>
            </w:r>
          </w:p>
        </w:tc>
        <w:tc>
          <w:tcPr>
            <w:tcW w:w="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Unamortized debt issuance costs</w:t>
            </w:r>
          </w:p>
        </w:tc>
        <w:tc>
          <w:tcPr>
            <w:tcW w:w="2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2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7,221</w:t>
            </w:r>
          </w:p>
        </w:tc>
        <w:tc>
          <w:tcPr>
            <w:tcW w:w="0" w:type="dxa"/>
            <w:vAlign w:val="bottom"/>
          </w:tcPr>
          <w:p>
            <w:pPr>
              <w:spacing w:after="0"/>
              <w:rPr>
                <w:sz w:val="1"/>
                <w:szCs w:val="1"/>
                <w:color w:val="auto"/>
              </w:rPr>
            </w:pPr>
          </w:p>
        </w:tc>
      </w:tr>
      <w:tr>
        <w:trPr>
          <w:trHeight w:val="237"/>
        </w:trPr>
        <w:tc>
          <w:tcPr>
            <w:tcW w:w="67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1,153,222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737,224</w:t>
            </w:r>
          </w:p>
        </w:tc>
        <w:tc>
          <w:tcPr>
            <w:tcW w:w="0" w:type="dxa"/>
            <w:vAlign w:val="bottom"/>
          </w:tcPr>
          <w:p>
            <w:pPr>
              <w:spacing w:after="0"/>
              <w:rPr>
                <w:sz w:val="1"/>
                <w:szCs w:val="1"/>
                <w:color w:val="auto"/>
              </w:rPr>
            </w:pPr>
          </w:p>
        </w:tc>
      </w:tr>
      <w:tr>
        <w:trPr>
          <w:trHeight w:val="27"/>
        </w:trPr>
        <w:tc>
          <w:tcPr>
            <w:tcW w:w="672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2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Interest rates as of September 30, 2017 range from 2.2% to 6.3% with a weighted average interest rate of 2.5%.</w:t>
      </w:r>
    </w:p>
    <w:p>
      <w:pPr>
        <w:spacing w:after="0" w:line="56" w:lineRule="exact"/>
        <w:rPr>
          <w:rFonts w:ascii="Arial" w:cs="Arial" w:eastAsia="Arial" w:hAnsi="Arial"/>
          <w:sz w:val="25"/>
          <w:szCs w:val="25"/>
          <w:color w:val="auto"/>
          <w:vertAlign w:val="superscript"/>
        </w:rPr>
      </w:pPr>
    </w:p>
    <w:p>
      <w:pPr>
        <w:ind w:left="660" w:hanging="652"/>
        <w:spacing w:after="0" w:line="186" w:lineRule="auto"/>
        <w:tabs>
          <w:tab w:leader="none" w:pos="66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The effective interest rate as of September 30, 2017 was 4.7%.</w:t>
      </w:r>
    </w:p>
    <w:p>
      <w:pPr>
        <w:spacing w:after="0" w:line="56" w:lineRule="exact"/>
        <w:rPr>
          <w:rFonts w:ascii="Arial" w:cs="Arial" w:eastAsia="Arial" w:hAnsi="Arial"/>
          <w:sz w:val="24"/>
          <w:szCs w:val="24"/>
          <w:color w:val="auto"/>
          <w:vertAlign w:val="superscript"/>
        </w:rPr>
      </w:pPr>
    </w:p>
    <w:p>
      <w:pPr>
        <w:ind w:left="660" w:hanging="652"/>
        <w:spacing w:after="0" w:line="186" w:lineRule="auto"/>
        <w:tabs>
          <w:tab w:leader="none" w:pos="66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Debt discount based on imputed interest rate of 6.0%.</w:t>
      </w:r>
    </w:p>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See Footnote No. 12, “Variable Interest Entities,” for a discussion of the collateral for the non-recourse debt associated with the securitized vacation ownership notes receivable and our Warehouse Credit Facility.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5"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scheduled future principal payments for our debt as of September 30, 2017:</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Vacation Ownership</w:t>
            </w: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Non-Interest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Notes Receivable</w:t>
            </w: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Bearing Note</w:t>
            </w:r>
          </w:p>
        </w:tc>
        <w:tc>
          <w:tcPr>
            <w:tcW w:w="22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Other</w:t>
            </w:r>
          </w:p>
        </w:tc>
        <w:tc>
          <w:tcPr>
            <w:tcW w:w="22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Capital</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20" w:type="dxa"/>
            <w:vAlign w:val="bottom"/>
          </w:tcPr>
          <w:p>
            <w:pPr>
              <w:spacing w:after="0"/>
              <w:rPr>
                <w:sz w:val="21"/>
                <w:szCs w:val="21"/>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Securitizations</w:t>
            </w:r>
            <w:r>
              <w:rPr>
                <w:rFonts w:ascii="Arial" w:cs="Arial" w:eastAsia="Arial" w:hAnsi="Arial"/>
                <w:sz w:val="17"/>
                <w:szCs w:val="17"/>
                <w:b w:val="1"/>
                <w:bCs w:val="1"/>
                <w:color w:val="auto"/>
                <w:w w:val="89"/>
                <w:vertAlign w:val="superscript"/>
              </w:rPr>
              <w:t>(1)</w:t>
            </w:r>
          </w:p>
        </w:tc>
        <w:tc>
          <w:tcPr>
            <w:tcW w:w="1440" w:type="dxa"/>
            <w:vAlign w:val="bottom"/>
            <w:gridSpan w:val="3"/>
          </w:tcPr>
          <w:p>
            <w:pPr>
              <w:ind w:left="40"/>
              <w:spacing w:after="0"/>
              <w:rPr>
                <w:sz w:val="20"/>
                <w:szCs w:val="20"/>
                <w:color w:val="auto"/>
              </w:rPr>
            </w:pPr>
            <w:r>
              <w:rPr>
                <w:rFonts w:ascii="Arial" w:cs="Arial" w:eastAsia="Arial" w:hAnsi="Arial"/>
                <w:sz w:val="16"/>
                <w:szCs w:val="16"/>
                <w:b w:val="1"/>
                <w:bCs w:val="1"/>
                <w:color w:val="auto"/>
              </w:rPr>
              <w:t>Convertible Notes</w:t>
            </w:r>
          </w:p>
        </w:tc>
        <w:tc>
          <w:tcPr>
            <w:tcW w:w="18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Payable</w:t>
            </w:r>
          </w:p>
        </w:tc>
        <w:tc>
          <w:tcPr>
            <w:tcW w:w="220" w:type="dxa"/>
            <w:vAlign w:val="bottom"/>
          </w:tcPr>
          <w:p>
            <w:pPr>
              <w:spacing w:after="0"/>
              <w:rPr>
                <w:sz w:val="21"/>
                <w:szCs w:val="21"/>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Debt</w:t>
            </w:r>
          </w:p>
        </w:tc>
        <w:tc>
          <w:tcPr>
            <w:tcW w:w="220" w:type="dxa"/>
            <w:vAlign w:val="bottom"/>
          </w:tcPr>
          <w:p>
            <w:pPr>
              <w:spacing w:after="0"/>
              <w:rPr>
                <w:sz w:val="21"/>
                <w:szCs w:val="21"/>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4"/>
              </w:rPr>
              <w:t>Leases</w:t>
            </w:r>
          </w:p>
        </w:tc>
        <w:tc>
          <w:tcPr>
            <w:tcW w:w="300" w:type="dxa"/>
            <w:vAlign w:val="bottom"/>
          </w:tcPr>
          <w:p>
            <w:pPr>
              <w:spacing w:after="0"/>
              <w:rPr>
                <w:sz w:val="21"/>
                <w:szCs w:val="21"/>
                <w:color w:val="auto"/>
              </w:rPr>
            </w:pPr>
          </w:p>
        </w:tc>
        <w:tc>
          <w:tcPr>
            <w:tcW w:w="104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5"/>
        </w:trPr>
        <w:tc>
          <w:tcPr>
            <w:tcW w:w="2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Debt Principal Payments Year</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2017, remaining</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26,213</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26,217</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98,949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138,854</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96,249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30,878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127,131</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98,215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98,220</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99,010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99,015</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488,065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718,239</w:t>
            </w:r>
          </w:p>
        </w:tc>
        <w:tc>
          <w:tcPr>
            <w:tcW w:w="0" w:type="dxa"/>
            <w:vAlign w:val="bottom"/>
          </w:tcPr>
          <w:p>
            <w:pPr>
              <w:spacing w:after="0"/>
              <w:rPr>
                <w:sz w:val="1"/>
                <w:szCs w:val="1"/>
                <w:color w:val="auto"/>
              </w:rPr>
            </w:pPr>
          </w:p>
        </w:tc>
      </w:tr>
      <w:tr>
        <w:trPr>
          <w:trHeight w:val="237"/>
        </w:trPr>
        <w:tc>
          <w:tcPr>
            <w:tcW w:w="26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906,701</w:t>
            </w:r>
          </w:p>
        </w:tc>
        <w:tc>
          <w:tcPr>
            <w:tcW w:w="100" w:type="dxa"/>
            <w:vAlign w:val="bottom"/>
          </w:tcPr>
          <w:p>
            <w:pPr>
              <w:spacing w:after="0"/>
              <w:rPr>
                <w:sz w:val="20"/>
                <w:szCs w:val="20"/>
                <w:color w:val="auto"/>
              </w:rPr>
            </w:pPr>
          </w:p>
        </w:tc>
        <w:tc>
          <w:tcPr>
            <w:tcW w:w="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63,558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7,221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1,207,676</w:t>
            </w:r>
          </w:p>
        </w:tc>
        <w:tc>
          <w:tcPr>
            <w:tcW w:w="0" w:type="dxa"/>
            <w:vAlign w:val="bottom"/>
          </w:tcPr>
          <w:p>
            <w:pPr>
              <w:spacing w:after="0"/>
              <w:rPr>
                <w:sz w:val="1"/>
                <w:szCs w:val="1"/>
                <w:color w:val="auto"/>
              </w:rPr>
            </w:pPr>
          </w:p>
        </w:tc>
      </w:tr>
      <w:tr>
        <w:trPr>
          <w:trHeight w:val="27"/>
        </w:trPr>
        <w:tc>
          <w:tcPr>
            <w:tcW w:w="266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6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The debt associated with our vacation ownership notes receivable securitizations is non-recourse to us.</w:t>
      </w:r>
    </w:p>
    <w:p>
      <w:pPr>
        <w:spacing w:after="0" w:line="99" w:lineRule="exact"/>
        <w:rPr>
          <w:sz w:val="20"/>
          <w:szCs w:val="20"/>
          <w:color w:val="auto"/>
        </w:rPr>
      </w:pPr>
    </w:p>
    <w:p>
      <w:pPr>
        <w:jc w:val="both"/>
        <w:ind w:right="640" w:firstLine="648"/>
        <w:spacing w:after="0" w:line="336" w:lineRule="auto"/>
        <w:rPr>
          <w:sz w:val="20"/>
          <w:szCs w:val="20"/>
          <w:color w:val="auto"/>
        </w:rPr>
      </w:pPr>
      <w:r>
        <w:rPr>
          <w:rFonts w:ascii="Arial" w:cs="Arial" w:eastAsia="Arial" w:hAnsi="Arial"/>
          <w:sz w:val="16"/>
          <w:szCs w:val="16"/>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2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We paid cash for interest, net of amounts capitalized, of $15.6 million and $14.6 million in the 2017 first three quarters and the 2016 first three quarters,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Associated with Vacation Ownership Notes Receivable Securitizations</w:t>
      </w:r>
    </w:p>
    <w:p>
      <w:pPr>
        <w:spacing w:after="0" w:line="11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During the 2017 third quarter, we completed the securitization of a pool of $360.8 million of vacation ownership notes receivable. In connection with the securitization, investors purchased in a private placement $350.0 million in vacation ownership loan backed notes from the MVW Owner Trust 2017-1 (the “2017-1 Trust”). Three classes of vacation ownership loan backed notes were issued by the 2017-1 Trust: $276.0 million of Class A Notes, $46.9 million of Class B Notes and $27.1 million of Class C Notes. The Class A Notes have an interest rate of 2.42 percent, the Class B Notes have an interest rate of 2.75 percent and the Class C Notes have an interest rate of 2.99 percent, for an overall weighted average interest rate of 2.51 percent.</w:t>
      </w:r>
    </w:p>
    <w:p>
      <w:pPr>
        <w:spacing w:after="0" w:line="6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Each of the transactions in which we have securitized vacation ownership notes receivable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2017 first three quarters, and as of September 30, 2017, no securitized vacation ownership notes receivable pools were out of compliance with their respective established parameters. As of September 30, 2017, we had 8 securitized vacation ownership notes receivable pools outstanding.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right="500" w:firstLine="648"/>
        <w:spacing w:after="0" w:line="297" w:lineRule="auto"/>
        <w:rPr>
          <w:sz w:val="20"/>
          <w:szCs w:val="20"/>
          <w:color w:val="auto"/>
        </w:rPr>
      </w:pPr>
      <w:r>
        <w:rPr>
          <w:rFonts w:ascii="Arial" w:cs="Arial" w:eastAsia="Arial" w:hAnsi="Arial"/>
          <w:sz w:val="16"/>
          <w:szCs w:val="16"/>
          <w:color w:val="auto"/>
        </w:rPr>
        <w:t>During the 2017 third quarter, we issued $230.0 million aggregate principal amount of our 1.50% Convertible Senior Notes due 2022 (the “Convertible Notes”), which included the exercise in full of the over-allotment option we granted to the initial purchasers of the Convertible Notes to purchase up to an additional $30.0 million aggregate principal amount of Convertible Notes. The Convertible Notes are governed by an indenture dated September 25, 2017 (the “Indenture”) between us and The Bank of New York Mellon Trust Company, N.A., as trustee (the “Trustee”). We received net proceeds from the offering of approximately $223.7 million after adjusting for debt issuance costs, including the discount to the initial purchasers.</w:t>
      </w:r>
    </w:p>
    <w:p>
      <w:pPr>
        <w:spacing w:after="0" w:line="5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Convertible Notes bear interest at a rate of 1.50 percent, payable in cash semi-annually on March 15 and September 15 of each year beginning on March 15, 2018. The Convertible Notes mature on September 15, 2022, unless repurchased or converted in accordance with their terms prior to that date. On or after June 15, 2022, and until the close of business on the second scheduled trading day immediately preceding the maturity date, holders may convert their Convertible Notes at their option. The Convertible Notes are convertible at an initial rate of 6.7482 shares of common stock per $1,000 principal amount of Convertible Notes (equivalent to an initial conversion price of approximately $148.19 per share of our common stock). The conversion rate is subject to adjustment for certain events as described in the Indenture. Upon conversion,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will pay or deliver, as the case may be, cash, shares of our common stock or a combination of cash and shares of our common stock, at our election. It is our intent to settle conversions of the Convertible Notes through combination settlement, which contemplates repayment in cash of the principal amount and repayment in shares of our common stock of any excess of the conversion value over the principal amount.</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may convert their Convertible Notes prior to June 15, 2022 only under the following circumstances:</w:t>
      </w:r>
    </w:p>
    <w:p>
      <w:pPr>
        <w:spacing w:after="0" w:line="117" w:lineRule="exact"/>
        <w:rPr>
          <w:sz w:val="20"/>
          <w:szCs w:val="20"/>
          <w:color w:val="auto"/>
        </w:rPr>
      </w:pPr>
    </w:p>
    <w:p>
      <w:pPr>
        <w:ind w:left="980" w:right="20" w:hanging="324"/>
        <w:spacing w:after="0" w:line="259"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December 31, 2017 (and only during such calendar quarter), if the last reported sale price of our common stock for at least 20 trading days (whether or not consecutive) during the period of 30 consecutive trading days ending on the last trading day of the immediately preceding calendar quarter is greater than or equal to 130 percent of the conversion price on each applicable trading day;</w:t>
      </w:r>
    </w:p>
    <w:p>
      <w:pPr>
        <w:spacing w:after="0" w:line="78" w:lineRule="exact"/>
        <w:rPr>
          <w:rFonts w:ascii="Arial" w:cs="Arial" w:eastAsia="Arial" w:hAnsi="Arial"/>
          <w:sz w:val="18"/>
          <w:szCs w:val="18"/>
          <w:color w:val="auto"/>
        </w:rPr>
      </w:pPr>
    </w:p>
    <w:p>
      <w:pPr>
        <w:ind w:left="980" w:right="220" w:hanging="324"/>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the trading price per $1,000 principal amount of the Convertible Notes for each trading day of that five consecutive trading day period was less than 98 percent of the product of the last reported sale price of our common stock and the conversion rate on each such trading day; or</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as described in the Indenture.</w:t>
      </w:r>
    </w:p>
    <w:p>
      <w:pPr>
        <w:spacing w:after="0" w:line="11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may not redeem the Convertible Notes prior to their maturity date, and no sinking fund is provided for them. If we undergo a fundamental change, as described in the Indenture, subject to certain conditions, holders may require us to repurchase for cash all or any portion of their Convertible Notes. The repurchase price as a result of a fundamental change is equal to 100 percent of the principal amount of the Convertible Notes to be repurchased, plus accrued and unpaid interest to, but excluding, the repurchase date. If certain fundamental changes referred to in the Indenture as make-whole fundamental changes occur, the conversion rate applicable to the Convertible Notes may increase.</w:t>
      </w:r>
    </w:p>
    <w:p>
      <w:pPr>
        <w:spacing w:after="0" w:line="6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Convertible Notes are our general senior unsecured obligations, ranking senior in right of payment to any future debt that is expressly subordinated in right of payment to the Convertible Notes and equally in right of payment with all of our existing and future liabilities that are not so subordinated. The Convertible Notes are effectively subordinated to all of our existing and future secured debt to the extent of the value of the assets securing such debt. The Convertible Notes are structurally subordinated to all of the existing and future liabilities and obligations of our subsidiaries. The Convertible Notes are not guaranteed by any of our subsidiaries.</w:t>
      </w:r>
    </w:p>
    <w:p>
      <w:pPr>
        <w:spacing w:after="0" w:line="80"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There are no financial or operating covenants related to the Convertible Notes. The Indenture contains customary events of default with respect to the Convertible Notes and provides that upon the occurrence and continuation of certain events of default, the Trustee or the holders of at least 25 percent in aggregate principal amount of the Convertible Notes then outstanding, may declare all principal of, and accrued and any unpaid interest on, the Convertible Notes then outstanding to be immediately due and payable. In case of certain events of bankruptcy or insolvency involving the Company or certain of its subsidiaries, all of the principal of and accrued and unpaid interest on the Convertible Notes will automatically become immediately due and payable.</w:t>
      </w:r>
    </w:p>
    <w:p>
      <w:pPr>
        <w:spacing w:after="0" w:line="50"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In accounting for the issuance of the Convertible Notes, we separated the Convertible Notes into liability and equity components. We allocated $196.8 million of the Convertible Notes to the liability component, and $33.2 million to the equity component. The excess of the principal amount of the liability component over its carrying amount is amortized to interest expense over the term of the Convertible Notes using the effective interest method. The equity component will not be remeasured as long as it continues to meet the conditions for equity classification.</w:t>
      </w:r>
    </w:p>
    <w:p>
      <w:pPr>
        <w:spacing w:after="0" w:line="63"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We incurred issuance costs of $7.3 million related to the Convertible Notes. Issuance costs were allocated to the liability and equity components based on their relative values. Issuance costs attributable to the liability component are being amortized to interest expense over the term of the Convertible Notes, and issuance costs attributable to the equity component are included along with the equity component in stockholders' equity.</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net carrying value of the Convertible Notes at September 30, 2017:</w:t>
      </w:r>
    </w:p>
    <w:p>
      <w:pPr>
        <w:spacing w:after="0" w:line="234" w:lineRule="exact"/>
        <w:rPr>
          <w:sz w:val="20"/>
          <w:szCs w:val="20"/>
          <w:color w:val="auto"/>
        </w:rPr>
      </w:pPr>
    </w:p>
    <w:p>
      <w:pPr>
        <w:ind w:left="2420"/>
        <w:spacing w:after="0"/>
        <w:rPr>
          <w:sz w:val="20"/>
          <w:szCs w:val="20"/>
          <w:color w:val="auto"/>
        </w:rPr>
      </w:pPr>
      <w:r>
        <w:rPr>
          <w:rFonts w:ascii="Arial" w:cs="Arial" w:eastAsia="Arial" w:hAnsi="Arial"/>
          <w:sz w:val="14"/>
          <w:szCs w:val="14"/>
          <w:i w:val="1"/>
          <w:i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20955</wp:posOffset>
            </wp:positionV>
            <wp:extent cx="42195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19575" cy="171450"/>
                    </a:xfrm>
                    <a:prstGeom prst="rect">
                      <a:avLst/>
                    </a:prstGeom>
                    <a:noFill/>
                  </pic:spPr>
                </pic:pic>
              </a:graphicData>
            </a:graphic>
          </wp:anchor>
        </w:drawing>
      </w:r>
    </w:p>
    <w:p>
      <w:pPr>
        <w:spacing w:after="0" w:line="26"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Liability component</w:t>
      </w:r>
    </w:p>
    <w:p>
      <w:pPr>
        <w:spacing w:after="0" w:line="63" w:lineRule="exact"/>
        <w:rPr>
          <w:sz w:val="20"/>
          <w:szCs w:val="20"/>
          <w:color w:val="auto"/>
        </w:rPr>
      </w:pPr>
    </w:p>
    <w:tbl>
      <w:tblPr>
        <w:tblLayout w:type="fixed"/>
        <w:tblInd w:w="2400" w:type="dxa"/>
        <w:tblCellMar>
          <w:top w:w="0" w:type="dxa"/>
          <w:left w:w="0" w:type="dxa"/>
          <w:bottom w:w="0" w:type="dxa"/>
          <w:right w:w="0" w:type="dxa"/>
        </w:tblCellMar>
      </w:tblPr>
      <w:tr>
        <w:trPr>
          <w:trHeight w:val="230"/>
        </w:trPr>
        <w:tc>
          <w:tcPr>
            <w:tcW w:w="3060" w:type="dxa"/>
            <w:vAlign w:val="bottom"/>
          </w:tcPr>
          <w:p>
            <w:pPr>
              <w:ind w:left="260"/>
              <w:spacing w:after="0"/>
              <w:rPr>
                <w:sz w:val="20"/>
                <w:szCs w:val="20"/>
                <w:color w:val="auto"/>
              </w:rPr>
            </w:pPr>
            <w:r>
              <w:rPr>
                <w:rFonts w:ascii="Arial" w:cs="Arial" w:eastAsia="Arial" w:hAnsi="Arial"/>
                <w:sz w:val="18"/>
                <w:szCs w:val="18"/>
                <w:color w:val="auto"/>
              </w:rPr>
              <w:t>Principal amount</w:t>
            </w:r>
          </w:p>
        </w:tc>
        <w:tc>
          <w:tcPr>
            <w:tcW w:w="2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230,000</w:t>
            </w:r>
          </w:p>
        </w:tc>
      </w:tr>
      <w:tr>
        <w:trPr>
          <w:trHeight w:val="27"/>
        </w:trPr>
        <w:tc>
          <w:tcPr>
            <w:tcW w:w="3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Unamortized debt discount</w:t>
            </w:r>
          </w:p>
        </w:tc>
        <w:tc>
          <w:tcPr>
            <w:tcW w:w="2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(33,076)</w:t>
            </w:r>
          </w:p>
        </w:tc>
      </w:tr>
      <w:tr>
        <w:trPr>
          <w:trHeight w:val="243"/>
        </w:trPr>
        <w:tc>
          <w:tcPr>
            <w:tcW w:w="3060" w:type="dxa"/>
            <w:vAlign w:val="bottom"/>
          </w:tcPr>
          <w:p>
            <w:pPr>
              <w:ind w:left="260"/>
              <w:spacing w:after="0"/>
              <w:rPr>
                <w:sz w:val="20"/>
                <w:szCs w:val="20"/>
                <w:color w:val="auto"/>
              </w:rPr>
            </w:pPr>
            <w:r>
              <w:rPr>
                <w:rFonts w:ascii="Arial" w:cs="Arial" w:eastAsia="Arial" w:hAnsi="Arial"/>
                <w:sz w:val="18"/>
                <w:szCs w:val="18"/>
                <w:color w:val="auto"/>
              </w:rPr>
              <w:t>Unamortized debt issuance costs</w:t>
            </w:r>
          </w:p>
        </w:tc>
        <w:tc>
          <w:tcPr>
            <w:tcW w:w="2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(6,185)</w:t>
            </w:r>
          </w:p>
        </w:tc>
      </w:tr>
      <w:tr>
        <w:trPr>
          <w:trHeight w:val="27"/>
        </w:trPr>
        <w:tc>
          <w:tcPr>
            <w:tcW w:w="306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3060" w:type="dxa"/>
            <w:vAlign w:val="bottom"/>
            <w:tcBorders>
              <w:bottom w:val="single" w:sz="8" w:color="CCEEFF"/>
            </w:tcBorders>
            <w:shd w:val="clear" w:color="auto" w:fill="CCEEFF"/>
          </w:tcPr>
          <w:p>
            <w:pPr>
              <w:spacing w:after="0"/>
              <w:rPr>
                <w:sz w:val="22"/>
                <w:szCs w:val="22"/>
                <w:color w:val="auto"/>
              </w:rPr>
            </w:pPr>
          </w:p>
        </w:tc>
        <w:tc>
          <w:tcPr>
            <w:tcW w:w="26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190,739</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30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Equity component, net of issuance costs</w:t>
            </w:r>
          </w:p>
        </w:tc>
        <w:tc>
          <w:tcPr>
            <w:tcW w:w="26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32,573</w:t>
            </w:r>
          </w:p>
        </w:tc>
      </w:tr>
      <w:tr>
        <w:trPr>
          <w:trHeight w:val="459"/>
        </w:trPr>
        <w:tc>
          <w:tcPr>
            <w:tcW w:w="3060" w:type="dxa"/>
            <w:vAlign w:val="bottom"/>
          </w:tcPr>
          <w:p>
            <w:pPr>
              <w:spacing w:after="0"/>
              <w:rPr>
                <w:sz w:val="24"/>
                <w:szCs w:val="24"/>
                <w:color w:val="auto"/>
              </w:rPr>
            </w:pPr>
          </w:p>
        </w:tc>
        <w:tc>
          <w:tcPr>
            <w:tcW w:w="2260" w:type="dxa"/>
            <w:vAlign w:val="bottom"/>
          </w:tcPr>
          <w:p>
            <w:pPr>
              <w:jc w:val="right"/>
              <w:ind w:right="1830"/>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total interest expense related to the Convertible Notes for the 2017 third quarter and the 2017 first three quarters:</w:t>
      </w:r>
    </w:p>
    <w:p>
      <w:pPr>
        <w:spacing w:after="0" w:line="257" w:lineRule="exact"/>
        <w:rPr>
          <w:sz w:val="20"/>
          <w:szCs w:val="20"/>
          <w:color w:val="auto"/>
        </w:rPr>
      </w:pPr>
    </w:p>
    <w:tbl>
      <w:tblPr>
        <w:tblLayout w:type="fixed"/>
        <w:tblInd w:w="2400" w:type="dxa"/>
        <w:tblCellMar>
          <w:top w:w="0" w:type="dxa"/>
          <w:left w:w="0" w:type="dxa"/>
          <w:bottom w:w="0" w:type="dxa"/>
          <w:right w:w="0" w:type="dxa"/>
        </w:tblCellMar>
      </w:tblPr>
      <w:tr>
        <w:trPr>
          <w:trHeight w:val="188"/>
        </w:trPr>
        <w:tc>
          <w:tcPr>
            <w:tcW w:w="536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56"/>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Amortization of debt discount</w:t>
            </w:r>
          </w:p>
        </w:tc>
        <w:tc>
          <w:tcPr>
            <w:tcW w:w="5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5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w:t>
            </w:r>
          </w:p>
        </w:tc>
        <w:tc>
          <w:tcPr>
            <w:tcW w:w="5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536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w:t>
            </w:r>
          </w:p>
        </w:tc>
      </w:tr>
      <w:tr>
        <w:trPr>
          <w:trHeight w:val="27"/>
        </w:trPr>
        <w:tc>
          <w:tcPr>
            <w:tcW w:w="53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5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 Hedges and Warrants</w:t>
      </w:r>
    </w:p>
    <w:p>
      <w:pPr>
        <w:spacing w:after="0" w:line="11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connection with the offering of the Convertible Notes, we entered into privately-negotiated convertible note hedge transactions with respect to our common stock with two counterparties on each of September 20, 2017 and September 21, 2017 (“Convertible Note Hedges”), covering a total of approximately 1.55 million shares of our common stock at a cost of $33.2 million. The Convertible Note Hedges are subject to anti-dilution provisions substantially similar to those of the Convertible Notes, have a strike price that initially corresponds to the initial conversion price of the Convertible Notes, are exercisable by us upon any conversion under the Convertible Notes, and expire when the Convertible Notes mature. The cost of the Convertible Note Hedges is expected to be tax deductible as an original issue discount over the life of the Convertible Notes, as the Convertible Notes and the Convertible Note Hedges represent an integrated debt instrument for tax purposes. The cost of the Convertible Note Hedges was recorded as a reduction of Additional paid-in capital on our Balance Sheet as of September 30, 2017.</w:t>
      </w:r>
    </w:p>
    <w:p>
      <w:pPr>
        <w:spacing w:after="0" w:line="7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Concurrently with the entry into the Convertible Note Hedges, we separately entered into privately-negotiated warrant transactions (the “Warrants”), whereby we sold to the counterparties to the Convertible Note Hedges warrants to acquire, collectively, subject to anti-dilution adjustments, approximately</w:t>
      </w:r>
    </w:p>
    <w:p>
      <w:pPr>
        <w:spacing w:after="0" w:line="269" w:lineRule="auto"/>
        <w:rPr>
          <w:sz w:val="20"/>
          <w:szCs w:val="20"/>
          <w:color w:val="auto"/>
        </w:rPr>
      </w:pPr>
      <w:r>
        <w:rPr>
          <w:rFonts w:ascii="Arial" w:cs="Arial" w:eastAsia="Arial" w:hAnsi="Arial"/>
          <w:sz w:val="17"/>
          <w:szCs w:val="17"/>
          <w:color w:val="auto"/>
        </w:rPr>
        <w:t>1.55 million shares of our common stock at an initial strike price of $176.68 per share. We received aggregate proceeds of approximately $20.3 million from the sale of the Warrants to the counterparties. Taken together, the Convertible Note Hedges and the Warrants are generally expected to reduce the potential dilution to our common stock (or, in the event the conversion of the Convertible Notes is settled in cash, to reduce our cash payment obligation) in the event that at the time of conversion our stock price exceeds the conversion price under the Convertible Notes and to effectively increase the overall conversion price from $148.19 (or a conversion premium of 30 percent) to $176.68 per share (or a conversion premium of 55 percent). The Warrants will expire in ratable portions on a series of expiration dates commencing on December 15, 2022. The proceeds from the issuance of the Warrants were recorded as an increase to Additional paid-in capital on our Balance Sheet as of September 30, 2017.</w:t>
      </w:r>
    </w:p>
    <w:p>
      <w:pPr>
        <w:spacing w:after="0" w:line="73"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The Convertible Notes, the Convertible Note Hedges and the Warrants are transactions that are separate from each other. Holders of any such instrument have no rights with respect to the other instruments. As of September 30, 2017, no Convertible Note Hedges or Warrants have been exercised.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Corporate Credit Facility</w:t>
      </w:r>
    </w:p>
    <w:p>
      <w:pPr>
        <w:spacing w:after="0" w:line="11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During the 2017 third quarter, we terminated our $200.0 million revolving credit facility (the “Previous Revolving Corporate Credit Facility”) and entered into a new Revolving Corporate Credit Facility with a borrowing capacity of $250.0 million, including a letter of credit sub-facility of $30.0 million, that terminates on August 16, 2022. All outstanding cash borrowings under our Previous Revolving Corporate Credit Facility were repaid in full prior to termination. The Revolving Corporate Credit Facility will provide support for our business, including ongoing liquidity and letters of credit. Borrowings under this facility generally bear interest at a floating rate plus an applicable margin that varies from 0.50 percent to 2.75 percent depending on the type of loan and our credit rating. In addition, we pay a commitment fee on the unused availability under the Revolving Corporate Credit Facility at a rate that varies from 20 basis points per annum to 40 basis points per annum, also depending on our credit rating.</w:t>
      </w:r>
    </w:p>
    <w:p>
      <w:pPr>
        <w:spacing w:after="0" w:line="7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No cash borrowings were outstanding as of September 30, 2017 under our Revolving Corporate Credit Facility. Any amounts borrowed under that facility, as well as obligations with respect to letters of credit issued pursuant to that facility, are secured by a perfected first priority security interest in substantially all of the assets of the borrower under, and guarantors of, that facility (which include Marriott Vacations Worldwide and each of our direct and indirect, existing and future, domestic subsidiaries, excluding certain bankruptcy remote special purpose subsidiaries), in each case including inventory, subject to certain exceptions. As of September 30, 2017, we were in compliance with the applicable financial and operating covenants under the Revolving Credit Facility.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Facility</w:t>
      </w:r>
    </w:p>
    <w:p>
      <w:pPr>
        <w:spacing w:after="0" w:line="117"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Warehouse Credit Facility, which has a borrowing capacity of $250.0 million, allows for the securitization of vacation ownership notes receivable on a non-recourse basis. During the 2017 third quarter, we amended certain agreements associated with this facility (the “Warehouse Amendment”). The Warehouse Amendment requires us to comply with the financial covenants in the Revolving Corporate Credit Facility and eliminates the requirement to comply with the covenants contained in the Previous Revolving Corporate Credit Facility. The Warehouse Amendment did not modify the borrowing capacity or the term of the Warehouse Credit Facility. The Warehouse Credit Facility terminates on March 7, 2019 and if not renewed, any amounts outstanding thereunder would become due and payable 13 months after termination, at which time all principal and interest collected with respect to the vacation ownership notes receivable held in the Warehouse Credit Facility would be redirected to the lenders to pay down the outstanding debt under the facility. The advance rate for vacation ownership notes receivable securitized using the Warehouse Credit Facility varies based on the characteristics of the securitized vacation ownership notes receivable. We also pay unused facility and other fees under the Warehouse Credit Facility.</w:t>
      </w:r>
    </w:p>
    <w:p>
      <w:pPr>
        <w:spacing w:after="0" w:line="59"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During the 2017 second quarter, we securitized vacation ownership notes receivable under our Warehouse Credit Facility. The carrying amount of the vacation ownership notes receivable securitized was $59.1 million. The advance rate was 85 percent, which resulted in gross proceeds of $50.3 million. Net proceeds were $50.0 million due to the funding of reserve accounts in the amount of $0.3 million.</w:t>
      </w:r>
    </w:p>
    <w:p>
      <w:pPr>
        <w:spacing w:after="0" w:line="73"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As of September 30, 2017, there were no cash borrowings outstanding under our Warehouse Credit Facility. We generally expect to securitize our vacation ownership notes receivable, including any vacation ownership notes receivable held in the Warehouse Credit Facility, in the ABS market once per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Bearing Note Payable</w:t>
      </w:r>
    </w:p>
    <w:p>
      <w:pPr>
        <w:spacing w:after="0" w:line="117"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During the 2017 second quarter, we issued a non-interest bearing note payable in connection with the acquisition of vacation ownership units located on the Big Island of Hawaii. See Footnote No. 5, “Acquisitions and Dispositions,” for additional information regarding this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SHAREHOLDERS’ EQUITY</w:t>
      </w:r>
    </w:p>
    <w:p>
      <w:pPr>
        <w:spacing w:after="0" w:line="12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Marriott Vacations Worldwide has 100,000,000 authorized shares of common stock, par value of $0.01 per share. At September 30, 2017, there were 36,857,186 shares of Marriott Vacations Worldwide common stock issued, of which 26,494,047 shares were outstanding and 10,363,139 shares were held as treasury stock. At December 30, 2016, there were 36,633,868 shares of Marriott Vacations Worldwide common stock issued, of which 26,990,306 shares were outstanding and 9,643,562 shares were held as treasury stock. Marriott Vacations Worldwide has 2,000,000 authorized shares of preferred stock, par value of $0.01 per share, none of which were issued or outstanding as of September 30, 2017 or December 30, 2016.</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changes in shareholders’ equity during three quarters ended September 30,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Treasury</w:t>
            </w:r>
          </w:p>
        </w:tc>
        <w:tc>
          <w:tcPr>
            <w:tcW w:w="20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Retained</w:t>
            </w:r>
          </w:p>
        </w:tc>
        <w:tc>
          <w:tcPr>
            <w:tcW w:w="260" w:type="dxa"/>
            <w:vAlign w:val="bottom"/>
          </w:tcPr>
          <w:p>
            <w:pPr>
              <w:spacing w:after="0"/>
              <w:rPr>
                <w:sz w:val="17"/>
                <w:szCs w:val="17"/>
                <w:color w:val="auto"/>
              </w:rPr>
            </w:pPr>
          </w:p>
        </w:tc>
        <w:tc>
          <w:tcPr>
            <w:tcW w:w="100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237"/>
        </w:trPr>
        <w:tc>
          <w:tcPr>
            <w:tcW w:w="36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Stock</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Stock</w:t>
            </w:r>
          </w:p>
        </w:tc>
        <w:tc>
          <w:tcPr>
            <w:tcW w:w="20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Income</w:t>
            </w:r>
          </w:p>
        </w:tc>
        <w:tc>
          <w:tcPr>
            <w:tcW w:w="16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260" w:type="dxa"/>
            <w:vAlign w:val="bottom"/>
          </w:tcPr>
          <w:p>
            <w:pPr>
              <w:spacing w:after="0"/>
              <w:rPr>
                <w:sz w:val="20"/>
                <w:szCs w:val="20"/>
                <w:color w:val="auto"/>
              </w:rPr>
            </w:pPr>
          </w:p>
        </w:tc>
        <w:tc>
          <w:tcPr>
            <w:tcW w:w="1000" w:type="dxa"/>
            <w:vAlign w:val="bottom"/>
          </w:tcPr>
          <w:p>
            <w:pPr>
              <w:jc w:val="right"/>
              <w:ind w:right="311"/>
              <w:spacing w:after="0"/>
              <w:rPr>
                <w:sz w:val="20"/>
                <w:szCs w:val="20"/>
                <w:color w:val="auto"/>
              </w:rPr>
            </w:pPr>
            <w:r>
              <w:rPr>
                <w:rFonts w:ascii="Arial" w:cs="Arial" w:eastAsia="Arial" w:hAnsi="Arial"/>
                <w:sz w:val="16"/>
                <w:szCs w:val="16"/>
                <w:b w:val="1"/>
                <w:bCs w:val="1"/>
                <w:color w:val="auto"/>
              </w:rPr>
              <w:t>Equity</w:t>
            </w: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30, 2016</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(606,631)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1,162,283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346,341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907,819</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Impact of adoption of ASU 2016-09</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Opening balance 2017</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(606,631)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1,162,654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345,970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907,819</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118,738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118,738</w:t>
            </w: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11,626</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Derivative instrument adjustment</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70</w:t>
            </w: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Amounts related to 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1,936</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(83,067)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(83,067)</w:t>
            </w: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(28,512)</w:t>
            </w:r>
          </w:p>
        </w:tc>
      </w:tr>
      <w:tr>
        <w:trPr>
          <w:trHeight w:val="229"/>
        </w:trPr>
        <w:tc>
          <w:tcPr>
            <w:tcW w:w="3660" w:type="dxa"/>
            <w:vAlign w:val="bottom"/>
          </w:tcPr>
          <w:p>
            <w:pPr>
              <w:ind w:left="40"/>
              <w:spacing w:after="0"/>
              <w:rPr>
                <w:sz w:val="20"/>
                <w:szCs w:val="20"/>
                <w:color w:val="auto"/>
              </w:rPr>
            </w:pPr>
            <w:r>
              <w:rPr>
                <w:rFonts w:ascii="Arial" w:cs="Arial" w:eastAsia="Arial" w:hAnsi="Arial"/>
                <w:sz w:val="18"/>
                <w:szCs w:val="18"/>
                <w:color w:val="auto"/>
                <w:w w:val="99"/>
              </w:rPr>
              <w:t>Equity component of convertible notes, net of</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3660" w:type="dxa"/>
            <w:vAlign w:val="bottom"/>
          </w:tcPr>
          <w:p>
            <w:pPr>
              <w:ind w:left="40"/>
              <w:spacing w:after="0"/>
              <w:rPr>
                <w:sz w:val="20"/>
                <w:szCs w:val="20"/>
                <w:color w:val="auto"/>
              </w:rPr>
            </w:pPr>
            <w:r>
              <w:rPr>
                <w:rFonts w:ascii="Arial" w:cs="Arial" w:eastAsia="Arial" w:hAnsi="Arial"/>
                <w:sz w:val="18"/>
                <w:szCs w:val="18"/>
                <w:color w:val="auto"/>
              </w:rPr>
              <w:t>issuance costs</w:t>
            </w:r>
          </w:p>
        </w:tc>
        <w:tc>
          <w:tcPr>
            <w:tcW w:w="1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32,573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32,573</w:t>
            </w: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convertible note hedges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(33,235)</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Issuance of warrants</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20,332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20,332</w:t>
            </w: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stock plan issuance</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w:t>
            </w:r>
          </w:p>
        </w:tc>
      </w:tr>
      <w:tr>
        <w:trPr>
          <w:trHeight w:val="257"/>
        </w:trPr>
        <w:tc>
          <w:tcPr>
            <w:tcW w:w="3660" w:type="dxa"/>
            <w:vAlign w:val="bottom"/>
          </w:tcPr>
          <w:p>
            <w:pPr>
              <w:ind w:left="40"/>
              <w:spacing w:after="0"/>
              <w:rPr>
                <w:sz w:val="20"/>
                <w:szCs w:val="20"/>
                <w:color w:val="auto"/>
              </w:rPr>
            </w:pPr>
            <w:r>
              <w:rPr>
                <w:rFonts w:ascii="Arial" w:cs="Arial" w:eastAsia="Arial" w:hAnsi="Arial"/>
                <w:sz w:val="18"/>
                <w:szCs w:val="18"/>
                <w:color w:val="auto"/>
              </w:rPr>
              <w:t>Balance at September 30, 2017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(689,134)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1,184,635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17,156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436,196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949,222</w:t>
            </w:r>
          </w:p>
        </w:tc>
      </w:tr>
      <w:tr>
        <w:trPr>
          <w:trHeight w:val="20"/>
        </w:trPr>
        <w:tc>
          <w:tcPr>
            <w:tcW w:w="3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46"/>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Number of Shares</w:t>
            </w:r>
          </w:p>
        </w:tc>
        <w:tc>
          <w:tcPr>
            <w:tcW w:w="20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Cost of Shares</w:t>
            </w:r>
          </w:p>
        </w:tc>
        <w:tc>
          <w:tcPr>
            <w:tcW w:w="120" w:type="dxa"/>
            <w:vAlign w:val="bottom"/>
          </w:tcPr>
          <w:p>
            <w:pPr>
              <w:spacing w:after="0"/>
              <w:rPr>
                <w:sz w:val="17"/>
                <w:szCs w:val="17"/>
                <w:color w:val="auto"/>
              </w:rPr>
            </w:pPr>
          </w:p>
        </w:tc>
        <w:tc>
          <w:tcPr>
            <w:tcW w:w="1460" w:type="dxa"/>
            <w:vAlign w:val="bottom"/>
          </w:tcPr>
          <w:p>
            <w:pPr>
              <w:jc w:val="right"/>
              <w:ind w:right="54"/>
              <w:spacing w:after="0"/>
              <w:rPr>
                <w:sz w:val="20"/>
                <w:szCs w:val="20"/>
                <w:color w:val="auto"/>
              </w:rPr>
            </w:pPr>
            <w:r>
              <w:rPr>
                <w:rFonts w:ascii="Arial" w:cs="Arial" w:eastAsia="Arial" w:hAnsi="Arial"/>
                <w:sz w:val="16"/>
                <w:szCs w:val="16"/>
                <w:b w:val="1"/>
                <w:bCs w:val="1"/>
                <w:color w:val="auto"/>
                <w:w w:val="89"/>
              </w:rPr>
              <w:t>Average Price Paid</w:t>
            </w:r>
          </w:p>
        </w:tc>
      </w:tr>
      <w:tr>
        <w:trPr>
          <w:trHeight w:val="237"/>
        </w:trPr>
        <w:tc>
          <w:tcPr>
            <w:tcW w:w="6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 except per share amounts)</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Repurchased</w:t>
            </w:r>
          </w:p>
        </w:tc>
        <w:tc>
          <w:tcPr>
            <w:tcW w:w="20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Repurchased</w:t>
            </w:r>
          </w:p>
        </w:tc>
        <w:tc>
          <w:tcPr>
            <w:tcW w:w="120" w:type="dxa"/>
            <w:vAlign w:val="bottom"/>
          </w:tcPr>
          <w:p>
            <w:pPr>
              <w:spacing w:after="0"/>
              <w:rPr>
                <w:sz w:val="20"/>
                <w:szCs w:val="20"/>
                <w:color w:val="auto"/>
              </w:rPr>
            </w:pPr>
          </w:p>
        </w:tc>
        <w:tc>
          <w:tcPr>
            <w:tcW w:w="1460" w:type="dxa"/>
            <w:vAlign w:val="bottom"/>
          </w:tcPr>
          <w:p>
            <w:pPr>
              <w:jc w:val="right"/>
              <w:ind w:right="374"/>
              <w:spacing w:after="0"/>
              <w:rPr>
                <w:sz w:val="20"/>
                <w:szCs w:val="20"/>
                <w:color w:val="auto"/>
              </w:rPr>
            </w:pPr>
            <w:r>
              <w:rPr>
                <w:rFonts w:ascii="Arial" w:cs="Arial" w:eastAsia="Arial" w:hAnsi="Arial"/>
                <w:sz w:val="16"/>
                <w:szCs w:val="16"/>
                <w:b w:val="1"/>
                <w:bCs w:val="1"/>
                <w:color w:val="auto"/>
              </w:rPr>
              <w:t>per Share</w:t>
            </w:r>
          </w:p>
        </w:tc>
      </w:tr>
      <w:tr>
        <w:trPr>
          <w:trHeight w:val="250"/>
        </w:trPr>
        <w:tc>
          <w:tcPr>
            <w:tcW w:w="6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30, 2016</w:t>
            </w: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9,672,629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608,439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62.90</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For the 2017 first three quarters</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728,385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83,067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114.04</w:t>
            </w:r>
          </w:p>
        </w:tc>
      </w:tr>
      <w:tr>
        <w:trPr>
          <w:trHeight w:val="27"/>
        </w:trPr>
        <w:tc>
          <w:tcPr>
            <w:tcW w:w="63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2017</w:t>
            </w:r>
          </w:p>
        </w:tc>
        <w:tc>
          <w:tcPr>
            <w:tcW w:w="1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10,401,014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691,506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66.48</w:t>
            </w:r>
          </w:p>
        </w:tc>
      </w:tr>
      <w:tr>
        <w:trPr>
          <w:trHeight w:val="20"/>
        </w:trPr>
        <w:tc>
          <w:tcPr>
            <w:tcW w:w="6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August 1, 2017, our Board of Directors authorized the repurchase of up to 1.0 million additional shares of our common stock under our existing share repurchase program and extended the duration of the program through May 31, 2018. As of September 30, 2017, our Board of Directors had authorized the repurchase of an aggregate of up to 11.9 million shares of our common stock under the share repurchase program since the initiation of the program in October 2013. Share repurchases may be made through open market purchases, privately negotiated transactions, block transactions, tender offers, accelerated share repurchase agreements or otherwise. The specific timing, amount and other terms of the repurchases will depend on market conditions, corporate and regulatory requirements and other factors. Acquired shares of our common stock are held as treasury shares carried at cost in our Financial Statements. In connection with the repurchase program, we are authorized to adopt one or more trading plans pursuant to the provisions of Rule 10b5-1 under the Securities Exchange Act of 1934, as amended.</w:t>
      </w:r>
    </w:p>
    <w:p>
      <w:pPr>
        <w:spacing w:after="0" w:line="71"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As of September 30, 2017, 1.5 million shares remained available for repurchase under the authorization approved by our Board of Directors. The authorization for the share repurchase program may be suspended, terminated, increased or decreased by our Board of Directors at any time without prior notice.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declared cash dividends to holders of common stock during the 2017 first three quarters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Declaration Date</w:t>
            </w:r>
          </w:p>
        </w:tc>
        <w:tc>
          <w:tcPr>
            <w:tcW w:w="28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Shareholder Record Date</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Distribution Date</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91"/>
              </w:rPr>
              <w:t>Dividend per Share</w:t>
            </w:r>
          </w:p>
        </w:tc>
      </w:tr>
      <w:tr>
        <w:trPr>
          <w:trHeight w:val="33"/>
        </w:trPr>
        <w:tc>
          <w:tcPr>
            <w:tcW w:w="2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February 9, 2017</w:t>
            </w:r>
          </w:p>
        </w:tc>
        <w:tc>
          <w:tcPr>
            <w:tcW w:w="28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February 23, 2017</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March 9, 2017</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$0.35</w:t>
            </w:r>
          </w:p>
        </w:tc>
      </w:tr>
      <w:tr>
        <w:trPr>
          <w:trHeight w:val="243"/>
        </w:trPr>
        <w:tc>
          <w:tcPr>
            <w:tcW w:w="1560" w:type="dxa"/>
            <w:vAlign w:val="bottom"/>
          </w:tcPr>
          <w:p>
            <w:pPr>
              <w:jc w:val="right"/>
              <w:spacing w:after="0"/>
              <w:rPr>
                <w:sz w:val="20"/>
                <w:szCs w:val="20"/>
                <w:color w:val="auto"/>
              </w:rPr>
            </w:pPr>
            <w:r>
              <w:rPr>
                <w:rFonts w:ascii="Arial" w:cs="Arial" w:eastAsia="Arial" w:hAnsi="Arial"/>
                <w:sz w:val="18"/>
                <w:szCs w:val="18"/>
                <w:color w:val="auto"/>
              </w:rPr>
              <w:t>May 11,</w:t>
            </w:r>
          </w:p>
        </w:tc>
        <w:tc>
          <w:tcPr>
            <w:tcW w:w="1320" w:type="dxa"/>
            <w:vAlign w:val="bottom"/>
          </w:tcPr>
          <w:p>
            <w:pPr>
              <w:ind w:left="2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May 25, 2017</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June 8, 2017</w:t>
            </w:r>
          </w:p>
        </w:tc>
        <w:tc>
          <w:tcPr>
            <w:tcW w:w="2720" w:type="dxa"/>
            <w:vAlign w:val="bottom"/>
          </w:tcPr>
          <w:p>
            <w:pPr>
              <w:jc w:val="center"/>
              <w:spacing w:after="0"/>
              <w:rPr>
                <w:sz w:val="20"/>
                <w:szCs w:val="20"/>
                <w:color w:val="auto"/>
              </w:rPr>
            </w:pPr>
            <w:r>
              <w:rPr>
                <w:rFonts w:ascii="Arial" w:cs="Arial" w:eastAsia="Arial" w:hAnsi="Arial"/>
                <w:sz w:val="18"/>
                <w:szCs w:val="18"/>
                <w:color w:val="auto"/>
                <w:w w:val="88"/>
              </w:rPr>
              <w:t>$0.35</w:t>
            </w:r>
          </w:p>
        </w:tc>
      </w:tr>
      <w:tr>
        <w:trPr>
          <w:trHeight w:val="27"/>
        </w:trPr>
        <w:tc>
          <w:tcPr>
            <w:tcW w:w="1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43"/>
        </w:trPr>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w:t>
            </w:r>
          </w:p>
        </w:tc>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7, 2017</w:t>
            </w:r>
          </w:p>
        </w:tc>
        <w:tc>
          <w:tcPr>
            <w:tcW w:w="120" w:type="dxa"/>
            <w:vAlign w:val="bottom"/>
            <w:shd w:val="clear" w:color="auto" w:fill="CCEEFF"/>
          </w:tcPr>
          <w:p>
            <w:pPr>
              <w:spacing w:after="0"/>
              <w:rPr>
                <w:sz w:val="21"/>
                <w:szCs w:val="21"/>
                <w:color w:val="auto"/>
              </w:rPr>
            </w:pPr>
          </w:p>
        </w:tc>
        <w:tc>
          <w:tcPr>
            <w:tcW w:w="2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September 21, 2017</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October 5, 2017</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$0.35</w:t>
            </w:r>
          </w:p>
        </w:tc>
      </w:tr>
      <w:tr>
        <w:trPr>
          <w:trHeight w:val="27"/>
        </w:trPr>
        <w:tc>
          <w:tcPr>
            <w:tcW w:w="15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future dividend payments will be subject to Board approval, and there can be no assurance that we will pay dividends in the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12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maintain the Marriott Vacations Worldwide Corporation Stock and Cash Incentive Plan (the “Stock Plan”) for the benefit of our officers, directors and employees. Under the Stock Plan, we award: (1) restricted stock units (“RSUs”) of our common stock, (2) SARs and (3) stock options to purchase our common stock. A total of 6 million shares are authorized for issuance pursuant to grants under the Stock Plan. As of September 30, 2017, 1.4 million shares were available for grants under the Stock Plan.</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details our share-based compensation expense related to award grants to our officers, directors and employees for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5"/>
          </w:tcPr>
          <w:p>
            <w:pPr>
              <w:ind w:left="1280"/>
              <w:spacing w:after="0"/>
              <w:rPr>
                <w:sz w:val="20"/>
                <w:szCs w:val="20"/>
                <w:color w:val="auto"/>
              </w:rPr>
            </w:pPr>
            <w:r>
              <w:rPr>
                <w:rFonts w:ascii="Arial" w:cs="Arial" w:eastAsia="Arial" w:hAnsi="Arial"/>
                <w:sz w:val="16"/>
                <w:szCs w:val="16"/>
                <w:b w:val="1"/>
                <w:bCs w:val="1"/>
                <w:color w:val="auto"/>
              </w:rPr>
              <w:t>Quarter Ended</w:t>
            </w:r>
          </w:p>
        </w:tc>
        <w:tc>
          <w:tcPr>
            <w:tcW w:w="220" w:type="dxa"/>
            <w:vAlign w:val="bottom"/>
          </w:tcPr>
          <w:p>
            <w:pPr>
              <w:spacing w:after="0"/>
              <w:rPr>
                <w:sz w:val="18"/>
                <w:szCs w:val="18"/>
                <w:color w:val="auto"/>
              </w:rPr>
            </w:pPr>
          </w:p>
        </w:tc>
        <w:tc>
          <w:tcPr>
            <w:tcW w:w="3760" w:type="dxa"/>
            <w:vAlign w:val="bottom"/>
            <w:gridSpan w:val="4"/>
          </w:tcPr>
          <w:p>
            <w:pPr>
              <w:jc w:val="right"/>
              <w:ind w:right="1213"/>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September 30, 2017</w:t>
            </w:r>
          </w:p>
        </w:tc>
        <w:tc>
          <w:tcPr>
            <w:tcW w:w="160" w:type="dxa"/>
            <w:vAlign w:val="bottom"/>
          </w:tcPr>
          <w:p>
            <w:pPr>
              <w:spacing w:after="0"/>
              <w:rPr>
                <w:sz w:val="20"/>
                <w:szCs w:val="20"/>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September 9, 2016</w:t>
            </w:r>
          </w:p>
        </w:tc>
        <w:tc>
          <w:tcPr>
            <w:tcW w:w="220" w:type="dxa"/>
            <w:vAlign w:val="bottom"/>
          </w:tcPr>
          <w:p>
            <w:pPr>
              <w:spacing w:after="0"/>
              <w:rPr>
                <w:sz w:val="20"/>
                <w:szCs w:val="20"/>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September 30, 2017</w:t>
            </w:r>
          </w:p>
        </w:tc>
        <w:tc>
          <w:tcPr>
            <w:tcW w:w="240" w:type="dxa"/>
            <w:vAlign w:val="bottom"/>
          </w:tcPr>
          <w:p>
            <w:pPr>
              <w:spacing w:after="0"/>
              <w:rPr>
                <w:sz w:val="20"/>
                <w:szCs w:val="20"/>
                <w:color w:val="auto"/>
              </w:rPr>
            </w:pPr>
          </w:p>
        </w:tc>
        <w:tc>
          <w:tcPr>
            <w:tcW w:w="1700" w:type="dxa"/>
            <w:vAlign w:val="bottom"/>
          </w:tcPr>
          <w:p>
            <w:pPr>
              <w:jc w:val="right"/>
              <w:ind w:right="233"/>
              <w:spacing w:after="0"/>
              <w:rPr>
                <w:sz w:val="20"/>
                <w:szCs w:val="20"/>
                <w:color w:val="auto"/>
              </w:rPr>
            </w:pPr>
            <w:r>
              <w:rPr>
                <w:rFonts w:ascii="Arial" w:cs="Arial" w:eastAsia="Arial" w:hAnsi="Arial"/>
                <w:sz w:val="16"/>
                <w:szCs w:val="16"/>
                <w:b w:val="1"/>
                <w:bCs w:val="1"/>
                <w:color w:val="auto"/>
                <w:w w:val="96"/>
              </w:rPr>
              <w:t>September 9, 2016</w:t>
            </w:r>
          </w:p>
        </w:tc>
      </w:tr>
      <w:tr>
        <w:trPr>
          <w:trHeight w:val="297"/>
        </w:trPr>
        <w:tc>
          <w:tcPr>
            <w:tcW w:w="3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4"/>
                <w:szCs w:val="24"/>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(92 days)</w:t>
            </w:r>
          </w:p>
        </w:tc>
        <w:tc>
          <w:tcPr>
            <w:tcW w:w="160" w:type="dxa"/>
            <w:vAlign w:val="bottom"/>
          </w:tcPr>
          <w:p>
            <w:pPr>
              <w:spacing w:after="0"/>
              <w:rPr>
                <w:sz w:val="24"/>
                <w:szCs w:val="24"/>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(84 days)</w:t>
            </w:r>
          </w:p>
        </w:tc>
        <w:tc>
          <w:tcPr>
            <w:tcW w:w="220" w:type="dxa"/>
            <w:vAlign w:val="bottom"/>
          </w:tcPr>
          <w:p>
            <w:pPr>
              <w:spacing w:after="0"/>
              <w:rPr>
                <w:sz w:val="24"/>
                <w:szCs w:val="2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(274 days)</w:t>
            </w:r>
          </w:p>
        </w:tc>
        <w:tc>
          <w:tcPr>
            <w:tcW w:w="240" w:type="dxa"/>
            <w:vAlign w:val="bottom"/>
          </w:tcPr>
          <w:p>
            <w:pPr>
              <w:spacing w:after="0"/>
              <w:rPr>
                <w:sz w:val="24"/>
                <w:szCs w:val="24"/>
                <w:color w:val="auto"/>
              </w:rPr>
            </w:pPr>
          </w:p>
        </w:tc>
        <w:tc>
          <w:tcPr>
            <w:tcW w:w="1700" w:type="dxa"/>
            <w:vAlign w:val="bottom"/>
          </w:tcPr>
          <w:p>
            <w:pPr>
              <w:jc w:val="right"/>
              <w:ind w:right="573"/>
              <w:spacing w:after="0"/>
              <w:rPr>
                <w:sz w:val="20"/>
                <w:szCs w:val="20"/>
                <w:color w:val="auto"/>
              </w:rPr>
            </w:pPr>
            <w:r>
              <w:rPr>
                <w:rFonts w:ascii="Arial" w:cs="Arial" w:eastAsia="Arial" w:hAnsi="Arial"/>
                <w:sz w:val="14"/>
                <w:szCs w:val="14"/>
                <w:b w:val="1"/>
                <w:bCs w:val="1"/>
                <w:color w:val="auto"/>
              </w:rPr>
              <w:t>(252 days)</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Service based RSUs</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6,618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Performance based RSUs</w:t>
            </w:r>
          </w:p>
        </w:tc>
        <w:tc>
          <w:tcPr>
            <w:tcW w:w="200" w:type="dxa"/>
            <w:vAlign w:val="bottom"/>
          </w:tcPr>
          <w:p>
            <w:pPr>
              <w:spacing w:after="0"/>
              <w:rPr>
                <w:sz w:val="21"/>
                <w:szCs w:val="21"/>
                <w:color w:val="auto"/>
              </w:rPr>
            </w:pPr>
          </w:p>
        </w:tc>
        <w:tc>
          <w:tcPr>
            <w:tcW w:w="1760" w:type="dxa"/>
            <w:vAlign w:val="bottom"/>
          </w:tcPr>
          <w:p>
            <w:pPr>
              <w:jc w:val="right"/>
              <w:ind w:right="34"/>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2,775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2,003</w:t>
            </w: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8,621</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SARs</w:t>
            </w:r>
          </w:p>
        </w:tc>
        <w:tc>
          <w:tcPr>
            <w:tcW w:w="200" w:type="dxa"/>
            <w:vAlign w:val="bottom"/>
          </w:tcPr>
          <w:p>
            <w:pPr>
              <w:spacing w:after="0"/>
              <w:rPr>
                <w:sz w:val="21"/>
                <w:szCs w:val="21"/>
                <w:color w:val="auto"/>
              </w:rPr>
            </w:pPr>
          </w:p>
        </w:tc>
        <w:tc>
          <w:tcPr>
            <w:tcW w:w="1760" w:type="dxa"/>
            <w:vAlign w:val="bottom"/>
          </w:tcPr>
          <w:p>
            <w:pPr>
              <w:jc w:val="right"/>
              <w:ind w:right="34"/>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1,374</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Stock options</w:t>
            </w:r>
          </w:p>
        </w:tc>
        <w:tc>
          <w:tcPr>
            <w:tcW w:w="2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33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3,898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3,139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12,349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9,995</w:t>
            </w:r>
          </w:p>
        </w:tc>
      </w:tr>
      <w:tr>
        <w:trPr>
          <w:trHeight w:val="27"/>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440"/>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jc w:val="right"/>
              <w:ind w:right="1453"/>
              <w:spacing w:after="0"/>
              <w:rPr>
                <w:sz w:val="20"/>
                <w:szCs w:val="20"/>
                <w:color w:val="auto"/>
              </w:rPr>
            </w:pPr>
            <w:r>
              <w:rPr>
                <w:rFonts w:ascii="Arial" w:cs="Arial" w:eastAsia="Arial" w:hAnsi="Arial"/>
                <w:sz w:val="18"/>
                <w:szCs w:val="18"/>
                <w:color w:val="auto"/>
                <w:w w:val="99"/>
              </w:rPr>
              <w:t>24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our deferred compensation costs related to unvested awards: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Pr>
          <w:p>
            <w:pPr>
              <w:spacing w:after="0"/>
              <w:rPr>
                <w:sz w:val="20"/>
                <w:szCs w:val="20"/>
                <w:color w:val="auto"/>
              </w:rPr>
            </w:pPr>
          </w:p>
        </w:tc>
        <w:tc>
          <w:tcPr>
            <w:tcW w:w="2080" w:type="dxa"/>
            <w:vAlign w:val="bottom"/>
            <w:gridSpan w:val="2"/>
          </w:tcPr>
          <w:p>
            <w:pPr>
              <w:ind w:left="80"/>
              <w:spacing w:after="0"/>
              <w:rPr>
                <w:sz w:val="20"/>
                <w:szCs w:val="20"/>
                <w:color w:val="auto"/>
              </w:rPr>
            </w:pPr>
            <w:r>
              <w:rPr>
                <w:rFonts w:ascii="Arial" w:cs="Arial" w:eastAsia="Arial" w:hAnsi="Arial"/>
                <w:sz w:val="16"/>
                <w:szCs w:val="16"/>
                <w:b w:val="1"/>
                <w:bCs w:val="1"/>
                <w:color w:val="auto"/>
              </w:rPr>
              <w:t>At September 30, 2017</w:t>
            </w:r>
          </w:p>
        </w:tc>
        <w:tc>
          <w:tcPr>
            <w:tcW w:w="220" w:type="dxa"/>
            <w:vAlign w:val="bottom"/>
          </w:tcPr>
          <w:p>
            <w:pPr>
              <w:spacing w:after="0"/>
              <w:rPr>
                <w:sz w:val="20"/>
                <w:szCs w:val="20"/>
                <w:color w:val="auto"/>
              </w:rPr>
            </w:pPr>
          </w:p>
        </w:tc>
        <w:tc>
          <w:tcPr>
            <w:tcW w:w="1960" w:type="dxa"/>
            <w:vAlign w:val="bottom"/>
          </w:tcPr>
          <w:p>
            <w:pPr>
              <w:jc w:val="right"/>
              <w:ind w:right="251"/>
              <w:spacing w:after="0"/>
              <w:rPr>
                <w:sz w:val="20"/>
                <w:szCs w:val="20"/>
                <w:color w:val="auto"/>
              </w:rPr>
            </w:pPr>
            <w:r>
              <w:rPr>
                <w:rFonts w:ascii="Arial" w:cs="Arial" w:eastAsia="Arial" w:hAnsi="Arial"/>
                <w:sz w:val="16"/>
                <w:szCs w:val="16"/>
                <w:b w:val="1"/>
                <w:bCs w:val="1"/>
                <w:color w:val="auto"/>
                <w:w w:val="96"/>
              </w:rPr>
              <w:t>At December 30, 2016</w:t>
            </w:r>
          </w:p>
        </w:tc>
      </w:tr>
      <w:tr>
        <w:trPr>
          <w:trHeight w:val="250"/>
        </w:trPr>
        <w:tc>
          <w:tcPr>
            <w:tcW w:w="6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based RSUs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Performance based RSUs</w:t>
            </w:r>
          </w:p>
        </w:tc>
        <w:tc>
          <w:tcPr>
            <w:tcW w:w="22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5,754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3,307</w:t>
            </w:r>
          </w:p>
        </w:tc>
      </w:tr>
      <w:tr>
        <w:trPr>
          <w:trHeight w:val="27"/>
        </w:trPr>
        <w:tc>
          <w:tcPr>
            <w:tcW w:w="6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6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12,307</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SARs</w:t>
            </w:r>
          </w:p>
        </w:tc>
        <w:tc>
          <w:tcPr>
            <w:tcW w:w="22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1,626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1,146</w:t>
            </w:r>
          </w:p>
        </w:tc>
      </w:tr>
      <w:tr>
        <w:trPr>
          <w:trHeight w:val="27"/>
        </w:trPr>
        <w:tc>
          <w:tcPr>
            <w:tcW w:w="6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22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4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18,311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13,453</w:t>
            </w:r>
          </w:p>
        </w:tc>
      </w:tr>
      <w:tr>
        <w:trPr>
          <w:trHeight w:val="27"/>
        </w:trPr>
        <w:tc>
          <w:tcPr>
            <w:tcW w:w="6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0"/>
        </w:trPr>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granted 111,992 service based RSUs, which are subject to time-based vesting conditions, with a weighted average grant-date fair value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$95.57, to our employees and non-employee directors during the 2017 first three quarters. During the 2017 first three quarters, we also granted performance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RSUs, which are subject to performance based vesting conditions, to members of management. A maximum of 94,436 RSUs may be earned under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performance based RSUs granted during the 2017 first three quarters.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granted 81,977 SARs, with a weighted average grant-date fair value of $27.63 and a weighted average exercise price of $97.53, to members of management during the 2017 first three quarters. We use the Black-Scholes model to estimate the fair value of the SARs granted. The average expected life was calculated using the simplified method.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outlines the assumptions used to estimate the fair value of grants during the 2017 first three quarters:</w:t>
      </w:r>
    </w:p>
    <w:p>
      <w:pPr>
        <w:spacing w:after="0" w:line="158" w:lineRule="exact"/>
        <w:rPr>
          <w:sz w:val="20"/>
          <w:szCs w:val="20"/>
          <w:color w:val="auto"/>
        </w:rPr>
      </w:pPr>
    </w:p>
    <w:tbl>
      <w:tblPr>
        <w:tblLayout w:type="fixed"/>
        <w:tblInd w:w="2700" w:type="dxa"/>
        <w:tblCellMar>
          <w:top w:w="0" w:type="dxa"/>
          <w:left w:w="0" w:type="dxa"/>
          <w:bottom w:w="0" w:type="dxa"/>
          <w:right w:w="0" w:type="dxa"/>
        </w:tblCellMar>
      </w:tblPr>
      <w:tr>
        <w:trPr>
          <w:trHeight w:val="27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76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1"/>
              </w:rPr>
              <w:t>30.41%</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760" w:type="dxa"/>
            <w:vAlign w:val="bottom"/>
          </w:tcPr>
          <w:p>
            <w:pPr>
              <w:jc w:val="center"/>
              <w:ind w:left="690"/>
              <w:spacing w:after="0"/>
              <w:rPr>
                <w:sz w:val="20"/>
                <w:szCs w:val="20"/>
                <w:color w:val="auto"/>
              </w:rPr>
            </w:pPr>
            <w:r>
              <w:rPr>
                <w:rFonts w:ascii="Arial" w:cs="Arial" w:eastAsia="Arial" w:hAnsi="Arial"/>
                <w:sz w:val="18"/>
                <w:szCs w:val="18"/>
                <w:color w:val="auto"/>
                <w:w w:val="90"/>
              </w:rPr>
              <w:t>1.44%</w:t>
            </w:r>
          </w:p>
        </w:tc>
      </w:tr>
      <w:tr>
        <w:trPr>
          <w:trHeight w:val="27"/>
        </w:trPr>
        <w:tc>
          <w:tcPr>
            <w:tcW w:w="328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2760" w:type="dxa"/>
            <w:vAlign w:val="bottom"/>
            <w:tcBorders>
              <w:bottom w:val="single" w:sz="8" w:color="CCEEFF"/>
            </w:tcBorders>
            <w:shd w:val="clear" w:color="auto" w:fill="CCEEFF"/>
          </w:tcPr>
          <w:p>
            <w:pPr>
              <w:jc w:val="center"/>
              <w:ind w:left="690"/>
              <w:spacing w:after="0"/>
              <w:rPr>
                <w:sz w:val="20"/>
                <w:szCs w:val="20"/>
                <w:color w:val="auto"/>
              </w:rPr>
            </w:pPr>
            <w:r>
              <w:rPr>
                <w:rFonts w:ascii="Arial" w:cs="Arial" w:eastAsia="Arial" w:hAnsi="Arial"/>
                <w:sz w:val="18"/>
                <w:szCs w:val="18"/>
                <w:color w:val="auto"/>
                <w:w w:val="90"/>
              </w:rPr>
              <w:t>2.06%</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760" w:type="dxa"/>
            <w:vAlign w:val="bottom"/>
          </w:tcPr>
          <w:p>
            <w:pPr>
              <w:jc w:val="center"/>
              <w:ind w:left="670"/>
              <w:spacing w:after="0"/>
              <w:rPr>
                <w:sz w:val="20"/>
                <w:szCs w:val="20"/>
                <w:color w:val="auto"/>
              </w:rPr>
            </w:pPr>
            <w:r>
              <w:rPr>
                <w:rFonts w:ascii="Arial" w:cs="Arial" w:eastAsia="Arial" w:hAnsi="Arial"/>
                <w:sz w:val="18"/>
                <w:szCs w:val="18"/>
                <w:color w:val="auto"/>
                <w:w w:val="91"/>
              </w:rPr>
              <w:t>6.25</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VARIABLE INTEREST ENTITIES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Related to Our Vacation Ownership Notes Receivable Securitizations</w:t>
      </w:r>
    </w:p>
    <w:p>
      <w:pPr>
        <w:spacing w:after="0" w:line="11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created these bankruptcy remote special purpose entities to serve as a mechanism for holding assets and related liabilities, and the entities have no equity investment at risk, making them variable interest entities.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125" w:right="2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shows consolidated assets, which are collateral for the obligations of these variable interest entities, and consolidated liabilities included on our Balance Sheet at September 30, 2017:</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thousands)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Assets: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Vacation ownership notes receivable, net of reserves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receivable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Restricted cash</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Liabilities: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Vacation Ownership</w:t>
            </w: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Notes Receivable</w:t>
            </w:r>
          </w:p>
        </w:tc>
        <w:tc>
          <w:tcPr>
            <w:tcW w:w="300" w:type="dxa"/>
            <w:vAlign w:val="bottom"/>
          </w:tcPr>
          <w:p>
            <w:pPr>
              <w:spacing w:after="0"/>
              <w:rPr>
                <w:sz w:val="17"/>
                <w:szCs w:val="17"/>
                <w:color w:val="auto"/>
              </w:rPr>
            </w:pPr>
          </w:p>
        </w:tc>
        <w:tc>
          <w:tcPr>
            <w:tcW w:w="1740" w:type="dxa"/>
            <w:vAlign w:val="bottom"/>
            <w:gridSpan w:val="2"/>
          </w:tcPr>
          <w:p>
            <w:pPr>
              <w:ind w:left="280"/>
              <w:spacing w:after="0"/>
              <w:rPr>
                <w:sz w:val="20"/>
                <w:szCs w:val="20"/>
                <w:color w:val="auto"/>
              </w:rPr>
            </w:pPr>
            <w:r>
              <w:rPr>
                <w:rFonts w:ascii="Arial" w:cs="Arial" w:eastAsia="Arial" w:hAnsi="Arial"/>
                <w:sz w:val="16"/>
                <w:szCs w:val="16"/>
                <w:b w:val="1"/>
                <w:bCs w:val="1"/>
                <w:color w:val="auto"/>
              </w:rPr>
              <w:t>Warehouse</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0"/>
        </w:trPr>
        <w:tc>
          <w:tcPr>
            <w:tcW w:w="20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Securitizations</w:t>
            </w:r>
          </w:p>
        </w:tc>
        <w:tc>
          <w:tcPr>
            <w:tcW w:w="300" w:type="dxa"/>
            <w:vAlign w:val="bottom"/>
          </w:tcPr>
          <w:p>
            <w:pPr>
              <w:spacing w:after="0"/>
              <w:rPr>
                <w:sz w:val="18"/>
                <w:szCs w:val="18"/>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Credit Facility</w:t>
            </w:r>
          </w:p>
        </w:tc>
        <w:tc>
          <w:tcPr>
            <w:tcW w:w="460" w:type="dxa"/>
            <w:vAlign w:val="bottom"/>
          </w:tcPr>
          <w:p>
            <w:pPr>
              <w:spacing w:after="0"/>
              <w:rPr>
                <w:sz w:val="18"/>
                <w:szCs w:val="18"/>
                <w:color w:val="auto"/>
              </w:rPr>
            </w:pPr>
          </w:p>
        </w:tc>
        <w:tc>
          <w:tcPr>
            <w:tcW w:w="1480" w:type="dxa"/>
            <w:vAlign w:val="bottom"/>
          </w:tcPr>
          <w:p>
            <w:pPr>
              <w:jc w:val="right"/>
              <w:ind w:right="692"/>
              <w:spacing w:after="0"/>
              <w:rPr>
                <w:sz w:val="20"/>
                <w:szCs w:val="20"/>
                <w:color w:val="auto"/>
              </w:rPr>
            </w:pPr>
            <w:r>
              <w:rPr>
                <w:rFonts w:ascii="Arial" w:cs="Arial" w:eastAsia="Arial" w:hAnsi="Arial"/>
                <w:sz w:val="16"/>
                <w:szCs w:val="16"/>
                <w:b w:val="1"/>
                <w:bCs w:val="1"/>
                <w:color w:val="auto"/>
              </w:rPr>
              <w:t>Total</w:t>
            </w:r>
          </w:p>
        </w:tc>
      </w:tr>
      <w:tr>
        <w:trPr>
          <w:trHeight w:val="33"/>
        </w:trPr>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507"/>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875,237</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875,237</w:t>
            </w:r>
          </w:p>
        </w:tc>
      </w:tr>
      <w:tr>
        <w:trPr>
          <w:trHeight w:val="270"/>
        </w:trPr>
        <w:tc>
          <w:tcPr>
            <w:tcW w:w="200" w:type="dxa"/>
            <w:vAlign w:val="bottom"/>
          </w:tcPr>
          <w:p>
            <w:pPr>
              <w:spacing w:after="0"/>
              <w:rPr>
                <w:sz w:val="23"/>
                <w:szCs w:val="23"/>
                <w:color w:val="auto"/>
              </w:rPr>
            </w:pP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5,702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4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5,702</w:t>
            </w:r>
          </w:p>
        </w:tc>
      </w:tr>
      <w:tr>
        <w:trPr>
          <w:trHeight w:val="270"/>
        </w:trPr>
        <w:tc>
          <w:tcPr>
            <w:tcW w:w="200" w:type="dxa"/>
            <w:vAlign w:val="bottom"/>
          </w:tcPr>
          <w:p>
            <w:pPr>
              <w:spacing w:after="0"/>
              <w:rPr>
                <w:sz w:val="23"/>
                <w:szCs w:val="23"/>
                <w:color w:val="auto"/>
              </w:rPr>
            </w:pP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34,413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4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34,413</w:t>
            </w:r>
          </w:p>
        </w:tc>
      </w:tr>
      <w:tr>
        <w:trPr>
          <w:trHeight w:val="27"/>
        </w:trPr>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915,352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915,352</w:t>
            </w:r>
          </w:p>
        </w:tc>
      </w:tr>
      <w:tr>
        <w:trPr>
          <w:trHeight w:val="27"/>
        </w:trPr>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-899795</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-548005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-205105</wp:posOffset>
            </wp:positionV>
            <wp:extent cx="72466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4660" w:space="720"/>
            <w:col w:w="60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payable</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Debt</w:t>
            </w:r>
          </w:p>
        </w:tc>
        <w:tc>
          <w:tcPr>
            <w:tcW w:w="7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906,701</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906,701</w:t>
            </w:r>
          </w:p>
        </w:tc>
      </w:tr>
      <w:tr>
        <w:trPr>
          <w:trHeight w:val="27"/>
        </w:trPr>
        <w:tc>
          <w:tcPr>
            <w:tcW w:w="53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907,398</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907,440</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noncontrolling interest balance was zero. The creditors of these entities do not have general recourse to us.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2017 third quarter:</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Vacation Ownership</w:t>
            </w: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Notes Receivable</w:t>
            </w:r>
          </w:p>
        </w:tc>
        <w:tc>
          <w:tcPr>
            <w:tcW w:w="300" w:type="dxa"/>
            <w:vAlign w:val="bottom"/>
          </w:tcPr>
          <w:p>
            <w:pPr>
              <w:spacing w:after="0"/>
              <w:rPr>
                <w:sz w:val="17"/>
                <w:szCs w:val="17"/>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Warehouse</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0"/>
                <w:szCs w:val="20"/>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Securitizations</w:t>
            </w:r>
          </w:p>
        </w:tc>
        <w:tc>
          <w:tcPr>
            <w:tcW w:w="300" w:type="dxa"/>
            <w:vAlign w:val="bottom"/>
          </w:tcPr>
          <w:p>
            <w:pPr>
              <w:spacing w:after="0"/>
              <w:rPr>
                <w:sz w:val="20"/>
                <w:szCs w:val="20"/>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Credit Facility</w:t>
            </w:r>
          </w:p>
        </w:tc>
        <w:tc>
          <w:tcPr>
            <w:tcW w:w="460" w:type="dxa"/>
            <w:vAlign w:val="bottom"/>
          </w:tcPr>
          <w:p>
            <w:pPr>
              <w:spacing w:after="0"/>
              <w:rPr>
                <w:sz w:val="20"/>
                <w:szCs w:val="20"/>
                <w:color w:val="auto"/>
              </w:rPr>
            </w:pPr>
          </w:p>
        </w:tc>
        <w:tc>
          <w:tcPr>
            <w:tcW w:w="1480" w:type="dxa"/>
            <w:vAlign w:val="bottom"/>
          </w:tcPr>
          <w:p>
            <w:pPr>
              <w:jc w:val="right"/>
              <w:ind w:right="692"/>
              <w:spacing w:after="0"/>
              <w:rPr>
                <w:sz w:val="20"/>
                <w:szCs w:val="20"/>
                <w:color w:val="auto"/>
              </w:rPr>
            </w:pPr>
            <w:r>
              <w:rPr>
                <w:rFonts w:ascii="Arial" w:cs="Arial" w:eastAsia="Arial" w:hAnsi="Arial"/>
                <w:sz w:val="16"/>
                <w:szCs w:val="16"/>
                <w:b w:val="1"/>
                <w:bCs w:val="1"/>
                <w:color w:val="auto"/>
              </w:rPr>
              <w:t>Total</w:t>
            </w: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26,538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 to investors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4,837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5,311</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 amortization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129</w:t>
            </w:r>
          </w:p>
        </w:tc>
      </w:tr>
      <w:tr>
        <w:trPr>
          <w:trHeight w:val="445"/>
        </w:trPr>
        <w:tc>
          <w:tcPr>
            <w:tcW w:w="11420" w:type="dxa"/>
            <w:vAlign w:val="bottom"/>
            <w:gridSpan w:val="9"/>
          </w:tcPr>
          <w:p>
            <w:pPr>
              <w:ind w:left="660"/>
              <w:spacing w:after="0"/>
              <w:rPr>
                <w:sz w:val="20"/>
                <w:szCs w:val="20"/>
                <w:color w:val="auto"/>
              </w:rPr>
            </w:pPr>
            <w:r>
              <w:rPr>
                <w:rFonts w:ascii="Arial" w:cs="Arial" w:eastAsia="Arial" w:hAnsi="Arial"/>
                <w:sz w:val="18"/>
                <w:szCs w:val="18"/>
                <w:color w:val="auto"/>
                <w:w w:val="91"/>
              </w:rPr>
              <w:t>The following table shows the interest income and expense recognized as a result of our involvement with these variable interest entities during the</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2017 first three quarters:</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51"/>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Vacation Ownership</w:t>
            </w: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Notes Receivable</w:t>
            </w:r>
          </w:p>
        </w:tc>
        <w:tc>
          <w:tcPr>
            <w:tcW w:w="300" w:type="dxa"/>
            <w:vAlign w:val="bottom"/>
          </w:tcPr>
          <w:p>
            <w:pPr>
              <w:spacing w:after="0"/>
              <w:rPr>
                <w:sz w:val="17"/>
                <w:szCs w:val="17"/>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Warehouse</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0"/>
                <w:szCs w:val="20"/>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Securitizations</w:t>
            </w:r>
          </w:p>
        </w:tc>
        <w:tc>
          <w:tcPr>
            <w:tcW w:w="300" w:type="dxa"/>
            <w:vAlign w:val="bottom"/>
          </w:tcPr>
          <w:p>
            <w:pPr>
              <w:spacing w:after="0"/>
              <w:rPr>
                <w:sz w:val="20"/>
                <w:szCs w:val="20"/>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Credit Facility</w:t>
            </w:r>
          </w:p>
        </w:tc>
        <w:tc>
          <w:tcPr>
            <w:tcW w:w="460" w:type="dxa"/>
            <w:vAlign w:val="bottom"/>
          </w:tcPr>
          <w:p>
            <w:pPr>
              <w:spacing w:after="0"/>
              <w:rPr>
                <w:sz w:val="20"/>
                <w:szCs w:val="20"/>
                <w:color w:val="auto"/>
              </w:rPr>
            </w:pPr>
          </w:p>
        </w:tc>
        <w:tc>
          <w:tcPr>
            <w:tcW w:w="1480" w:type="dxa"/>
            <w:vAlign w:val="bottom"/>
          </w:tcPr>
          <w:p>
            <w:pPr>
              <w:jc w:val="right"/>
              <w:ind w:right="692"/>
              <w:spacing w:after="0"/>
              <w:rPr>
                <w:sz w:val="20"/>
                <w:szCs w:val="20"/>
                <w:color w:val="auto"/>
              </w:rPr>
            </w:pPr>
            <w:r>
              <w:rPr>
                <w:rFonts w:ascii="Arial" w:cs="Arial" w:eastAsia="Arial" w:hAnsi="Arial"/>
                <w:sz w:val="16"/>
                <w:szCs w:val="16"/>
                <w:b w:val="1"/>
                <w:bCs w:val="1"/>
                <w:color w:val="auto"/>
              </w:rPr>
              <w:t>Total</w:t>
            </w: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70,501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72,832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 to investors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13,389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14,714</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 amortization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417</w:t>
            </w:r>
          </w:p>
        </w:tc>
      </w:tr>
      <w:tr>
        <w:trPr>
          <w:trHeight w:val="486"/>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ind w:right="145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shows cash flows between us and the vacation ownership notes receivable securitization variable interest entities during the 2017 first three quarters and the 2016 first three quarters: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80" w:type="dxa"/>
            <w:vAlign w:val="bottom"/>
            <w:gridSpan w:val="4"/>
          </w:tcPr>
          <w:p>
            <w:pPr>
              <w:jc w:val="right"/>
              <w:ind w:right="1152"/>
              <w:spacing w:after="0"/>
              <w:rPr>
                <w:sz w:val="20"/>
                <w:szCs w:val="20"/>
                <w:color w:val="auto"/>
              </w:rPr>
            </w:pPr>
            <w:r>
              <w:rPr>
                <w:rFonts w:ascii="Arial" w:cs="Arial" w:eastAsia="Arial" w:hAnsi="Arial"/>
                <w:sz w:val="16"/>
                <w:szCs w:val="16"/>
                <w:b w:val="1"/>
                <w:bCs w:val="1"/>
                <w:color w:val="auto"/>
              </w:rPr>
              <w:t>Year to Date Ended</w:t>
            </w:r>
          </w:p>
        </w:tc>
        <w:tc>
          <w:tcPr>
            <w:tcW w:w="0" w:type="dxa"/>
            <w:vAlign w:val="bottom"/>
          </w:tcPr>
          <w:p>
            <w:pPr>
              <w:spacing w:after="0"/>
              <w:rPr>
                <w:sz w:val="1"/>
                <w:szCs w:val="1"/>
                <w:color w:val="auto"/>
              </w:rPr>
            </w:pPr>
          </w:p>
        </w:tc>
      </w:tr>
      <w:tr>
        <w:trPr>
          <w:trHeight w:val="33"/>
        </w:trPr>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September 30, 2017</w:t>
            </w:r>
          </w:p>
        </w:tc>
        <w:tc>
          <w:tcPr>
            <w:tcW w:w="200" w:type="dxa"/>
            <w:vAlign w:val="bottom"/>
          </w:tcPr>
          <w:p>
            <w:pPr>
              <w:spacing w:after="0"/>
              <w:rPr>
                <w:sz w:val="20"/>
                <w:szCs w:val="20"/>
                <w:color w:val="auto"/>
              </w:rPr>
            </w:pPr>
          </w:p>
        </w:tc>
        <w:tc>
          <w:tcPr>
            <w:tcW w:w="1680" w:type="dxa"/>
            <w:vAlign w:val="bottom"/>
          </w:tcPr>
          <w:p>
            <w:pPr>
              <w:jc w:val="right"/>
              <w:ind w:right="212"/>
              <w:spacing w:after="0"/>
              <w:rPr>
                <w:sz w:val="20"/>
                <w:szCs w:val="20"/>
                <w:color w:val="auto"/>
              </w:rPr>
            </w:pPr>
            <w:r>
              <w:rPr>
                <w:rFonts w:ascii="Arial" w:cs="Arial" w:eastAsia="Arial" w:hAnsi="Arial"/>
                <w:sz w:val="16"/>
                <w:szCs w:val="16"/>
                <w:b w:val="1"/>
                <w:bCs w:val="1"/>
                <w:color w:val="auto"/>
                <w:w w:val="96"/>
              </w:rPr>
              <w:t>September 9, 2016</w:t>
            </w:r>
          </w:p>
        </w:tc>
        <w:tc>
          <w:tcPr>
            <w:tcW w:w="0" w:type="dxa"/>
            <w:vAlign w:val="bottom"/>
          </w:tcPr>
          <w:p>
            <w:pPr>
              <w:spacing w:after="0"/>
              <w:rPr>
                <w:sz w:val="1"/>
                <w:szCs w:val="1"/>
                <w:color w:val="auto"/>
              </w:rPr>
            </w:pPr>
          </w:p>
        </w:tc>
      </w:tr>
      <w:tr>
        <w:trPr>
          <w:trHeight w:val="297"/>
        </w:trPr>
        <w:tc>
          <w:tcPr>
            <w:tcW w:w="71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4"/>
                <w:szCs w:val="24"/>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(274 days)</w:t>
            </w:r>
          </w:p>
        </w:tc>
        <w:tc>
          <w:tcPr>
            <w:tcW w:w="200" w:type="dxa"/>
            <w:vAlign w:val="bottom"/>
          </w:tcPr>
          <w:p>
            <w:pPr>
              <w:spacing w:after="0"/>
              <w:rPr>
                <w:sz w:val="24"/>
                <w:szCs w:val="24"/>
                <w:color w:val="auto"/>
              </w:rPr>
            </w:pPr>
          </w:p>
        </w:tc>
        <w:tc>
          <w:tcPr>
            <w:tcW w:w="1680" w:type="dxa"/>
            <w:vAlign w:val="bottom"/>
          </w:tcPr>
          <w:p>
            <w:pPr>
              <w:jc w:val="right"/>
              <w:ind w:right="532"/>
              <w:spacing w:after="0"/>
              <w:rPr>
                <w:sz w:val="20"/>
                <w:szCs w:val="20"/>
                <w:color w:val="auto"/>
              </w:rPr>
            </w:pPr>
            <w:r>
              <w:rPr>
                <w:rFonts w:ascii="Arial" w:cs="Arial" w:eastAsia="Arial" w:hAnsi="Arial"/>
                <w:sz w:val="14"/>
                <w:szCs w:val="14"/>
                <w:b w:val="1"/>
                <w:bCs w:val="1"/>
                <w:color w:val="auto"/>
              </w:rPr>
              <w:t>(252 days)</w:t>
            </w:r>
          </w:p>
        </w:tc>
        <w:tc>
          <w:tcPr>
            <w:tcW w:w="0" w:type="dxa"/>
            <w:vAlign w:val="bottom"/>
          </w:tcPr>
          <w:p>
            <w:pPr>
              <w:spacing w:after="0"/>
              <w:rPr>
                <w:sz w:val="1"/>
                <w:szCs w:val="1"/>
                <w:color w:val="auto"/>
              </w:rPr>
            </w:pPr>
          </w:p>
        </w:tc>
      </w:tr>
      <w:tr>
        <w:trPr>
          <w:trHeight w:val="250"/>
        </w:trPr>
        <w:tc>
          <w:tcPr>
            <w:tcW w:w="716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inflows: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Net proceeds from vacation ownership notes receivable securitizations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346,469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247,453</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Principal receipts</w:t>
            </w:r>
          </w:p>
        </w:tc>
        <w:tc>
          <w:tcPr>
            <w:tcW w:w="5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170,920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118,015</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Interest receipts</w:t>
            </w:r>
          </w:p>
        </w:tc>
        <w:tc>
          <w:tcPr>
            <w:tcW w:w="18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71,464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60,863</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Reserve release</w:t>
            </w:r>
          </w:p>
        </w:tc>
        <w:tc>
          <w:tcPr>
            <w:tcW w:w="50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688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588,885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426,736</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outflows:</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Principal to investors</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(159,305)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(105,863)</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Voluntary repurchases of defaulted vacation ownership notes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(22,025)</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Interest to investors</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(13,121)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(10,823)</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80" w:type="dxa"/>
            <w:vAlign w:val="bottom"/>
            <w:shd w:val="clear" w:color="auto" w:fill="CCEEFF"/>
          </w:tcPr>
          <w:p>
            <w:pPr>
              <w:spacing w:after="0"/>
              <w:rPr>
                <w:sz w:val="15"/>
                <w:szCs w:val="15"/>
                <w:color w:val="auto"/>
              </w:rPr>
            </w:pPr>
          </w:p>
        </w:tc>
        <w:tc>
          <w:tcPr>
            <w:tcW w:w="1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9"/>
                <w:shd w:val="clear" w:color="auto" w:fill="CCEEFF"/>
              </w:rPr>
              <w:t>Funding of restricted cash</w:t>
            </w:r>
          </w:p>
        </w:tc>
        <w:tc>
          <w:tcPr>
            <w:tcW w:w="5000" w:type="dxa"/>
            <w:vAlign w:val="bottom"/>
            <w:shd w:val="clear" w:color="auto" w:fill="CCEEFF"/>
          </w:tcPr>
          <w:p>
            <w:pPr>
              <w:jc w:val="right"/>
              <w:ind w:right="4797"/>
              <w:spacing w:after="0"/>
              <w:rPr>
                <w:sz w:val="20"/>
                <w:szCs w:val="20"/>
                <w:color w:val="auto"/>
              </w:rPr>
            </w:pPr>
            <w:r>
              <w:rPr>
                <w:rFonts w:ascii="Arial" w:cs="Arial" w:eastAsia="Arial" w:hAnsi="Arial"/>
                <w:sz w:val="13"/>
                <w:szCs w:val="13"/>
                <w:color w:val="auto"/>
                <w:w w:val="75"/>
                <w:shd w:val="clear" w:color="auto" w:fill="CCEEFF"/>
              </w:rPr>
              <w:t>(1)</w:t>
            </w:r>
          </w:p>
        </w:tc>
        <w:tc>
          <w:tcPr>
            <w:tcW w:w="18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(51,770)</w:t>
            </w:r>
          </w:p>
        </w:tc>
        <w:tc>
          <w:tcPr>
            <w:tcW w:w="0" w:type="dxa"/>
            <w:vAlign w:val="bottom"/>
          </w:tcPr>
          <w:p>
            <w:pPr>
              <w:spacing w:after="0"/>
              <w:rPr>
                <w:sz w:val="1"/>
                <w:szCs w:val="1"/>
                <w:color w:val="auto"/>
              </w:rPr>
            </w:pPr>
          </w:p>
        </w:tc>
      </w:tr>
      <w:tr>
        <w:trPr>
          <w:trHeight w:val="97"/>
        </w:trPr>
        <w:tc>
          <w:tcPr>
            <w:tcW w:w="280" w:type="dxa"/>
            <w:vAlign w:val="bottom"/>
            <w:tcBorders>
              <w:bottom w:val="single" w:sz="8" w:color="CCEEFF"/>
            </w:tcBorders>
            <w:shd w:val="clear" w:color="auto" w:fill="CCEEFF"/>
          </w:tcPr>
          <w:p>
            <w:pPr>
              <w:spacing w:after="0"/>
              <w:rPr>
                <w:sz w:val="8"/>
                <w:szCs w:val="8"/>
                <w:color w:val="auto"/>
              </w:rPr>
            </w:pPr>
          </w:p>
        </w:tc>
        <w:tc>
          <w:tcPr>
            <w:tcW w:w="1880" w:type="dxa"/>
            <w:vAlign w:val="bottom"/>
            <w:tcBorders>
              <w:bottom w:val="single" w:sz="8" w:color="CCEEFF"/>
            </w:tcBorders>
            <w:vMerge w:val="continue"/>
            <w:shd w:val="clear" w:color="auto" w:fill="CCEEFF"/>
          </w:tcPr>
          <w:p>
            <w:pPr>
              <w:spacing w:after="0"/>
              <w:rPr>
                <w:sz w:val="8"/>
                <w:szCs w:val="8"/>
                <w:color w:val="auto"/>
              </w:rPr>
            </w:pPr>
          </w:p>
        </w:tc>
        <w:tc>
          <w:tcPr>
            <w:tcW w:w="50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6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16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688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(196,586)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(190,481)</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Cash Flows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392,299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236,255</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gridSpan w:val="3"/>
            <w:vMerge w:val="restart"/>
          </w:tcPr>
          <w:p>
            <w:pPr>
              <w:jc w:val="right"/>
              <w:ind w:right="4837"/>
              <w:spacing w:after="0"/>
              <w:rPr>
                <w:sz w:val="20"/>
                <w:szCs w:val="20"/>
                <w:color w:val="auto"/>
              </w:rPr>
            </w:pPr>
            <w:r>
              <w:rPr>
                <w:rFonts w:ascii="Arial" w:cs="Arial" w:eastAsia="Arial" w:hAnsi="Arial"/>
                <w:sz w:val="18"/>
                <w:szCs w:val="18"/>
                <w:color w:val="auto"/>
                <w:w w:val="89"/>
              </w:rPr>
              <w:t>_________________________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6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660" w:right="80" w:hanging="652"/>
        <w:spacing w:after="0" w:line="252" w:lineRule="auto"/>
        <w:tabs>
          <w:tab w:leader="none" w:pos="66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Includes $50.0 million of the proceeds from the securitization transaction completed during the 2016 third quarter, which were released when the remaining vacation ownership notes receivable were purchased by the MVW Owner Trust 2016-1 subsequent to the end of the 2016 third quarter.</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shows cash flows between us and the Warehouse Credit Facility variable interest entity during the 2017 first three quarters and the 2016 first three quarters: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80" w:type="dxa"/>
            <w:vAlign w:val="bottom"/>
            <w:gridSpan w:val="4"/>
          </w:tcPr>
          <w:p>
            <w:pPr>
              <w:jc w:val="right"/>
              <w:ind w:right="1152"/>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28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1"/>
        </w:trPr>
        <w:tc>
          <w:tcPr>
            <w:tcW w:w="28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September 30, 2017</w:t>
            </w:r>
          </w:p>
        </w:tc>
        <w:tc>
          <w:tcPr>
            <w:tcW w:w="200" w:type="dxa"/>
            <w:vAlign w:val="bottom"/>
          </w:tcPr>
          <w:p>
            <w:pPr>
              <w:spacing w:after="0"/>
              <w:rPr>
                <w:sz w:val="20"/>
                <w:szCs w:val="20"/>
                <w:color w:val="auto"/>
              </w:rPr>
            </w:pPr>
          </w:p>
        </w:tc>
        <w:tc>
          <w:tcPr>
            <w:tcW w:w="1680" w:type="dxa"/>
            <w:vAlign w:val="bottom"/>
          </w:tcPr>
          <w:p>
            <w:pPr>
              <w:jc w:val="right"/>
              <w:ind w:right="212"/>
              <w:spacing w:after="0"/>
              <w:rPr>
                <w:sz w:val="20"/>
                <w:szCs w:val="20"/>
                <w:color w:val="auto"/>
              </w:rPr>
            </w:pPr>
            <w:r>
              <w:rPr>
                <w:rFonts w:ascii="Arial" w:cs="Arial" w:eastAsia="Arial" w:hAnsi="Arial"/>
                <w:sz w:val="16"/>
                <w:szCs w:val="16"/>
                <w:b w:val="1"/>
                <w:bCs w:val="1"/>
                <w:color w:val="auto"/>
                <w:w w:val="96"/>
              </w:rPr>
              <w:t>September 9, 2016</w:t>
            </w:r>
          </w:p>
        </w:tc>
      </w:tr>
      <w:tr>
        <w:trPr>
          <w:trHeight w:val="297"/>
        </w:trPr>
        <w:tc>
          <w:tcPr>
            <w:tcW w:w="716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4"/>
                <w:szCs w:val="24"/>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(274 days)</w:t>
            </w:r>
          </w:p>
        </w:tc>
        <w:tc>
          <w:tcPr>
            <w:tcW w:w="200" w:type="dxa"/>
            <w:vAlign w:val="bottom"/>
          </w:tcPr>
          <w:p>
            <w:pPr>
              <w:spacing w:after="0"/>
              <w:rPr>
                <w:sz w:val="24"/>
                <w:szCs w:val="24"/>
                <w:color w:val="auto"/>
              </w:rPr>
            </w:pPr>
          </w:p>
        </w:tc>
        <w:tc>
          <w:tcPr>
            <w:tcW w:w="1680" w:type="dxa"/>
            <w:vAlign w:val="bottom"/>
          </w:tcPr>
          <w:p>
            <w:pPr>
              <w:jc w:val="right"/>
              <w:ind w:right="532"/>
              <w:spacing w:after="0"/>
              <w:rPr>
                <w:sz w:val="20"/>
                <w:szCs w:val="20"/>
                <w:color w:val="auto"/>
              </w:rPr>
            </w:pPr>
            <w:r>
              <w:rPr>
                <w:rFonts w:ascii="Arial" w:cs="Arial" w:eastAsia="Arial" w:hAnsi="Arial"/>
                <w:sz w:val="14"/>
                <w:szCs w:val="14"/>
                <w:b w:val="1"/>
                <w:bCs w:val="1"/>
                <w:color w:val="auto"/>
              </w:rPr>
              <w:t>(252 days)</w:t>
            </w:r>
          </w:p>
        </w:tc>
      </w:tr>
      <w:tr>
        <w:trPr>
          <w:trHeight w:val="250"/>
        </w:trPr>
        <w:tc>
          <w:tcPr>
            <w:tcW w:w="7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inflows: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Proceeds from vacation ownership notes receivable securitizations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50,260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126,622</w:t>
            </w:r>
          </w:p>
        </w:tc>
      </w:tr>
      <w:tr>
        <w:trPr>
          <w:trHeight w:val="27"/>
        </w:trPr>
        <w:tc>
          <w:tcPr>
            <w:tcW w:w="28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Principal receipts</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5,227</w:t>
            </w:r>
          </w:p>
        </w:tc>
      </w:tr>
      <w:tr>
        <w:trPr>
          <w:trHeight w:val="243"/>
        </w:trPr>
        <w:tc>
          <w:tcPr>
            <w:tcW w:w="280" w:type="dxa"/>
            <w:vAlign w:val="bottom"/>
          </w:tcPr>
          <w:p>
            <w:pPr>
              <w:spacing w:after="0"/>
              <w:rPr>
                <w:sz w:val="21"/>
                <w:szCs w:val="21"/>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Interest receipts</w:t>
            </w:r>
          </w:p>
        </w:tc>
        <w:tc>
          <w:tcPr>
            <w:tcW w:w="1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2,093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5,048</w:t>
            </w:r>
          </w:p>
        </w:tc>
      </w:tr>
      <w:tr>
        <w:trPr>
          <w:trHeight w:val="27"/>
        </w:trPr>
        <w:tc>
          <w:tcPr>
            <w:tcW w:w="28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280" w:type="dxa"/>
            <w:vAlign w:val="bottom"/>
            <w:tcBorders>
              <w:bottom w:val="single" w:sz="8" w:color="CCEEFF"/>
            </w:tcBorders>
            <w:shd w:val="clear" w:color="auto" w:fill="CCEEFF"/>
          </w:tcPr>
          <w:p>
            <w:pPr>
              <w:spacing w:after="0"/>
              <w:rPr>
                <w:sz w:val="23"/>
                <w:szCs w:val="23"/>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Reserve release</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909</w:t>
            </w:r>
          </w:p>
        </w:tc>
      </w:tr>
      <w:tr>
        <w:trPr>
          <w:trHeight w:val="237"/>
        </w:trPr>
        <w:tc>
          <w:tcPr>
            <w:tcW w:w="280" w:type="dxa"/>
            <w:vAlign w:val="bottom"/>
          </w:tcPr>
          <w:p>
            <w:pPr>
              <w:spacing w:after="0"/>
              <w:rPr>
                <w:sz w:val="20"/>
                <w:szCs w:val="20"/>
                <w:color w:val="auto"/>
              </w:rPr>
            </w:pPr>
          </w:p>
        </w:tc>
        <w:tc>
          <w:tcPr>
            <w:tcW w:w="6880" w:type="dxa"/>
            <w:vAlign w:val="bottom"/>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54,052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137,806</w:t>
            </w:r>
          </w:p>
        </w:tc>
      </w:tr>
      <w:tr>
        <w:trPr>
          <w:trHeight w:val="27"/>
        </w:trPr>
        <w:tc>
          <w:tcPr>
            <w:tcW w:w="28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outflows:</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Principal to investors</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(3,771)</w:t>
            </w:r>
          </w:p>
        </w:tc>
      </w:tr>
      <w:tr>
        <w:trPr>
          <w:trHeight w:val="27"/>
        </w:trPr>
        <w:tc>
          <w:tcPr>
            <w:tcW w:w="28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Voluntary repurchases of defaulted vacation ownership notes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43"/>
        </w:trPr>
        <w:tc>
          <w:tcPr>
            <w:tcW w:w="280" w:type="dxa"/>
            <w:vAlign w:val="bottom"/>
          </w:tcPr>
          <w:p>
            <w:pPr>
              <w:spacing w:after="0"/>
              <w:rPr>
                <w:sz w:val="21"/>
                <w:szCs w:val="21"/>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Repayment of Warehouse Credit Facility</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(49,100)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(122,190)</w:t>
            </w:r>
          </w:p>
        </w:tc>
      </w:tr>
      <w:tr>
        <w:trPr>
          <w:trHeight w:val="27"/>
        </w:trPr>
        <w:tc>
          <w:tcPr>
            <w:tcW w:w="28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Interest to investors</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r>
      <w:tr>
        <w:trPr>
          <w:trHeight w:val="243"/>
        </w:trPr>
        <w:tc>
          <w:tcPr>
            <w:tcW w:w="280" w:type="dxa"/>
            <w:vAlign w:val="bottom"/>
          </w:tcPr>
          <w:p>
            <w:pPr>
              <w:spacing w:after="0"/>
              <w:rPr>
                <w:sz w:val="21"/>
                <w:szCs w:val="21"/>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Funding of restricted cash</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7"/>
        </w:trPr>
        <w:tc>
          <w:tcPr>
            <w:tcW w:w="28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4"/>
        </w:trPr>
        <w:tc>
          <w:tcPr>
            <w:tcW w:w="280" w:type="dxa"/>
            <w:vAlign w:val="bottom"/>
            <w:tcBorders>
              <w:bottom w:val="single" w:sz="8" w:color="CCEEFF"/>
            </w:tcBorders>
            <w:shd w:val="clear" w:color="auto" w:fill="CCEEFF"/>
          </w:tcPr>
          <w:p>
            <w:pPr>
              <w:spacing w:after="0"/>
              <w:rPr>
                <w:sz w:val="22"/>
                <w:szCs w:val="22"/>
                <w:color w:val="auto"/>
              </w:rPr>
            </w:pPr>
          </w:p>
        </w:tc>
        <w:tc>
          <w:tcPr>
            <w:tcW w:w="6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shd w:val="clear" w:color="auto" w:fill="CCEEFF"/>
              </w:rPr>
              <w:t>Total</w:t>
            </w:r>
          </w:p>
        </w:tc>
        <w:tc>
          <w:tcPr>
            <w:tcW w:w="1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(51,880)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(128,407)</w:t>
            </w:r>
          </w:p>
        </w:tc>
      </w:tr>
      <w:tr>
        <w:trPr>
          <w:trHeight w:val="237"/>
        </w:trPr>
        <w:tc>
          <w:tcPr>
            <w:tcW w:w="71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Flows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2,172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9,399</w:t>
            </w:r>
          </w:p>
        </w:tc>
      </w:tr>
      <w:tr>
        <w:trPr>
          <w:trHeight w:val="27"/>
        </w:trPr>
        <w:tc>
          <w:tcPr>
            <w:tcW w:w="28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2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Under the terms of our vacation ownership notes receivable securitizations, we have the right at our option to repurchase defaulted vacation ownership notes receivable at the outstanding principal balance. The transaction documents typically limit such repurchases to 15 to 20 percent of the transaction’s initial vacation ownership notes receivable principal balance. Our maximum exposure to loss relating to the special purpose entities that purchase, sell and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 In addition, we could be required to fund up to an aggregate of $5.0 million upon presentation of demand notes related to certain vacation ownership notes receivable securitization transactions outstanding at September 30, 2017.</w:t>
      </w:r>
    </w:p>
    <w:p>
      <w:pPr>
        <w:sectPr>
          <w:pgSz w:w="11900" w:h="16838" w:orient="portrait"/>
          <w:cols w:equalWidth="0" w:num="1">
            <w:col w:w="11240"/>
          </w:cols>
          <w:pgMar w:left="240" w:top="125" w:right="419" w:bottom="1440" w:gutter="0" w:footer="0" w:header="0"/>
        </w:sectPr>
      </w:pP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240" w:top="125" w:right="41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Variable Interest Entities</w:t>
      </w:r>
    </w:p>
    <w:p>
      <w:pPr>
        <w:spacing w:after="0" w:line="11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have a commitment to purchase an operating property located in New York, New York, that we currently manage as Marriott Vacation Club Pulse, New York City. Refer to Footnote No. 8, “Contingencies and Commitments” for additional information on the commitment. We are required to purchase the completed property from the third party developer unless the developer has sold the property to another party. The property is held by a variable interest entity for which we are not the primary beneficiary as we cannot prevent the variable interest entity from selling the property at a higher price. Accordingly, we have not consolidated the variable interest entity. As of September 30, 2017, our Balance Sheet reflected $8.4 million in Property and equipment related to a capital lease and leasehold improvements and $7.2 million in Debt related to the capital lease liability for ancillary and operations space we lease from the variable interest entity. In addition, a note receivable of $0.5 million is included in the Accounts and contracts receivable line on the Balance Sheet as of September 30, 2017. We believe that our maximum exposure to loss as a result of our involvement with this variable interest entity is $2.2 million as of September 30, 2017.</w:t>
      </w:r>
    </w:p>
    <w:p>
      <w:pPr>
        <w:spacing w:after="0" w:line="7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Pursuant to a commitment to repurchase an operating property located in Marco Island, Florida that was previously sold to a third-party developer, we acquired 36 completed vacation ownership units during the 2017 second quarter. Refer to Footnote No. 5, “Acquisitions and Dispositions” for additional information on this transaction. We remain obligated to repurchase the remaining portion of the operating property. Refer to Footnote No. 8, “Contingencies and Commitments” for additional information on our remaining commitment. The developer is a variable interest entity for which we are not the primary beneficiary as we do not control the variable interest entity’s development activities and cannot prevent the variable interest entity from selling the property at a higher price. Accordingly, we have not consolidated the variable interest entity. We are obligated to repurchase the remaining portion of the property from the developer contingent upon the property meeting our brand standards upon completion, provided that the third-party developer has not sold the property to another party. As of September 30, 2017, our Balance Sheet reflected $3.5 million of Inventory, $2.4 million of Other assets that relate to prepaid and other deposits, and $7.5 million of Other liabilities that relate to the deferral of gain recognition on the previous sale transaction and the deferral of revenue for development management services for the remaining purchase commitment, both of which will reduce our basis in the asset if we repurchase the property. In addition, a note receivable of $0.5 million is included in the Accounts and contracts receivable line on the Balance Sheet as of September 30, 2017. We believe that our maximum exposure to loss as a result of our involvement with this variable interest entity is less than $1 million as of September 30, 2017.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SEGMENTS</w:t>
      </w:r>
    </w:p>
    <w:p>
      <w:pPr>
        <w:spacing w:after="0" w:line="12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We define our reportable segments based on the way in which the chief operating decision maker, currently our chief executive officer, manages the operations of the company for purposes of allocating resources and assessing performance. We operate in three reportable business segments:</w:t>
      </w:r>
    </w:p>
    <w:p>
      <w:pPr>
        <w:spacing w:after="0" w:line="16" w:lineRule="exact"/>
        <w:rPr>
          <w:sz w:val="20"/>
          <w:szCs w:val="20"/>
          <w:color w:val="auto"/>
        </w:rPr>
      </w:pPr>
    </w:p>
    <w:p>
      <w:pPr>
        <w:ind w:left="660" w:right="6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our North America segment, we develop, market, sell and manage vacation ownership and related products under the Marriott Vacation Club and Grand Residences by Marriott brands. In 2016, we introduced Marriott Vacation Club Pulse, an extension to the Marriott Vacation Club brand. We also develop, market and sell vacation ownership and related products under The Ritz-Carlton Destination Club brand, as well as whole ownership residential products under The Ritz-Carlton Residences brand.</w:t>
      </w:r>
    </w:p>
    <w:p>
      <w:pPr>
        <w:spacing w:after="0" w:line="78"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our Asia Pacific segment, we develop, market, sell and manage two points-based programs that we specifically designed to appeal to the vacation preferences of the market, Marriott Vacation Club, Asia Pacific and Marriott Vacation Club Destinations, Australia, as well as a weeks-based right-to-use product.</w:t>
      </w:r>
    </w:p>
    <w:p>
      <w:pPr>
        <w:spacing w:after="0" w:line="73"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our Europe segment, we are focusing on selling our existing projects and managing existing resorts. We do not have any current plans for new development in this segment.</w:t>
      </w:r>
    </w:p>
    <w:p>
      <w:pPr>
        <w:spacing w:after="0" w:line="6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evaluate the performance of our segments based primarily on the results of the segment without allocating corporate expenses or income taxes. We do not allocate corporate interest expense, consumer financing interest expense, other financing expenses or general and administrative expenses to our segments. We include interest income specific to segment activities within the appropriate segment. We allocate other gains and losses and equity in earnings or losses from our joint ventures to each of our segments as appropriate. Corporate and other represents that portion of our revenues and other gains or losses that are not allocable to our segments.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60" w:type="dxa"/>
            <w:vAlign w:val="bottom"/>
            <w:gridSpan w:val="5"/>
          </w:tcPr>
          <w:p>
            <w:pPr>
              <w:ind w:left="1320"/>
              <w:spacing w:after="0"/>
              <w:rPr>
                <w:sz w:val="20"/>
                <w:szCs w:val="20"/>
                <w:color w:val="auto"/>
              </w:rPr>
            </w:pPr>
            <w:r>
              <w:rPr>
                <w:rFonts w:ascii="Arial" w:cs="Arial" w:eastAsia="Arial" w:hAnsi="Arial"/>
                <w:sz w:val="16"/>
                <w:szCs w:val="16"/>
                <w:b w:val="1"/>
                <w:bCs w:val="1"/>
                <w:color w:val="auto"/>
              </w:rPr>
              <w:t>Quarter Ended</w:t>
            </w:r>
          </w:p>
        </w:tc>
        <w:tc>
          <w:tcPr>
            <w:tcW w:w="200" w:type="dxa"/>
            <w:vAlign w:val="bottom"/>
          </w:tcPr>
          <w:p>
            <w:pPr>
              <w:spacing w:after="0"/>
              <w:rPr>
                <w:sz w:val="18"/>
                <w:szCs w:val="18"/>
                <w:color w:val="auto"/>
              </w:rPr>
            </w:pPr>
          </w:p>
        </w:tc>
        <w:tc>
          <w:tcPr>
            <w:tcW w:w="3840" w:type="dxa"/>
            <w:vAlign w:val="bottom"/>
            <w:gridSpan w:val="4"/>
          </w:tcPr>
          <w:p>
            <w:pPr>
              <w:jc w:val="right"/>
              <w:ind w:right="1253"/>
              <w:spacing w:after="0"/>
              <w:rPr>
                <w:sz w:val="20"/>
                <w:szCs w:val="20"/>
                <w:color w:val="auto"/>
              </w:rPr>
            </w:pPr>
            <w:r>
              <w:rPr>
                <w:rFonts w:ascii="Arial" w:cs="Arial" w:eastAsia="Arial" w:hAnsi="Arial"/>
                <w:sz w:val="16"/>
                <w:szCs w:val="16"/>
                <w:b w:val="1"/>
                <w:bCs w:val="1"/>
                <w:color w:val="auto"/>
              </w:rPr>
              <w:t>Year to Date Ended</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3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September 30, 2017</w:t>
            </w:r>
          </w:p>
        </w:tc>
        <w:tc>
          <w:tcPr>
            <w:tcW w:w="240" w:type="dxa"/>
            <w:vAlign w:val="bottom"/>
          </w:tcPr>
          <w:p>
            <w:pPr>
              <w:spacing w:after="0"/>
              <w:rPr>
                <w:sz w:val="22"/>
                <w:szCs w:val="22"/>
                <w:color w:val="auto"/>
              </w:rPr>
            </w:pPr>
          </w:p>
        </w:tc>
        <w:tc>
          <w:tcPr>
            <w:tcW w:w="1880" w:type="dxa"/>
            <w:vAlign w:val="bottom"/>
            <w:gridSpan w:val="2"/>
          </w:tcPr>
          <w:p>
            <w:pPr>
              <w:ind w:left="120"/>
              <w:spacing w:after="0"/>
              <w:rPr>
                <w:sz w:val="20"/>
                <w:szCs w:val="20"/>
                <w:color w:val="auto"/>
              </w:rPr>
            </w:pPr>
            <w:r>
              <w:rPr>
                <w:rFonts w:ascii="Arial" w:cs="Arial" w:eastAsia="Arial" w:hAnsi="Arial"/>
                <w:sz w:val="16"/>
                <w:szCs w:val="16"/>
                <w:b w:val="1"/>
                <w:bCs w:val="1"/>
                <w:color w:val="auto"/>
              </w:rPr>
              <w:t xml:space="preserve">September 9, 2016 </w:t>
            </w:r>
            <w:r>
              <w:rPr>
                <w:rFonts w:ascii="Arial" w:cs="Arial" w:eastAsia="Arial" w:hAnsi="Arial"/>
                <w:sz w:val="17"/>
                <w:szCs w:val="17"/>
                <w:b w:val="1"/>
                <w:bCs w:val="1"/>
                <w:color w:val="auto"/>
                <w:vertAlign w:val="superscript"/>
              </w:rPr>
              <w:t>(1)</w:t>
            </w:r>
          </w:p>
        </w:tc>
        <w:tc>
          <w:tcPr>
            <w:tcW w:w="200" w:type="dxa"/>
            <w:vAlign w:val="bottom"/>
          </w:tcPr>
          <w:p>
            <w:pPr>
              <w:spacing w:after="0"/>
              <w:rPr>
                <w:sz w:val="22"/>
                <w:szCs w:val="22"/>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September 30, 2017</w:t>
            </w:r>
          </w:p>
        </w:tc>
        <w:tc>
          <w:tcPr>
            <w:tcW w:w="240" w:type="dxa"/>
            <w:vAlign w:val="bottom"/>
          </w:tcPr>
          <w:p>
            <w:pPr>
              <w:spacing w:after="0"/>
              <w:rPr>
                <w:sz w:val="22"/>
                <w:szCs w:val="22"/>
                <w:color w:val="auto"/>
              </w:rPr>
            </w:pPr>
          </w:p>
        </w:tc>
        <w:tc>
          <w:tcPr>
            <w:tcW w:w="1780" w:type="dxa"/>
            <w:vAlign w:val="bottom"/>
          </w:tcPr>
          <w:p>
            <w:pPr>
              <w:jc w:val="right"/>
              <w:ind w:right="193"/>
              <w:spacing w:after="0"/>
              <w:rPr>
                <w:sz w:val="20"/>
                <w:szCs w:val="20"/>
                <w:color w:val="auto"/>
              </w:rPr>
            </w:pPr>
            <w:r>
              <w:rPr>
                <w:rFonts w:ascii="Arial" w:cs="Arial" w:eastAsia="Arial" w:hAnsi="Arial"/>
                <w:sz w:val="16"/>
                <w:szCs w:val="16"/>
                <w:b w:val="1"/>
                <w:bCs w:val="1"/>
                <w:color w:val="auto"/>
                <w:w w:val="93"/>
              </w:rPr>
              <w:t xml:space="preserve">September 9, 2016 </w:t>
            </w:r>
            <w:r>
              <w:rPr>
                <w:rFonts w:ascii="Arial" w:cs="Arial" w:eastAsia="Arial" w:hAnsi="Arial"/>
                <w:sz w:val="17"/>
                <w:szCs w:val="17"/>
                <w:b w:val="1"/>
                <w:bCs w:val="1"/>
                <w:color w:val="auto"/>
                <w:w w:val="93"/>
                <w:vertAlign w:val="superscript"/>
              </w:rPr>
              <w:t>(1)</w:t>
            </w:r>
          </w:p>
        </w:tc>
        <w:tc>
          <w:tcPr>
            <w:tcW w:w="0" w:type="dxa"/>
            <w:vAlign w:val="bottom"/>
          </w:tcPr>
          <w:p>
            <w:pPr>
              <w:spacing w:after="0"/>
              <w:rPr>
                <w:sz w:val="1"/>
                <w:szCs w:val="1"/>
                <w:color w:val="auto"/>
              </w:rPr>
            </w:pPr>
          </w:p>
        </w:tc>
      </w:tr>
      <w:tr>
        <w:trPr>
          <w:trHeight w:val="266"/>
        </w:trPr>
        <w:tc>
          <w:tcPr>
            <w:tcW w:w="30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3"/>
                <w:szCs w:val="23"/>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(92 days)</w:t>
            </w:r>
          </w:p>
        </w:tc>
        <w:tc>
          <w:tcPr>
            <w:tcW w:w="240" w:type="dxa"/>
            <w:vAlign w:val="bottom"/>
          </w:tcPr>
          <w:p>
            <w:pPr>
              <w:spacing w:after="0"/>
              <w:rPr>
                <w:sz w:val="23"/>
                <w:szCs w:val="23"/>
                <w:color w:val="auto"/>
              </w:rPr>
            </w:pPr>
          </w:p>
        </w:tc>
        <w:tc>
          <w:tcPr>
            <w:tcW w:w="1880" w:type="dxa"/>
            <w:vAlign w:val="bottom"/>
            <w:gridSpan w:val="2"/>
          </w:tcPr>
          <w:p>
            <w:pPr>
              <w:ind w:left="500"/>
              <w:spacing w:after="0"/>
              <w:rPr>
                <w:sz w:val="20"/>
                <w:szCs w:val="20"/>
                <w:color w:val="auto"/>
              </w:rPr>
            </w:pPr>
            <w:r>
              <w:rPr>
                <w:rFonts w:ascii="Arial" w:cs="Arial" w:eastAsia="Arial" w:hAnsi="Arial"/>
                <w:sz w:val="14"/>
                <w:szCs w:val="14"/>
                <w:b w:val="1"/>
                <w:bCs w:val="1"/>
                <w:color w:val="auto"/>
              </w:rPr>
              <w:t>(84 days)</w:t>
            </w:r>
          </w:p>
        </w:tc>
        <w:tc>
          <w:tcPr>
            <w:tcW w:w="200" w:type="dxa"/>
            <w:vAlign w:val="bottom"/>
          </w:tcPr>
          <w:p>
            <w:pPr>
              <w:spacing w:after="0"/>
              <w:rPr>
                <w:sz w:val="23"/>
                <w:szCs w:val="23"/>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(274 days)</w:t>
            </w:r>
          </w:p>
        </w:tc>
        <w:tc>
          <w:tcPr>
            <w:tcW w:w="240" w:type="dxa"/>
            <w:vAlign w:val="bottom"/>
          </w:tcPr>
          <w:p>
            <w:pPr>
              <w:spacing w:after="0"/>
              <w:rPr>
                <w:sz w:val="23"/>
                <w:szCs w:val="23"/>
                <w:color w:val="auto"/>
              </w:rPr>
            </w:pPr>
          </w:p>
        </w:tc>
        <w:tc>
          <w:tcPr>
            <w:tcW w:w="1780" w:type="dxa"/>
            <w:vAlign w:val="bottom"/>
          </w:tcPr>
          <w:p>
            <w:pPr>
              <w:jc w:val="right"/>
              <w:ind w:right="613"/>
              <w:spacing w:after="0"/>
              <w:rPr>
                <w:sz w:val="20"/>
                <w:szCs w:val="20"/>
                <w:color w:val="auto"/>
              </w:rPr>
            </w:pPr>
            <w:r>
              <w:rPr>
                <w:rFonts w:ascii="Arial" w:cs="Arial" w:eastAsia="Arial" w:hAnsi="Arial"/>
                <w:sz w:val="14"/>
                <w:szCs w:val="14"/>
                <w:b w:val="1"/>
                <w:bCs w:val="1"/>
                <w:color w:val="auto"/>
              </w:rPr>
              <w:t>(252 days)</w:t>
            </w:r>
          </w:p>
        </w:tc>
        <w:tc>
          <w:tcPr>
            <w:tcW w:w="0" w:type="dxa"/>
            <w:vAlign w:val="bottom"/>
          </w:tcPr>
          <w:p>
            <w:pPr>
              <w:spacing w:after="0"/>
              <w:rPr>
                <w:sz w:val="1"/>
                <w:szCs w:val="1"/>
                <w:color w:val="auto"/>
              </w:rPr>
            </w:pPr>
          </w:p>
        </w:tc>
      </w:tr>
      <w:tr>
        <w:trPr>
          <w:trHeight w:val="250"/>
        </w:trPr>
        <w:tc>
          <w:tcPr>
            <w:tcW w:w="3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437,801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358,799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1,341,430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1,117,419</w:t>
            </w:r>
          </w:p>
        </w:tc>
        <w:tc>
          <w:tcPr>
            <w:tcW w:w="0" w:type="dxa"/>
            <w:vAlign w:val="bottom"/>
          </w:tcPr>
          <w:p>
            <w:pPr>
              <w:spacing w:after="0"/>
              <w:rPr>
                <w:sz w:val="1"/>
                <w:szCs w:val="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Asia Pacific</w:t>
            </w: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16,952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14,760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50,482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33"/>
              <w:spacing w:after="0"/>
              <w:rPr>
                <w:sz w:val="20"/>
                <w:szCs w:val="20"/>
                <w:color w:val="auto"/>
              </w:rPr>
            </w:pPr>
            <w:r>
              <w:rPr>
                <w:rFonts w:ascii="Arial" w:cs="Arial" w:eastAsia="Arial" w:hAnsi="Arial"/>
                <w:sz w:val="18"/>
                <w:szCs w:val="18"/>
                <w:color w:val="auto"/>
              </w:rPr>
              <w:t>53,168</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78,817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73,343</w:t>
            </w:r>
          </w:p>
        </w:tc>
        <w:tc>
          <w:tcPr>
            <w:tcW w:w="0" w:type="dxa"/>
            <w:vAlign w:val="bottom"/>
          </w:tcPr>
          <w:p>
            <w:pPr>
              <w:spacing w:after="0"/>
              <w:rPr>
                <w:sz w:val="1"/>
                <w:szCs w:val="1"/>
                <w:color w:val="auto"/>
              </w:rPr>
            </w:pPr>
          </w:p>
        </w:tc>
      </w:tr>
      <w:tr>
        <w:trPr>
          <w:trHeight w:val="237"/>
        </w:trPr>
        <w:tc>
          <w:tcPr>
            <w:tcW w:w="3040" w:type="dxa"/>
            <w:vAlign w:val="bottom"/>
          </w:tcPr>
          <w:p>
            <w:pPr>
              <w:ind w:left="280"/>
              <w:spacing w:after="0"/>
              <w:rPr>
                <w:sz w:val="20"/>
                <w:szCs w:val="20"/>
                <w:color w:val="auto"/>
              </w:rPr>
            </w:pPr>
            <w:r>
              <w:rPr>
                <w:rFonts w:ascii="Arial" w:cs="Arial" w:eastAsia="Arial" w:hAnsi="Arial"/>
                <w:sz w:val="18"/>
                <w:szCs w:val="18"/>
                <w:color w:val="auto"/>
              </w:rPr>
              <w:t>Total segment revenues</w:t>
            </w: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486,990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401,637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1,470,729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1,243,930</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486,990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401,637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1,470,729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1,243,930</w:t>
            </w:r>
          </w:p>
        </w:tc>
        <w:tc>
          <w:tcPr>
            <w:tcW w:w="0" w:type="dxa"/>
            <w:vAlign w:val="bottom"/>
          </w:tcPr>
          <w:p>
            <w:pPr>
              <w:spacing w:after="0"/>
              <w:rPr>
                <w:sz w:val="1"/>
                <w:szCs w:val="1"/>
                <w:color w:val="auto"/>
              </w:rPr>
            </w:pPr>
          </w:p>
        </w:tc>
      </w:tr>
      <w:tr>
        <w:trPr>
          <w:trHeight w:val="27"/>
        </w:trPr>
        <w:tc>
          <w:tcPr>
            <w:tcW w:w="30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4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Includes an immaterial reclassification of activity between the North America and Asia Pacific segments.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gridSpan w:val="5"/>
          </w:tcPr>
          <w:p>
            <w:pPr>
              <w:ind w:left="1320"/>
              <w:spacing w:after="0"/>
              <w:rPr>
                <w:sz w:val="20"/>
                <w:szCs w:val="20"/>
                <w:color w:val="auto"/>
              </w:rPr>
            </w:pPr>
            <w:r>
              <w:rPr>
                <w:rFonts w:ascii="Arial" w:cs="Arial" w:eastAsia="Arial" w:hAnsi="Arial"/>
                <w:sz w:val="16"/>
                <w:szCs w:val="16"/>
                <w:b w:val="1"/>
                <w:bCs w:val="1"/>
                <w:color w:val="auto"/>
              </w:rPr>
              <w:t>Quarter Ended</w:t>
            </w:r>
          </w:p>
        </w:tc>
        <w:tc>
          <w:tcPr>
            <w:tcW w:w="220" w:type="dxa"/>
            <w:vAlign w:val="bottom"/>
          </w:tcPr>
          <w:p>
            <w:pPr>
              <w:spacing w:after="0"/>
              <w:rPr>
                <w:sz w:val="18"/>
                <w:szCs w:val="18"/>
                <w:color w:val="auto"/>
              </w:rPr>
            </w:pPr>
          </w:p>
        </w:tc>
        <w:tc>
          <w:tcPr>
            <w:tcW w:w="3860" w:type="dxa"/>
            <w:vAlign w:val="bottom"/>
            <w:gridSpan w:val="4"/>
          </w:tcPr>
          <w:p>
            <w:pPr>
              <w:jc w:val="right"/>
              <w:ind w:right="1253"/>
              <w:spacing w:after="0"/>
              <w:rPr>
                <w:sz w:val="20"/>
                <w:szCs w:val="20"/>
                <w:color w:val="auto"/>
              </w:rPr>
            </w:pPr>
            <w:r>
              <w:rPr>
                <w:rFonts w:ascii="Arial" w:cs="Arial" w:eastAsia="Arial" w:hAnsi="Arial"/>
                <w:sz w:val="16"/>
                <w:szCs w:val="16"/>
                <w:b w:val="1"/>
                <w:bCs w:val="1"/>
                <w:color w:val="auto"/>
              </w:rPr>
              <w:t>Year to Date Ended</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3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September 30, 2017</w:t>
            </w:r>
          </w:p>
        </w:tc>
        <w:tc>
          <w:tcPr>
            <w:tcW w:w="240" w:type="dxa"/>
            <w:vAlign w:val="bottom"/>
          </w:tcPr>
          <w:p>
            <w:pPr>
              <w:spacing w:after="0"/>
              <w:rPr>
                <w:sz w:val="22"/>
                <w:szCs w:val="22"/>
                <w:color w:val="auto"/>
              </w:rPr>
            </w:pPr>
          </w:p>
        </w:tc>
        <w:tc>
          <w:tcPr>
            <w:tcW w:w="1900" w:type="dxa"/>
            <w:vAlign w:val="bottom"/>
            <w:gridSpan w:val="2"/>
          </w:tcPr>
          <w:p>
            <w:pPr>
              <w:ind w:left="120"/>
              <w:spacing w:after="0"/>
              <w:rPr>
                <w:sz w:val="20"/>
                <w:szCs w:val="20"/>
                <w:color w:val="auto"/>
              </w:rPr>
            </w:pPr>
            <w:r>
              <w:rPr>
                <w:rFonts w:ascii="Arial" w:cs="Arial" w:eastAsia="Arial" w:hAnsi="Arial"/>
                <w:sz w:val="16"/>
                <w:szCs w:val="16"/>
                <w:b w:val="1"/>
                <w:bCs w:val="1"/>
                <w:color w:val="auto"/>
              </w:rPr>
              <w:t xml:space="preserve">September 9, 2016 </w:t>
            </w:r>
            <w:r>
              <w:rPr>
                <w:rFonts w:ascii="Arial" w:cs="Arial" w:eastAsia="Arial" w:hAnsi="Arial"/>
                <w:sz w:val="17"/>
                <w:szCs w:val="17"/>
                <w:b w:val="1"/>
                <w:bCs w:val="1"/>
                <w:color w:val="auto"/>
                <w:vertAlign w:val="superscript"/>
              </w:rPr>
              <w:t>(1)</w:t>
            </w:r>
          </w:p>
        </w:tc>
        <w:tc>
          <w:tcPr>
            <w:tcW w:w="220" w:type="dxa"/>
            <w:vAlign w:val="bottom"/>
          </w:tcPr>
          <w:p>
            <w:pPr>
              <w:spacing w:after="0"/>
              <w:rPr>
                <w:sz w:val="22"/>
                <w:szCs w:val="22"/>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September 30, 2017</w:t>
            </w:r>
          </w:p>
        </w:tc>
        <w:tc>
          <w:tcPr>
            <w:tcW w:w="240" w:type="dxa"/>
            <w:vAlign w:val="bottom"/>
          </w:tcPr>
          <w:p>
            <w:pPr>
              <w:spacing w:after="0"/>
              <w:rPr>
                <w:sz w:val="22"/>
                <w:szCs w:val="22"/>
                <w:color w:val="auto"/>
              </w:rPr>
            </w:pPr>
          </w:p>
        </w:tc>
        <w:tc>
          <w:tcPr>
            <w:tcW w:w="1800" w:type="dxa"/>
            <w:vAlign w:val="bottom"/>
          </w:tcPr>
          <w:p>
            <w:pPr>
              <w:jc w:val="right"/>
              <w:ind w:right="193"/>
              <w:spacing w:after="0"/>
              <w:rPr>
                <w:sz w:val="20"/>
                <w:szCs w:val="20"/>
                <w:color w:val="auto"/>
              </w:rPr>
            </w:pPr>
            <w:r>
              <w:rPr>
                <w:rFonts w:ascii="Arial" w:cs="Arial" w:eastAsia="Arial" w:hAnsi="Arial"/>
                <w:sz w:val="16"/>
                <w:szCs w:val="16"/>
                <w:b w:val="1"/>
                <w:bCs w:val="1"/>
                <w:color w:val="auto"/>
                <w:w w:val="94"/>
              </w:rPr>
              <w:t xml:space="preserve">September 9, 2016 </w:t>
            </w:r>
            <w:r>
              <w:rPr>
                <w:rFonts w:ascii="Arial" w:cs="Arial" w:eastAsia="Arial" w:hAnsi="Arial"/>
                <w:sz w:val="17"/>
                <w:szCs w:val="17"/>
                <w:b w:val="1"/>
                <w:bCs w:val="1"/>
                <w:color w:val="auto"/>
                <w:w w:val="94"/>
                <w:vertAlign w:val="superscript"/>
              </w:rPr>
              <w:t>(1)</w:t>
            </w:r>
          </w:p>
        </w:tc>
        <w:tc>
          <w:tcPr>
            <w:tcW w:w="0" w:type="dxa"/>
            <w:vAlign w:val="bottom"/>
          </w:tcPr>
          <w:p>
            <w:pPr>
              <w:spacing w:after="0"/>
              <w:rPr>
                <w:sz w:val="1"/>
                <w:szCs w:val="1"/>
                <w:color w:val="auto"/>
              </w:rPr>
            </w:pPr>
          </w:p>
        </w:tc>
      </w:tr>
      <w:tr>
        <w:trPr>
          <w:trHeight w:val="266"/>
        </w:trPr>
        <w:tc>
          <w:tcPr>
            <w:tcW w:w="3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Pr>
          <w:p>
            <w:pPr>
              <w:spacing w:after="0"/>
              <w:rPr>
                <w:sz w:val="23"/>
                <w:szCs w:val="23"/>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(92 days)</w:t>
            </w:r>
          </w:p>
        </w:tc>
        <w:tc>
          <w:tcPr>
            <w:tcW w:w="240" w:type="dxa"/>
            <w:vAlign w:val="bottom"/>
          </w:tcPr>
          <w:p>
            <w:pPr>
              <w:spacing w:after="0"/>
              <w:rPr>
                <w:sz w:val="23"/>
                <w:szCs w:val="23"/>
                <w:color w:val="auto"/>
              </w:rPr>
            </w:pPr>
          </w:p>
        </w:tc>
        <w:tc>
          <w:tcPr>
            <w:tcW w:w="1900" w:type="dxa"/>
            <w:vAlign w:val="bottom"/>
            <w:gridSpan w:val="2"/>
          </w:tcPr>
          <w:p>
            <w:pPr>
              <w:ind w:left="500"/>
              <w:spacing w:after="0"/>
              <w:rPr>
                <w:sz w:val="20"/>
                <w:szCs w:val="20"/>
                <w:color w:val="auto"/>
              </w:rPr>
            </w:pPr>
            <w:r>
              <w:rPr>
                <w:rFonts w:ascii="Arial" w:cs="Arial" w:eastAsia="Arial" w:hAnsi="Arial"/>
                <w:sz w:val="14"/>
                <w:szCs w:val="14"/>
                <w:b w:val="1"/>
                <w:bCs w:val="1"/>
                <w:color w:val="auto"/>
              </w:rPr>
              <w:t>(84 days)</w:t>
            </w:r>
          </w:p>
        </w:tc>
        <w:tc>
          <w:tcPr>
            <w:tcW w:w="220" w:type="dxa"/>
            <w:vAlign w:val="bottom"/>
          </w:tcPr>
          <w:p>
            <w:pPr>
              <w:spacing w:after="0"/>
              <w:rPr>
                <w:sz w:val="23"/>
                <w:szCs w:val="23"/>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(274 days)</w:t>
            </w:r>
          </w:p>
        </w:tc>
        <w:tc>
          <w:tcPr>
            <w:tcW w:w="240" w:type="dxa"/>
            <w:vAlign w:val="bottom"/>
          </w:tcPr>
          <w:p>
            <w:pPr>
              <w:spacing w:after="0"/>
              <w:rPr>
                <w:sz w:val="23"/>
                <w:szCs w:val="23"/>
                <w:color w:val="auto"/>
              </w:rPr>
            </w:pPr>
          </w:p>
        </w:tc>
        <w:tc>
          <w:tcPr>
            <w:tcW w:w="1800" w:type="dxa"/>
            <w:vAlign w:val="bottom"/>
          </w:tcPr>
          <w:p>
            <w:pPr>
              <w:jc w:val="right"/>
              <w:ind w:right="613"/>
              <w:spacing w:after="0"/>
              <w:rPr>
                <w:sz w:val="20"/>
                <w:szCs w:val="20"/>
                <w:color w:val="auto"/>
              </w:rPr>
            </w:pPr>
            <w:r>
              <w:rPr>
                <w:rFonts w:ascii="Arial" w:cs="Arial" w:eastAsia="Arial" w:hAnsi="Arial"/>
                <w:sz w:val="14"/>
                <w:szCs w:val="14"/>
                <w:b w:val="1"/>
                <w:bCs w:val="1"/>
                <w:color w:val="auto"/>
              </w:rPr>
              <w:t>(252 days)</w:t>
            </w:r>
          </w:p>
        </w:tc>
        <w:tc>
          <w:tcPr>
            <w:tcW w:w="0" w:type="dxa"/>
            <w:vAlign w:val="bottom"/>
          </w:tcPr>
          <w:p>
            <w:pPr>
              <w:spacing w:after="0"/>
              <w:rPr>
                <w:sz w:val="1"/>
                <w:szCs w:val="1"/>
                <w:color w:val="auto"/>
              </w:rPr>
            </w:pPr>
          </w:p>
        </w:tc>
      </w:tr>
      <w:tr>
        <w:trPr>
          <w:trHeight w:val="250"/>
        </w:trPr>
        <w:tc>
          <w:tcPr>
            <w:tcW w:w="3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103,904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82,294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327,210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282,242</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Asia Pacific</w:t>
            </w:r>
          </w:p>
        </w:tc>
        <w:tc>
          <w:tcPr>
            <w:tcW w:w="2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10,939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7,079</w:t>
            </w:r>
          </w:p>
        </w:tc>
        <w:tc>
          <w:tcPr>
            <w:tcW w:w="0" w:type="dxa"/>
            <w:vAlign w:val="bottom"/>
          </w:tcPr>
          <w:p>
            <w:pPr>
              <w:spacing w:after="0"/>
              <w:rPr>
                <w:sz w:val="1"/>
                <w:szCs w:val="1"/>
                <w:color w:val="auto"/>
              </w:rPr>
            </w:pPr>
          </w:p>
        </w:tc>
      </w:tr>
      <w:tr>
        <w:trPr>
          <w:trHeight w:val="237"/>
        </w:trPr>
        <w:tc>
          <w:tcPr>
            <w:tcW w:w="3080" w:type="dxa"/>
            <w:vAlign w:val="bottom"/>
          </w:tcPr>
          <w:p>
            <w:pPr>
              <w:ind w:left="280"/>
              <w:spacing w:after="0"/>
              <w:rPr>
                <w:sz w:val="20"/>
                <w:szCs w:val="20"/>
                <w:color w:val="auto"/>
              </w:rPr>
            </w:pPr>
            <w:r>
              <w:rPr>
                <w:rFonts w:ascii="Arial" w:cs="Arial" w:eastAsia="Arial" w:hAnsi="Arial"/>
                <w:sz w:val="18"/>
                <w:szCs w:val="18"/>
                <w:color w:val="auto"/>
              </w:rPr>
              <w:t>Total segment financial results</w:t>
            </w:r>
          </w:p>
        </w:tc>
        <w:tc>
          <w:tcPr>
            <w:tcW w:w="2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110,198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88,021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337,597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288,898</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(156,720)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(146,718)</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(22,367)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(14,041)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(62,139)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(54,656)</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0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40,762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118,738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87,524</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Includes an immaterial reclassification of activity between the North America and Asia Pacific segments.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w w:val="96"/>
              </w:rPr>
              <w:t>At September 30, 2017</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w w:val="97"/>
              </w:rPr>
              <w:t>At December 30, 2016</w:t>
            </w: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5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2,102,691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1,968,021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Asia Pacific</w:t>
            </w:r>
          </w:p>
        </w:tc>
        <w:tc>
          <w:tcPr>
            <w:tcW w:w="2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131,486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102,348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2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67,433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62,245</w:t>
            </w:r>
          </w:p>
        </w:tc>
        <w:tc>
          <w:tcPr>
            <w:tcW w:w="0" w:type="dxa"/>
            <w:vAlign w:val="bottom"/>
          </w:tcPr>
          <w:p>
            <w:pPr>
              <w:spacing w:after="0"/>
              <w:rPr>
                <w:sz w:val="1"/>
                <w:szCs w:val="1"/>
                <w:color w:val="auto"/>
              </w:rPr>
            </w:pPr>
          </w:p>
        </w:tc>
      </w:tr>
      <w:tr>
        <w:trPr>
          <w:trHeight w:val="237"/>
        </w:trPr>
        <w:tc>
          <w:tcPr>
            <w:tcW w:w="3680" w:type="dxa"/>
            <w:vAlign w:val="bottom"/>
          </w:tcPr>
          <w:p>
            <w:pPr>
              <w:ind w:left="280"/>
              <w:spacing w:after="0"/>
              <w:rPr>
                <w:sz w:val="20"/>
                <w:szCs w:val="20"/>
                <w:color w:val="auto"/>
              </w:rPr>
            </w:pPr>
            <w:r>
              <w:rPr>
                <w:rFonts w:ascii="Arial" w:cs="Arial" w:eastAsia="Arial" w:hAnsi="Arial"/>
                <w:sz w:val="18"/>
                <w:szCs w:val="18"/>
                <w:color w:val="auto"/>
              </w:rPr>
              <w:t>Total segment assets</w:t>
            </w:r>
          </w:p>
        </w:tc>
        <w:tc>
          <w:tcPr>
            <w:tcW w:w="22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2,301,610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2,132,614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22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521,426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258,805</w:t>
            </w: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2,823,036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2,391,419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280" w:type="dxa"/>
            <w:vAlign w:val="bottom"/>
            <w:vMerge w:val="restart"/>
          </w:tcPr>
          <w:p>
            <w:pPr>
              <w:jc w:val="right"/>
              <w:ind w:right="70"/>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28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8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5" w:right="2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make forward-looking statements in Management’s Discussion and Analysis of Financial Condition and Results of Operations and elsewhere in this Quarterly Report on Form 10-Q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8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Forward-looking statements involve risks, uncertainties and assumptions. Actual results may differ materially from those expressed in these forward-looking statements. You should not put undue reliance on any forward-looking statements in this Quarterly Report. We do not have any intention or obligation to update forward-looking statements after the date of this Quarterly Report on Form 10-Q, except as required by law.</w:t>
      </w:r>
    </w:p>
    <w:p>
      <w:pPr>
        <w:spacing w:after="0" w:line="5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risk factors discussed in “Risk Factors” in our most recent Annual Report on Form 10-K and in this Quarterly Report on Form 10-Q, and which may be discussed in subsequent Quarterly Reports on Form 10-Q,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8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Financial Statements (as defined below), which we discuss below, reflect our historical financial condition, results of operations and cash flows. The financial information discussed below and included in this Quarterly Report on Form 10-Q may not necessarily reflect what our financial condition, results of operations or cash flows may be in the future. In order to make this report easier to read, we refer to (i) our Interim Consolidated Financial Statements as our “Financial Statements,” (ii) our Interim Consolidated Statements of Income as our “Statements of Income,” (iii) our Interim Consolidated Balance Sheets as our “Balance Sheets,” and (iv) our Interim Consolidated Statements of Cash Flows as our “Cash Flows.” In addition, references throughout to numbered “Footnotes” refer to the numbered Notes to our Financial Statements that we include in the Financial Statements section of this Quarterly Report on Form 10-Q.</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are one of the world’s largest companies whose business is focused almost entirely on vacation ownership, based on number of owners, number of resorts and revenues. We are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w:t>
      </w:r>
    </w:p>
    <w:p>
      <w:pPr>
        <w:spacing w:after="0" w:line="80"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In 2016, we introduced Marriott Vacation Club Pulse, an extension to the Marriott Vacation Club brand, which features unique properties that embrace the spirit and culture of their urban locations, creating an authentic sense of place while delivering easy access to local interests, attractions and transportation.</w:t>
      </w:r>
    </w:p>
    <w:p>
      <w:pPr>
        <w:spacing w:after="0" w:line="73"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Our business is grouped into three reportable segments: North America, Asia Pacific and Europe. As of September 30, 2017, our portfolio consisted of over 65 properties in the United States and nine other countries and territories. We generate most of our revenues from four primary sources: selling vacation ownership products; managing our resorts; financing consumer purchases of vacation ownership products; and renting vacation ownership inventory.</w:t>
      </w:r>
    </w:p>
    <w:p>
      <w:pPr>
        <w:spacing w:after="0" w:line="3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As further detailed in Footnote No. 1, “Summary of Significant Accounting Policies,” to our Financial Statements, beginning with our 2017 fiscal year, we changed our financial reporting cycle to a calendar year-end and end-of-month quarterly reporting cycle. Accordingly, our 2017 fiscal year began on December 31, 2016 (the day after the end of the 2016 fiscal year) and will end on December 31, 2017.</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shows the reporting periods as we refer to them in this report, their date ranges, and the number of days in each:</w:t>
      </w:r>
    </w:p>
    <w:p>
      <w:pPr>
        <w:spacing w:after="0" w:line="167"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Reporting Period</w:t>
            </w:r>
          </w:p>
        </w:tc>
        <w:tc>
          <w:tcPr>
            <w:tcW w:w="4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Date Range</w:t>
            </w:r>
          </w:p>
        </w:tc>
        <w:tc>
          <w:tcPr>
            <w:tcW w:w="2180" w:type="dxa"/>
            <w:vAlign w:val="bottom"/>
          </w:tcPr>
          <w:p>
            <w:pPr>
              <w:ind w:left="460"/>
              <w:spacing w:after="0"/>
              <w:rPr>
                <w:sz w:val="20"/>
                <w:szCs w:val="20"/>
                <w:color w:val="auto"/>
              </w:rPr>
            </w:pPr>
            <w:r>
              <w:rPr>
                <w:rFonts w:ascii="Arial" w:cs="Arial" w:eastAsia="Arial" w:hAnsi="Arial"/>
                <w:sz w:val="18"/>
                <w:szCs w:val="18"/>
                <w:b w:val="1"/>
                <w:bCs w:val="1"/>
                <w:color w:val="auto"/>
              </w:rPr>
              <w:t>Number of Days</w:t>
            </w:r>
          </w:p>
        </w:tc>
      </w:tr>
      <w:tr>
        <w:trPr>
          <w:trHeight w:val="27"/>
        </w:trPr>
        <w:tc>
          <w:tcPr>
            <w:tcW w:w="2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2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2017 third quarter</w:t>
            </w:r>
          </w:p>
        </w:tc>
        <w:tc>
          <w:tcPr>
            <w:tcW w:w="45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July 1, 2017 — September 30, 2017</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92</w:t>
            </w:r>
          </w:p>
        </w:tc>
      </w:tr>
      <w:tr>
        <w:trPr>
          <w:trHeight w:val="243"/>
        </w:trPr>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2016 third quarter</w:t>
            </w:r>
          </w:p>
        </w:tc>
        <w:tc>
          <w:tcPr>
            <w:tcW w:w="45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June 18, 2016 — September 9, 2016</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84</w:t>
            </w: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2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2017 first three quarters</w:t>
            </w:r>
          </w:p>
        </w:tc>
        <w:tc>
          <w:tcPr>
            <w:tcW w:w="45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December 31, 2016 — September 30, 2017</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274</w:t>
            </w:r>
          </w:p>
        </w:tc>
      </w:tr>
      <w:tr>
        <w:trPr>
          <w:trHeight w:val="243"/>
        </w:trPr>
        <w:tc>
          <w:tcPr>
            <w:tcW w:w="23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2016 first three quarters</w:t>
            </w:r>
          </w:p>
        </w:tc>
        <w:tc>
          <w:tcPr>
            <w:tcW w:w="45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January 2, 2016 — September 9, 2016</w:t>
            </w:r>
          </w:p>
        </w:tc>
        <w:tc>
          <w:tcPr>
            <w:tcW w:w="2180" w:type="dxa"/>
            <w:vAlign w:val="bottom"/>
          </w:tcPr>
          <w:p>
            <w:pPr>
              <w:jc w:val="center"/>
              <w:spacing w:after="0"/>
              <w:rPr>
                <w:sz w:val="20"/>
                <w:szCs w:val="20"/>
                <w:color w:val="auto"/>
              </w:rPr>
            </w:pPr>
            <w:r>
              <w:rPr>
                <w:rFonts w:ascii="Arial" w:cs="Arial" w:eastAsia="Arial" w:hAnsi="Arial"/>
                <w:sz w:val="18"/>
                <w:szCs w:val="18"/>
                <w:color w:val="auto"/>
                <w:w w:val="93"/>
              </w:rPr>
              <w:t>252</w:t>
            </w: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2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2017 fiscal year</w:t>
            </w:r>
          </w:p>
        </w:tc>
        <w:tc>
          <w:tcPr>
            <w:tcW w:w="45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December 31, 2016 — December 31, 2017</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366</w:t>
            </w:r>
          </w:p>
        </w:tc>
      </w:tr>
      <w:tr>
        <w:trPr>
          <w:trHeight w:val="243"/>
        </w:trPr>
        <w:tc>
          <w:tcPr>
            <w:tcW w:w="23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2016 fiscal year</w:t>
            </w:r>
          </w:p>
        </w:tc>
        <w:tc>
          <w:tcPr>
            <w:tcW w:w="45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January 2, 2016 — December 30, 2016</w:t>
            </w:r>
          </w:p>
        </w:tc>
        <w:tc>
          <w:tcPr>
            <w:tcW w:w="2180" w:type="dxa"/>
            <w:vAlign w:val="bottom"/>
          </w:tcPr>
          <w:p>
            <w:pPr>
              <w:jc w:val="center"/>
              <w:spacing w:after="0"/>
              <w:rPr>
                <w:sz w:val="20"/>
                <w:szCs w:val="20"/>
                <w:color w:val="auto"/>
              </w:rPr>
            </w:pPr>
            <w:r>
              <w:rPr>
                <w:rFonts w:ascii="Arial" w:cs="Arial" w:eastAsia="Arial" w:hAnsi="Arial"/>
                <w:sz w:val="18"/>
                <w:szCs w:val="18"/>
                <w:color w:val="auto"/>
                <w:w w:val="93"/>
              </w:rPr>
              <w:t>364</w:t>
            </w:r>
          </w:p>
        </w:tc>
      </w:tr>
    </w:tbl>
    <w:p>
      <w:pPr>
        <w:spacing w:after="0" w:line="12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As a result of the change in our financial reporting calendar, we had eight more days in the 2017 third quarter than we had in the 2016 third quarter, and 22 more days in the 2017 first three quarters than we had in the 2016 first three quarters. We estimate that 2016 third quarter contract sales would have been approximately $17 million higher and that 2016 first three quarters contract sales would have been approximately $43 million higher on a comparable basis. Prior year results have not been restated for the impact of the change in our financial reporting calendar.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Hurricane Activity</w:t>
      </w:r>
    </w:p>
    <w:p>
      <w:pPr>
        <w:spacing w:after="0" w:line="117"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During the third quarter of 2017, over 20 properties within our North America segment were negatively impacted by one or both of Hurricane Irma and Hurricane Maria (the “Hurricanes”). As a result of the mandatory evacuations, shutdowns and cancellations of reservations and scheduled tours resulting from the Hurricanes, the sales operations at several of our locations, primarily those located on St. Thomas (USVI) and on Marco Island and Singer Island in Florida, were adversely impacted along with rental and ancillary operations.</w:t>
      </w:r>
    </w:p>
    <w:p>
      <w:pPr>
        <w:spacing w:after="0" w:line="7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While many of the properties and sales centers impacted by the Hurricanes were fully or partially open by the end of September, two resorts and a sales center on St. Thomas remain closed and we are not currently in a position to predict when they will reopen. Further, while some of the properties were fully or partially open, many of the operations will continue to ramp-up throughout the fourth quarter of 2017, and potentially into 2018. We have estimated the impact these Hurricanes had on our third quarter contract sales and tours and included them in our discussion of the results below. Given the continued ramp-up throughout the fourth quarter of 2017, we expect additional impacts on our fourth quarter contract sales and tours. We expect to submit a claim for our business interruption losses as well as property damage experienced by both us and our owners’ associations from these Hurricanes; however, we cannot quantify the extent of any such mitigation at this time and we do not expect any insurance proceeds to be received in 2017.</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summary of significant accounting policies used in our business that will be used in describing our results of operations.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We recognize revenues from the sale of vacation ownership products when all of the following conditions exist: a binding sales contract has been executed; the statutory rescission period has expired; the receivable is deemed collectible; and the remainder of our obligations are substantially completed.</w:t>
      </w:r>
    </w:p>
    <w:p>
      <w:pPr>
        <w:spacing w:after="0" w:line="1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Sales of vacation ownership products may be made for cash or we may provide financing. For sales where we provide financing, we defer revenue recognition until we receive a minimum down payment equal to ten percent of the purchase price plus the fair value of certain sales incentives provided to the purchaser. These sales incentives typically include Marriott Rewards Points or an alternative sales incentive that we refer to as “plus points.” These plus points are redeemable for stays at our resorts or for use in the Explorer Collection, generally up to two years from the date of issuance. Typically, sales incentives are only awarded if the sale is closed.</w:t>
      </w:r>
    </w:p>
    <w:p>
      <w:pPr>
        <w:spacing w:after="0" w:line="80"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As a result of the down payment requirement described above and the requirement that the statutory rescission period has expired, we often defer revenues associated with the sale of vacation ownership products from the date of the purchase agreement to a future period. When comparing results year-over-year, this deferral frequently generates significant variances, which we refer to as the impact of revenue reportability.</w:t>
      </w:r>
    </w:p>
    <w:p>
      <w:pPr>
        <w:spacing w:after="0" w:line="5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Finally, as more fully described in the “Financing” section below, we record an estimate of expected uncollectibility on all vacation ownership notes receivable (also known as a vacation ownership notes receivable reserve or a sales reserve) as a reduction of revenues from the sale of vacation ownership products at the time we recognize revenues from a sale.</w:t>
      </w:r>
    </w:p>
    <w:p>
      <w:pPr>
        <w:spacing w:after="0" w:line="7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report, on a supplemental basis, contract sales for each of our three segments. Contract sales consist of the total amount of vacation ownership product sales under purchase agreements signed during the period where we have received a</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5"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down payment of at least ten percent of the contract price, reduced by actual rescissions during the period. In circumstances where a customer applies any or all of their existing ownership interests as part of the purchase price for additional interests, we include only the incremental value purchased as contract sales. Contract sales differ from revenues from the sale of vacation ownership products that we report on our Statements of Income due to the requirements for revenue recognition described above. We consider contract sales to be an important operating measure because it reflects the pace of sales in our business.</w:t>
      </w:r>
    </w:p>
    <w:p>
      <w:pPr>
        <w:spacing w:after="0" w:line="4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Cost of vacation ownership products includes costs to develop and construct our projects (also known as real estate inventory costs) as well as other non-capitalizable costs associated with the overall project development process. For each project, we expense real estate inventory costs in the same proportion as the revenue recognized. Consistent with the applicable accounting guidance, to the extent there is a change in the estimated sales revenues or real estate inventory costs for the project in a period, a non-cash adjustment is recorded on our Statements of Income to true-up costs in that period to those that would have been recorded historically if the revised estimates had been used. These true-ups, which we refer to as product cost true-up activity, will have a positive or negative impact on our Statements of Income.</w:t>
      </w:r>
    </w:p>
    <w:p>
      <w:pPr>
        <w:spacing w:after="0" w:line="8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Resort Management and Other Services</w:t>
      </w:r>
    </w:p>
    <w:p>
      <w:pPr>
        <w:spacing w:after="0" w:line="11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resort management and other services revenues include revenues generated from fees we earn for managing each of our resorts. In addition, we earn revenue for providing ancillary offerings, including food and beverage, retail, and golf and spa offerings, at our resorts. We also receive annual fees, club dues, settlement fees from the sale of vacation ownership products and certain transaction-based fees from owners and other third parties, including external exchange service providers with which we are associated.</w:t>
      </w:r>
    </w:p>
    <w:p>
      <w:pPr>
        <w:spacing w:after="0" w:line="79"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We provide day-to-day management services, including housekeeping services, operation of reservation systems, maintenance, and certain accounting and administrative services for property owners’ associations. We receive compensation for these management services; this compensation is typically based on either a percentage of the budgeted costs to operate the resorts or a fixed fee arrangement. We earn these fees regardless of usage or occupancy.</w:t>
      </w:r>
    </w:p>
    <w:p>
      <w:pPr>
        <w:spacing w:after="0" w:line="7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Resort management and other services expenses include costs to operate the food and beverage and other ancillary operations and overall customer support services, including reservations, certain transaction-based expenses relating to external exchange service providers and settlement expenses from the sale of vacation ownership products.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130" w:lineRule="exact"/>
        <w:rPr>
          <w:sz w:val="20"/>
          <w:szCs w:val="20"/>
          <w:color w:val="auto"/>
        </w:rPr>
      </w:pPr>
    </w:p>
    <w:tbl>
      <w:tblPr>
        <w:tblLayout w:type="fixed"/>
        <w:tblInd w:w="104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3740" w:type="dxa"/>
            <w:vAlign w:val="bottom"/>
            <w:gridSpan w:val="3"/>
          </w:tcPr>
          <w:p>
            <w:pPr>
              <w:ind w:left="1200"/>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5600" w:type="dxa"/>
            <w:vAlign w:val="bottom"/>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1"/>
        </w:trPr>
        <w:tc>
          <w:tcPr>
            <w:tcW w:w="5600" w:type="dxa"/>
            <w:vAlign w:val="bottom"/>
          </w:tcPr>
          <w:p>
            <w:pPr>
              <w:spacing w:after="0"/>
              <w:rPr>
                <w:sz w:val="20"/>
                <w:szCs w:val="20"/>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September 30, 2017</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1"/>
              </w:rPr>
              <w:t>September 9, 2016</w:t>
            </w:r>
          </w:p>
        </w:tc>
      </w:tr>
      <w:tr>
        <w:trPr>
          <w:trHeight w:val="297"/>
        </w:trPr>
        <w:tc>
          <w:tcPr>
            <w:tcW w:w="5600" w:type="dxa"/>
            <w:vAlign w:val="bottom"/>
          </w:tcPr>
          <w:p>
            <w:pPr>
              <w:spacing w:after="0"/>
              <w:rPr>
                <w:sz w:val="24"/>
                <w:szCs w:val="24"/>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(274 days)</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0"/>
              </w:rPr>
              <w:t>(252 days)</w:t>
            </w:r>
          </w:p>
        </w:tc>
      </w:tr>
      <w:tr>
        <w:trPr>
          <w:trHeight w:val="243"/>
        </w:trPr>
        <w:tc>
          <w:tcPr>
            <w:tcW w:w="56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FICO score</w:t>
            </w: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743</w:t>
            </w:r>
          </w:p>
        </w:tc>
        <w:tc>
          <w:tcPr>
            <w:tcW w:w="120" w:type="dxa"/>
            <w:vAlign w:val="bottom"/>
            <w:tcBorders>
              <w:top w:val="single" w:sz="8" w:color="CCEEFF"/>
            </w:tcBorders>
            <w:shd w:val="clear" w:color="auto" w:fill="CCEEFF"/>
          </w:tcPr>
          <w:p>
            <w:pPr>
              <w:spacing w:after="0"/>
              <w:rPr>
                <w:sz w:val="21"/>
                <w:szCs w:val="21"/>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742</w:t>
            </w:r>
          </w:p>
        </w:tc>
      </w:tr>
      <w:tr>
        <w:trPr>
          <w:trHeight w:val="27"/>
        </w:trPr>
        <w:tc>
          <w:tcPr>
            <w:tcW w:w="56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typical financing agreement provides for monthly payments of principal and interest with the principal balance of the loan fully amortizing over the term of the related vacation ownership note receivable, which is generally ten years. The interest income earned from the financing arrangements is earned on an accrual basis on the principal balance outstanding over the life of the arrangement and is recorded as Financing revenues on our Statements of Income.</w:t>
      </w:r>
    </w:p>
    <w:p>
      <w:pPr>
        <w:spacing w:after="0" w:line="3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Financing revenues include interest income earned on vacation ownership notes receivable as well as fees earned from servicing the existing vacation ownership notes receivable portfolio. Financing expenses include costs in support of the financing, servicing and securitization processes. The amount of interest income earned in a period depends on the amount of outstanding vacation ownership notes receivable, which is impacted positively by the origination of new vacation ownership notes receivable and negatively by principal collections. We calculate financing propensity as contract sales volume of financed contracts closed in the period divided by contract sales volume of all contracts closed in the period. Financing propensity was 60.1 percent in the 2016 fiscal year and 64.9 percent in the 2017 first three quarters, reflecting successful incentive programs that have been helping to increase financing propensity. We expect financing propensity in 2017 to approximate 65 percent as we intend to continue to offer the financing incentive programs, and that interest income will continue to increase as new originations of vacation ownership notes receivable outpace the decline in principal of existing vacation ownership notes receivable.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the event of a default, we generally have the right to foreclose on or revoke the vacation ownership interest. We return vacation ownership interests that we reacquire through foreclosure or revocation back to real estate inventory. As discussed above, we record a vacation ownership notes receivable reserve at the time of sale and classify the reserve as a reduction to revenues from the sale of vacation ownership products on our Statements of Income. Historical default rates, which represent defaults as a percentage of each year’s beginning gross vacation ownership notes receivable balance, were as follows:</w:t>
      </w:r>
    </w:p>
    <w:p>
      <w:pPr>
        <w:spacing w:after="0" w:line="148" w:lineRule="exact"/>
        <w:rPr>
          <w:sz w:val="20"/>
          <w:szCs w:val="20"/>
          <w:color w:val="auto"/>
        </w:rPr>
      </w:pPr>
    </w:p>
    <w:tbl>
      <w:tblPr>
        <w:tblLayout w:type="fixed"/>
        <w:tblInd w:w="104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3740" w:type="dxa"/>
            <w:vAlign w:val="bottom"/>
            <w:gridSpan w:val="3"/>
          </w:tcPr>
          <w:p>
            <w:pPr>
              <w:ind w:left="1200"/>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5600" w:type="dxa"/>
            <w:vAlign w:val="bottom"/>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1"/>
        </w:trPr>
        <w:tc>
          <w:tcPr>
            <w:tcW w:w="5600" w:type="dxa"/>
            <w:vAlign w:val="bottom"/>
          </w:tcPr>
          <w:p>
            <w:pPr>
              <w:spacing w:after="0"/>
              <w:rPr>
                <w:sz w:val="20"/>
                <w:szCs w:val="20"/>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September 30, 2017</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1"/>
              </w:rPr>
              <w:t>September 9, 2016</w:t>
            </w:r>
          </w:p>
        </w:tc>
      </w:tr>
      <w:tr>
        <w:trPr>
          <w:trHeight w:val="297"/>
        </w:trPr>
        <w:tc>
          <w:tcPr>
            <w:tcW w:w="5600" w:type="dxa"/>
            <w:vAlign w:val="bottom"/>
          </w:tcPr>
          <w:p>
            <w:pPr>
              <w:spacing w:after="0"/>
              <w:rPr>
                <w:sz w:val="24"/>
                <w:szCs w:val="24"/>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(274 days)</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0"/>
              </w:rPr>
              <w:t>(252 days)</w:t>
            </w:r>
          </w:p>
        </w:tc>
      </w:tr>
      <w:tr>
        <w:trPr>
          <w:trHeight w:val="243"/>
        </w:trPr>
        <w:tc>
          <w:tcPr>
            <w:tcW w:w="56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Historical default rates</w:t>
            </w: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2.8%</w:t>
            </w:r>
          </w:p>
        </w:tc>
        <w:tc>
          <w:tcPr>
            <w:tcW w:w="120" w:type="dxa"/>
            <w:vAlign w:val="bottom"/>
            <w:tcBorders>
              <w:top w:val="single" w:sz="8" w:color="CCEEFF"/>
            </w:tcBorders>
            <w:shd w:val="clear" w:color="auto" w:fill="CCEEFF"/>
          </w:tcPr>
          <w:p>
            <w:pPr>
              <w:spacing w:after="0"/>
              <w:rPr>
                <w:sz w:val="21"/>
                <w:szCs w:val="21"/>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3.0%</w:t>
            </w:r>
          </w:p>
        </w:tc>
      </w:tr>
      <w:tr>
        <w:trPr>
          <w:trHeight w:val="27"/>
        </w:trPr>
        <w:tc>
          <w:tcPr>
            <w:tcW w:w="56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We operate a rental business to provide owner flexibility and to help mitigate carrying costs associated with our inventory. We obtain rental inventory from unsold inventory and inventory we control because owners have elected alternative usage options offered through our vacation ownership programs.</w:t>
      </w:r>
    </w:p>
    <w:p>
      <w:pPr>
        <w:spacing w:after="0" w:line="73"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Rental revenues are primarily the revenues we earn from renting this inventory. We also recognize rental revenue from the utilization of plus points under the Marriott Vacation Club Destinations (“MVCD”) program when the points are redeemed for rental stays at one of our resorts or in the Explorer Collection, or upon expiration of the points.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Rental expenses include:</w:t>
      </w:r>
    </w:p>
    <w:p>
      <w:pPr>
        <w:spacing w:after="0" w:line="117"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117" w:lineRule="exact"/>
        <w:rPr>
          <w:rFonts w:ascii="Arial" w:cs="Arial" w:eastAsia="Arial" w:hAnsi="Arial"/>
          <w:sz w:val="18"/>
          <w:szCs w:val="18"/>
          <w:color w:val="auto"/>
        </w:rPr>
      </w:pPr>
    </w:p>
    <w:p>
      <w:pPr>
        <w:ind w:left="1300" w:right="80" w:hanging="320"/>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to provide alternative usage options, including Marriott Rewards Points and offerings available as part of the Explorer Collection, for owners who elect to exchange their inventory;</w:t>
      </w:r>
    </w:p>
    <w:p>
      <w:pPr>
        <w:spacing w:after="0" w:line="62" w:lineRule="exact"/>
        <w:rPr>
          <w:rFonts w:ascii="Arial" w:cs="Arial" w:eastAsia="Arial" w:hAnsi="Arial"/>
          <w:sz w:val="18"/>
          <w:szCs w:val="18"/>
          <w:color w:val="auto"/>
        </w:rPr>
      </w:pPr>
    </w:p>
    <w:p>
      <w:pPr>
        <w:ind w:left="1300" w:right="660" w:hanging="320"/>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(such as housekeeping, credit card expenses and reservation services); and</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associated with the banking and borrowing usage option that is available under our points-based programs.</w:t>
      </w:r>
    </w:p>
    <w:p>
      <w:pPr>
        <w:spacing w:after="0" w:line="11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Rental metrics, including the average daily transient rate or the number of transient keys rented, may not be comparable between periods given fluctuation in available occupancy by location, unit size (such as two bedroom, one bedroom or studio unit), and owner use and exchange behavior. Further, as our ability to rent certain luxury inventory and inventory in our Asia Pacific segment is often limited on a site-by-site basis, rental operations may not generate adequate rental revenues to cover associated costs. Our vacation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Reimbursements</w:t>
      </w:r>
    </w:p>
    <w:p>
      <w:pPr>
        <w:spacing w:after="0" w:line="117"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Cost reimbursements include direct and indirect costs that property owners’ associations reimburse to us. In accordance with the accounting guidance for “gross versus net” presentation, we record these revenues and expenses on a gross basis. We recognize cost reimbursements when we incur the related reimbursable costs. These costs primarily consist of payroll and payroll related expenses for management of the property owners’ associations and other services we provide where we are the employer. Cost reimbursements consist of actual expenses with no added margin.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Consumer Financing Interest Expense</w:t>
      </w:r>
    </w:p>
    <w:p>
      <w:pPr>
        <w:spacing w:after="0" w:line="117"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Consumer financing interest expense represents interest expense associated with the debt from our non-recourse warehouse credit facility (the “Warehouse Credit Facility”) and from the securitization of our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consists of all interest expense other than consumer financing interest expense.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Items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117"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 margin percentage; and</w:t>
      </w:r>
    </w:p>
    <w:p>
      <w:pPr>
        <w:spacing w:after="0" w:line="117" w:lineRule="exact"/>
        <w:rPr>
          <w:rFonts w:ascii="Arial" w:cs="Arial" w:eastAsia="Arial" w:hAnsi="Arial"/>
          <w:sz w:val="18"/>
          <w:szCs w:val="18"/>
          <w:color w:val="auto"/>
        </w:rPr>
      </w:pPr>
    </w:p>
    <w:p>
      <w:pPr>
        <w:ind w:left="1300" w:right="20" w:hanging="320"/>
        <w:spacing w:after="0" w:line="259"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Volume per guest (“VPG”), which we calculate by dividing vacation ownership contract sales, excluding fractional sales, telesales and other sales that are not attributed to a tour at a sales location, by the number of tours at sales locations in a given period. We believe that this operating metric is valuable in evaluating the effectiveness of the sales process as it combines the impact of average contract price with the number of touring guests who make a purchase.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2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discussion presents an analysis of our results of operations for the 2017 third quarter compared to the 2016 third quarter, and the 2017 first three quarters compared to the 2016 first three quarters.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00" w:type="dxa"/>
            <w:vAlign w:val="bottom"/>
            <w:gridSpan w:val="6"/>
          </w:tcPr>
          <w:p>
            <w:pPr>
              <w:ind w:left="1200"/>
              <w:spacing w:after="0"/>
              <w:rPr>
                <w:sz w:val="20"/>
                <w:szCs w:val="20"/>
                <w:color w:val="auto"/>
              </w:rPr>
            </w:pPr>
            <w:r>
              <w:rPr>
                <w:rFonts w:ascii="Arial" w:cs="Arial" w:eastAsia="Arial" w:hAnsi="Arial"/>
                <w:sz w:val="16"/>
                <w:szCs w:val="16"/>
                <w:b w:val="1"/>
                <w:bCs w:val="1"/>
                <w:color w:val="auto"/>
              </w:rPr>
              <w:t>Quarter Ended</w:t>
            </w:r>
          </w:p>
        </w:tc>
        <w:tc>
          <w:tcPr>
            <w:tcW w:w="180" w:type="dxa"/>
            <w:vAlign w:val="bottom"/>
          </w:tcPr>
          <w:p>
            <w:pPr>
              <w:spacing w:after="0"/>
              <w:rPr>
                <w:sz w:val="18"/>
                <w:szCs w:val="18"/>
                <w:color w:val="auto"/>
              </w:rPr>
            </w:pPr>
          </w:p>
        </w:tc>
        <w:tc>
          <w:tcPr>
            <w:tcW w:w="3580" w:type="dxa"/>
            <w:vAlign w:val="bottom"/>
            <w:gridSpan w:val="4"/>
          </w:tcPr>
          <w:p>
            <w:pPr>
              <w:jc w:val="right"/>
              <w:ind w:right="1091"/>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131"/>
              <w:spacing w:after="0"/>
              <w:rPr>
                <w:sz w:val="20"/>
                <w:szCs w:val="20"/>
                <w:color w:val="auto"/>
              </w:rPr>
            </w:pPr>
            <w:r>
              <w:rPr>
                <w:rFonts w:ascii="Arial" w:cs="Arial" w:eastAsia="Arial" w:hAnsi="Arial"/>
                <w:sz w:val="16"/>
                <w:szCs w:val="16"/>
                <w:b w:val="1"/>
                <w:bCs w:val="1"/>
                <w:color w:val="auto"/>
                <w:w w:val="93"/>
              </w:rPr>
              <w:t>September 30, 2017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September 9, 2016</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September 30, 2017</w:t>
            </w:r>
          </w:p>
        </w:tc>
        <w:tc>
          <w:tcPr>
            <w:tcW w:w="200" w:type="dxa"/>
            <w:vAlign w:val="bottom"/>
          </w:tcPr>
          <w:p>
            <w:pPr>
              <w:spacing w:after="0"/>
              <w:rPr>
                <w:sz w:val="20"/>
                <w:szCs w:val="20"/>
                <w:color w:val="auto"/>
              </w:rPr>
            </w:pPr>
          </w:p>
        </w:tc>
        <w:tc>
          <w:tcPr>
            <w:tcW w:w="1620" w:type="dxa"/>
            <w:vAlign w:val="bottom"/>
          </w:tcPr>
          <w:p>
            <w:pPr>
              <w:jc w:val="right"/>
              <w:ind w:right="191"/>
              <w:spacing w:after="0"/>
              <w:rPr>
                <w:sz w:val="20"/>
                <w:szCs w:val="20"/>
                <w:color w:val="auto"/>
              </w:rPr>
            </w:pPr>
            <w:r>
              <w:rPr>
                <w:rFonts w:ascii="Arial" w:cs="Arial" w:eastAsia="Arial" w:hAnsi="Arial"/>
                <w:sz w:val="16"/>
                <w:szCs w:val="16"/>
                <w:b w:val="1"/>
                <w:bCs w:val="1"/>
                <w:color w:val="auto"/>
                <w:w w:val="93"/>
              </w:rPr>
              <w:t>September 9, 2016</w:t>
            </w:r>
          </w:p>
        </w:tc>
      </w:tr>
      <w:tr>
        <w:trPr>
          <w:trHeight w:val="297"/>
        </w:trPr>
        <w:tc>
          <w:tcPr>
            <w:tcW w:w="3780" w:type="dxa"/>
            <w:vAlign w:val="bottom"/>
            <w:gridSpan w:val="6"/>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4"/>
                <w:szCs w:val="24"/>
                <w:color w:val="auto"/>
              </w:rPr>
            </w:pPr>
          </w:p>
        </w:tc>
        <w:tc>
          <w:tcPr>
            <w:tcW w:w="1640" w:type="dxa"/>
            <w:vAlign w:val="bottom"/>
          </w:tcPr>
          <w:p>
            <w:pPr>
              <w:jc w:val="right"/>
              <w:ind w:right="531"/>
              <w:spacing w:after="0"/>
              <w:rPr>
                <w:sz w:val="20"/>
                <w:szCs w:val="20"/>
                <w:color w:val="auto"/>
              </w:rPr>
            </w:pPr>
            <w:r>
              <w:rPr>
                <w:rFonts w:ascii="Arial" w:cs="Arial" w:eastAsia="Arial" w:hAnsi="Arial"/>
                <w:sz w:val="14"/>
                <w:szCs w:val="14"/>
                <w:b w:val="1"/>
                <w:bCs w:val="1"/>
                <w:color w:val="auto"/>
              </w:rPr>
              <w:t>(92 days)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(84 days)</w:t>
            </w:r>
          </w:p>
        </w:tc>
        <w:tc>
          <w:tcPr>
            <w:tcW w:w="180" w:type="dxa"/>
            <w:vAlign w:val="bottom"/>
          </w:tcPr>
          <w:p>
            <w:pPr>
              <w:spacing w:after="0"/>
              <w:rPr>
                <w:sz w:val="24"/>
                <w:szCs w:val="2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(274 days)</w:t>
            </w:r>
          </w:p>
        </w:tc>
        <w:tc>
          <w:tcPr>
            <w:tcW w:w="200" w:type="dxa"/>
            <w:vAlign w:val="bottom"/>
          </w:tcPr>
          <w:p>
            <w:pPr>
              <w:spacing w:after="0"/>
              <w:rPr>
                <w:sz w:val="24"/>
                <w:szCs w:val="24"/>
                <w:color w:val="auto"/>
              </w:rPr>
            </w:pPr>
          </w:p>
        </w:tc>
        <w:tc>
          <w:tcPr>
            <w:tcW w:w="1620" w:type="dxa"/>
            <w:vAlign w:val="bottom"/>
          </w:tcPr>
          <w:p>
            <w:pPr>
              <w:jc w:val="right"/>
              <w:ind w:right="511"/>
              <w:spacing w:after="0"/>
              <w:rPr>
                <w:sz w:val="20"/>
                <w:szCs w:val="20"/>
                <w:color w:val="auto"/>
              </w:rPr>
            </w:pPr>
            <w:r>
              <w:rPr>
                <w:rFonts w:ascii="Arial" w:cs="Arial" w:eastAsia="Arial" w:hAnsi="Arial"/>
                <w:sz w:val="14"/>
                <w:szCs w:val="14"/>
                <w:b w:val="1"/>
                <w:bCs w:val="1"/>
                <w:color w:val="auto"/>
              </w:rPr>
              <w:t>(252 days)</w:t>
            </w: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shd w:val="clear" w:color="auto" w:fill="CCEEFF"/>
              </w:rPr>
              <w:t>REVENUES</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740" w:type="dxa"/>
            <w:vAlign w:val="bottom"/>
            <w:gridSpan w:val="5"/>
          </w:tcPr>
          <w:p>
            <w:pPr>
              <w:ind w:left="240"/>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180,522</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131,012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543,687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415,831</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Resort management and other services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76,882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70,185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229,004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208,049</w:t>
            </w:r>
          </w:p>
        </w:tc>
      </w:tr>
      <w:tr>
        <w:trPr>
          <w:trHeight w:val="243"/>
        </w:trPr>
        <w:tc>
          <w:tcPr>
            <w:tcW w:w="40" w:type="dxa"/>
            <w:vAlign w:val="bottom"/>
          </w:tcPr>
          <w:p>
            <w:pPr>
              <w:spacing w:after="0"/>
              <w:rPr>
                <w:sz w:val="21"/>
                <w:szCs w:val="21"/>
                <w:color w:val="auto"/>
              </w:rPr>
            </w:pPr>
          </w:p>
        </w:tc>
        <w:tc>
          <w:tcPr>
            <w:tcW w:w="3740" w:type="dxa"/>
            <w:vAlign w:val="bottom"/>
            <w:gridSpan w:val="5"/>
          </w:tcPr>
          <w:p>
            <w:pPr>
              <w:ind w:left="240"/>
              <w:spacing w:after="0"/>
              <w:rPr>
                <w:sz w:val="20"/>
                <w:szCs w:val="20"/>
                <w:color w:val="auto"/>
              </w:rPr>
            </w:pPr>
            <w:r>
              <w:rPr>
                <w:rFonts w:ascii="Arial" w:cs="Arial" w:eastAsia="Arial" w:hAnsi="Arial"/>
                <w:sz w:val="18"/>
                <w:szCs w:val="18"/>
                <w:color w:val="auto"/>
              </w:rPr>
              <w:t>Financing</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34,685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29,066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99,326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86,944</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Rental</w:t>
            </w:r>
          </w:p>
        </w:tc>
        <w:tc>
          <w:tcPr>
            <w:tcW w:w="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81,177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73,776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250,621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229,133</w:t>
            </w:r>
          </w:p>
        </w:tc>
      </w:tr>
      <w:tr>
        <w:trPr>
          <w:trHeight w:val="243"/>
        </w:trPr>
        <w:tc>
          <w:tcPr>
            <w:tcW w:w="40" w:type="dxa"/>
            <w:vAlign w:val="bottom"/>
          </w:tcPr>
          <w:p>
            <w:pPr>
              <w:spacing w:after="0"/>
              <w:rPr>
                <w:sz w:val="21"/>
                <w:szCs w:val="21"/>
                <w:color w:val="auto"/>
              </w:rPr>
            </w:pPr>
          </w:p>
        </w:tc>
        <w:tc>
          <w:tcPr>
            <w:tcW w:w="3740" w:type="dxa"/>
            <w:vAlign w:val="bottom"/>
            <w:gridSpan w:val="5"/>
          </w:tcPr>
          <w:p>
            <w:pPr>
              <w:ind w:left="240"/>
              <w:spacing w:after="0"/>
              <w:rPr>
                <w:sz w:val="20"/>
                <w:szCs w:val="20"/>
                <w:color w:val="auto"/>
              </w:rPr>
            </w:pPr>
            <w:r>
              <w:rPr>
                <w:rFonts w:ascii="Arial" w:cs="Arial" w:eastAsia="Arial" w:hAnsi="Arial"/>
                <w:sz w:val="18"/>
                <w:szCs w:val="18"/>
                <w:color w:val="auto"/>
              </w:rPr>
              <w:t>Cost reimbursements</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113,724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97,598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348,091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303,973</w:t>
            </w: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7"/>
                <w:shd w:val="clear" w:color="auto" w:fill="CCEEFF"/>
              </w:rPr>
              <w:t>TOTAL REVENUES</w:t>
            </w:r>
          </w:p>
        </w:tc>
        <w:tc>
          <w:tcPr>
            <w:tcW w:w="9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486,990</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401,637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1,470,729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1,243,930</w:t>
            </w:r>
          </w:p>
        </w:tc>
      </w:tr>
      <w:tr>
        <w:trPr>
          <w:trHeight w:val="237"/>
        </w:trPr>
        <w:tc>
          <w:tcPr>
            <w:tcW w:w="3780" w:type="dxa"/>
            <w:vAlign w:val="bottom"/>
            <w:gridSpan w:val="6"/>
          </w:tcPr>
          <w:p>
            <w:pPr>
              <w:ind w:left="40"/>
              <w:spacing w:after="0"/>
              <w:rPr>
                <w:sz w:val="20"/>
                <w:szCs w:val="20"/>
                <w:color w:val="auto"/>
              </w:rPr>
            </w:pPr>
            <w:r>
              <w:rPr>
                <w:rFonts w:ascii="Arial" w:cs="Arial" w:eastAsia="Arial" w:hAnsi="Arial"/>
                <w:sz w:val="18"/>
                <w:szCs w:val="18"/>
                <w:b w:val="1"/>
                <w:bCs w:val="1"/>
                <w:color w:val="auto"/>
              </w:rPr>
              <w:t>EXPENSES</w:t>
            </w: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w w:val="93"/>
                <w:shd w:val="clear" w:color="auto" w:fill="CCEEFF"/>
              </w:rPr>
              <w:t>Cost of vacation ownership products</w:t>
            </w: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42,826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131,589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104,149</w:t>
            </w:r>
          </w:p>
        </w:tc>
      </w:tr>
      <w:tr>
        <w:trPr>
          <w:trHeight w:val="243"/>
        </w:trPr>
        <w:tc>
          <w:tcPr>
            <w:tcW w:w="40" w:type="dxa"/>
            <w:vAlign w:val="bottom"/>
          </w:tcPr>
          <w:p>
            <w:pPr>
              <w:spacing w:after="0"/>
              <w:rPr>
                <w:sz w:val="21"/>
                <w:szCs w:val="21"/>
                <w:color w:val="auto"/>
              </w:rPr>
            </w:pPr>
          </w:p>
        </w:tc>
        <w:tc>
          <w:tcPr>
            <w:tcW w:w="3740" w:type="dxa"/>
            <w:vAlign w:val="bottom"/>
            <w:gridSpan w:val="5"/>
          </w:tcPr>
          <w:p>
            <w:pPr>
              <w:ind w:left="240"/>
              <w:spacing w:after="0"/>
              <w:rPr>
                <w:sz w:val="20"/>
                <w:szCs w:val="20"/>
                <w:color w:val="auto"/>
              </w:rPr>
            </w:pPr>
            <w:r>
              <w:rPr>
                <w:rFonts w:ascii="Arial" w:cs="Arial" w:eastAsia="Arial" w:hAnsi="Arial"/>
                <w:sz w:val="18"/>
                <w:szCs w:val="18"/>
                <w:color w:val="auto"/>
              </w:rPr>
              <w:t>Marketing and sales</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100,527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79,017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305,217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236,348</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Resort management and other services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44,696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130,349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123,695</w:t>
            </w:r>
          </w:p>
        </w:tc>
      </w:tr>
      <w:tr>
        <w:trPr>
          <w:trHeight w:val="243"/>
        </w:trPr>
        <w:tc>
          <w:tcPr>
            <w:tcW w:w="40" w:type="dxa"/>
            <w:vAlign w:val="bottom"/>
          </w:tcPr>
          <w:p>
            <w:pPr>
              <w:spacing w:after="0"/>
              <w:rPr>
                <w:sz w:val="21"/>
                <w:szCs w:val="21"/>
                <w:color w:val="auto"/>
              </w:rPr>
            </w:pPr>
          </w:p>
        </w:tc>
        <w:tc>
          <w:tcPr>
            <w:tcW w:w="3740" w:type="dxa"/>
            <w:vAlign w:val="bottom"/>
            <w:gridSpan w:val="5"/>
          </w:tcPr>
          <w:p>
            <w:pPr>
              <w:ind w:left="240"/>
              <w:spacing w:after="0"/>
              <w:rPr>
                <w:sz w:val="20"/>
                <w:szCs w:val="20"/>
                <w:color w:val="auto"/>
              </w:rPr>
            </w:pPr>
            <w:r>
              <w:rPr>
                <w:rFonts w:ascii="Arial" w:cs="Arial" w:eastAsia="Arial" w:hAnsi="Arial"/>
                <w:sz w:val="18"/>
                <w:szCs w:val="18"/>
                <w:color w:val="auto"/>
              </w:rPr>
              <w:t>Financing</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5,062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4,581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12,528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11,782</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Rental</w:t>
            </w:r>
          </w:p>
        </w:tc>
        <w:tc>
          <w:tcPr>
            <w:tcW w:w="940" w:type="dxa"/>
            <w:vAlign w:val="bottom"/>
            <w:tcBorders>
              <w:bottom w:val="single" w:sz="8" w:color="CCEEFF"/>
            </w:tcBorders>
            <w:gridSpan w:val="2"/>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71,048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60,970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211,643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191,658</w:t>
            </w:r>
          </w:p>
        </w:tc>
      </w:tr>
      <w:tr>
        <w:trPr>
          <w:trHeight w:val="243"/>
        </w:trPr>
        <w:tc>
          <w:tcPr>
            <w:tcW w:w="40" w:type="dxa"/>
            <w:vAlign w:val="bottom"/>
          </w:tcPr>
          <w:p>
            <w:pPr>
              <w:spacing w:after="0"/>
              <w:rPr>
                <w:sz w:val="21"/>
                <w:szCs w:val="21"/>
                <w:color w:val="auto"/>
              </w:rPr>
            </w:pPr>
          </w:p>
        </w:tc>
        <w:tc>
          <w:tcPr>
            <w:tcW w:w="3740" w:type="dxa"/>
            <w:vAlign w:val="bottom"/>
            <w:gridSpan w:val="5"/>
          </w:tcPr>
          <w:p>
            <w:pPr>
              <w:ind w:left="24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26,666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22,151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83,739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72,871</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Litigation settlement</w:t>
            </w:r>
          </w:p>
        </w:tc>
        <w:tc>
          <w:tcPr>
            <w:tcW w:w="940" w:type="dxa"/>
            <w:vAlign w:val="bottom"/>
            <w:tcBorders>
              <w:bottom w:val="single" w:sz="8" w:color="CCEEFF"/>
            </w:tcBorders>
            <w:gridSpan w:val="2"/>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43"/>
        </w:trPr>
        <w:tc>
          <w:tcPr>
            <w:tcW w:w="40" w:type="dxa"/>
            <w:vAlign w:val="bottom"/>
          </w:tcPr>
          <w:p>
            <w:pPr>
              <w:spacing w:after="0"/>
              <w:rPr>
                <w:sz w:val="21"/>
                <w:szCs w:val="21"/>
                <w:color w:val="auto"/>
              </w:rPr>
            </w:pPr>
          </w:p>
        </w:tc>
        <w:tc>
          <w:tcPr>
            <w:tcW w:w="3740" w:type="dxa"/>
            <w:vAlign w:val="bottom"/>
            <w:gridSpan w:val="5"/>
          </w:tcPr>
          <w:p>
            <w:pPr>
              <w:ind w:left="240"/>
              <w:spacing w:after="0"/>
              <w:rPr>
                <w:sz w:val="20"/>
                <w:szCs w:val="20"/>
                <w:color w:val="auto"/>
              </w:rPr>
            </w:pPr>
            <w:r>
              <w:rPr>
                <w:rFonts w:ascii="Arial" w:cs="Arial" w:eastAsia="Arial" w:hAnsi="Arial"/>
                <w:sz w:val="18"/>
                <w:szCs w:val="18"/>
                <w:color w:val="auto"/>
              </w:rPr>
              <w:t>Consumer financing interest</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6,498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5,361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18,090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15,840</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Royalty fee</w:t>
            </w:r>
          </w:p>
        </w:tc>
        <w:tc>
          <w:tcPr>
            <w:tcW w:w="940" w:type="dxa"/>
            <w:vAlign w:val="bottom"/>
            <w:tcBorders>
              <w:bottom w:val="single" w:sz="8" w:color="CCEEFF"/>
            </w:tcBorders>
            <w:gridSpan w:val="2"/>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42,007</w:t>
            </w:r>
          </w:p>
        </w:tc>
      </w:tr>
      <w:tr>
        <w:trPr>
          <w:trHeight w:val="243"/>
        </w:trPr>
        <w:tc>
          <w:tcPr>
            <w:tcW w:w="40" w:type="dxa"/>
            <w:vAlign w:val="bottom"/>
          </w:tcPr>
          <w:p>
            <w:pPr>
              <w:spacing w:after="0"/>
              <w:rPr>
                <w:sz w:val="21"/>
                <w:szCs w:val="21"/>
                <w:color w:val="auto"/>
              </w:rPr>
            </w:pPr>
          </w:p>
        </w:tc>
        <w:tc>
          <w:tcPr>
            <w:tcW w:w="3740" w:type="dxa"/>
            <w:vAlign w:val="bottom"/>
            <w:gridSpan w:val="5"/>
          </w:tcPr>
          <w:p>
            <w:pPr>
              <w:ind w:left="240"/>
              <w:spacing w:after="0"/>
              <w:rPr>
                <w:sz w:val="20"/>
                <w:szCs w:val="20"/>
                <w:color w:val="auto"/>
              </w:rPr>
            </w:pPr>
            <w:r>
              <w:rPr>
                <w:rFonts w:ascii="Arial" w:cs="Arial" w:eastAsia="Arial" w:hAnsi="Arial"/>
                <w:sz w:val="18"/>
                <w:szCs w:val="18"/>
                <w:color w:val="auto"/>
              </w:rPr>
              <w:t>Cost reimbursements</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113,724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97,598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348,091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303,973</w:t>
            </w: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6"/>
                <w:shd w:val="clear" w:color="auto" w:fill="CCEEFF"/>
              </w:rPr>
              <w:t>TOTAL EXPENSES</w:t>
            </w:r>
          </w:p>
        </w:tc>
        <w:tc>
          <w:tcPr>
            <w:tcW w:w="940" w:type="dxa"/>
            <w:vAlign w:val="bottom"/>
            <w:tcBorders>
              <w:bottom w:val="single" w:sz="8" w:color="CCEEFF"/>
            </w:tcBorders>
            <w:gridSpan w:val="2"/>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428,300</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358,906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1,291,059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1,102,020</w:t>
            </w:r>
          </w:p>
        </w:tc>
      </w:tr>
      <w:tr>
        <w:trPr>
          <w:trHeight w:val="237"/>
        </w:trPr>
        <w:tc>
          <w:tcPr>
            <w:tcW w:w="40" w:type="dxa"/>
            <w:vAlign w:val="bottom"/>
          </w:tcPr>
          <w:p>
            <w:pPr>
              <w:spacing w:after="0"/>
              <w:rPr>
                <w:sz w:val="20"/>
                <w:szCs w:val="20"/>
                <w:color w:val="auto"/>
              </w:rPr>
            </w:pPr>
          </w:p>
        </w:tc>
        <w:tc>
          <w:tcPr>
            <w:tcW w:w="3740" w:type="dxa"/>
            <w:vAlign w:val="bottom"/>
            <w:gridSpan w:val="5"/>
          </w:tcPr>
          <w:p>
            <w:pPr>
              <w:ind w:left="240"/>
              <w:spacing w:after="0"/>
              <w:rPr>
                <w:sz w:val="20"/>
                <w:szCs w:val="20"/>
                <w:color w:val="auto"/>
              </w:rPr>
            </w:pPr>
            <w:r>
              <w:rPr>
                <w:rFonts w:ascii="Arial" w:cs="Arial" w:eastAsia="Arial" w:hAnsi="Arial"/>
                <w:sz w:val="18"/>
                <w:szCs w:val="18"/>
                <w:color w:val="auto"/>
              </w:rPr>
              <w:t>Gains and other income, net</w:t>
            </w: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6,977</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6,752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11,129</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Interest expense</w:t>
            </w:r>
          </w:p>
        </w:tc>
        <w:tc>
          <w:tcPr>
            <w:tcW w:w="940" w:type="dxa"/>
            <w:vAlign w:val="bottom"/>
            <w:tcBorders>
              <w:bottom w:val="single" w:sz="8" w:color="CCEEFF"/>
            </w:tcBorders>
            <w:gridSpan w:val="2"/>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(6,331)</w:t>
            </w:r>
          </w:p>
        </w:tc>
      </w:tr>
      <w:tr>
        <w:trPr>
          <w:trHeight w:val="243"/>
        </w:trPr>
        <w:tc>
          <w:tcPr>
            <w:tcW w:w="40" w:type="dxa"/>
            <w:vAlign w:val="bottom"/>
          </w:tcPr>
          <w:p>
            <w:pPr>
              <w:spacing w:after="0"/>
              <w:rPr>
                <w:sz w:val="21"/>
                <w:szCs w:val="21"/>
                <w:color w:val="auto"/>
              </w:rPr>
            </w:pPr>
          </w:p>
        </w:tc>
        <w:tc>
          <w:tcPr>
            <w:tcW w:w="3740" w:type="dxa"/>
            <w:vAlign w:val="bottom"/>
            <w:gridSpan w:val="5"/>
          </w:tcPr>
          <w:p>
            <w:pPr>
              <w:ind w:left="2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(4,528)</w:t>
            </w: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shd w:val="clear" w:color="auto" w:fill="CCEEFF"/>
              </w:rPr>
              <w:t>INCOME BEFORE INCOME TAXES</w:t>
            </w: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63,129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180,877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142,180</w:t>
            </w:r>
          </w:p>
        </w:tc>
      </w:tr>
      <w:tr>
        <w:trPr>
          <w:trHeight w:val="243"/>
        </w:trPr>
        <w:tc>
          <w:tcPr>
            <w:tcW w:w="3780" w:type="dxa"/>
            <w:vAlign w:val="bottom"/>
            <w:gridSpan w:val="6"/>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(22,367)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(14,041)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(62,139)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(54,656)</w:t>
            </w: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shd w:val="clear" w:color="auto" w:fill="CCEEFF"/>
              </w:rPr>
              <w:t>NET INCOME</w:t>
            </w:r>
          </w:p>
        </w:tc>
        <w:tc>
          <w:tcPr>
            <w:tcW w:w="1700" w:type="dxa"/>
            <w:vAlign w:val="bottom"/>
            <w:tcBorders>
              <w:bottom w:val="single" w:sz="8" w:color="CCEEFF"/>
            </w:tcBorders>
            <w:gridSpan w:val="3"/>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40,762</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118,738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87,524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8"/>
                <w:szCs w:val="18"/>
                <w:color w:val="auto"/>
                <w:w w:val="89"/>
              </w:rPr>
              <w:t>34</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2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 2017</w:t>
            </w:r>
          </w:p>
        </w:tc>
        <w:tc>
          <w:tcPr>
            <w:tcW w:w="200" w:type="dxa"/>
            <w:vAlign w:val="bottom"/>
          </w:tcPr>
          <w:p>
            <w:pPr>
              <w:spacing w:after="0"/>
              <w:rPr>
                <w:sz w:val="20"/>
                <w:szCs w:val="20"/>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48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4"/>
                <w:szCs w:val="24"/>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(92 days)</w:t>
            </w:r>
          </w:p>
        </w:tc>
        <w:tc>
          <w:tcPr>
            <w:tcW w:w="200" w:type="dxa"/>
            <w:vAlign w:val="bottom"/>
          </w:tcPr>
          <w:p>
            <w:pPr>
              <w:spacing w:after="0"/>
              <w:rPr>
                <w:sz w:val="24"/>
                <w:szCs w:val="2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(84 days)</w:t>
            </w:r>
          </w:p>
        </w:tc>
        <w:tc>
          <w:tcPr>
            <w:tcW w:w="240" w:type="dxa"/>
            <w:vAlign w:val="bottom"/>
          </w:tcPr>
          <w:p>
            <w:pPr>
              <w:spacing w:after="0"/>
              <w:rPr>
                <w:sz w:val="24"/>
                <w:szCs w:val="24"/>
                <w:color w:val="auto"/>
              </w:rPr>
            </w:pPr>
          </w:p>
        </w:tc>
        <w:tc>
          <w:tcPr>
            <w:tcW w:w="1000" w:type="dxa"/>
            <w:vAlign w:val="bottom"/>
          </w:tcPr>
          <w:p>
            <w:pPr>
              <w:jc w:val="right"/>
              <w:ind w:right="272"/>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4"/>
                <w:szCs w:val="24"/>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Vacation ownership</w:t>
            </w:r>
          </w:p>
        </w:tc>
        <w:tc>
          <w:tcPr>
            <w:tcW w:w="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179,227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150,964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28,263</w:t>
            </w:r>
          </w:p>
        </w:tc>
        <w:tc>
          <w:tcPr>
            <w:tcW w:w="148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19%</w:t>
            </w:r>
          </w:p>
        </w:tc>
      </w:tr>
      <w:tr>
        <w:trPr>
          <w:trHeight w:val="243"/>
        </w:trPr>
        <w:tc>
          <w:tcPr>
            <w:tcW w:w="4800" w:type="dxa"/>
            <w:vAlign w:val="bottom"/>
          </w:tcPr>
          <w:p>
            <w:pPr>
              <w:ind w:left="500"/>
              <w:spacing w:after="0"/>
              <w:rPr>
                <w:sz w:val="20"/>
                <w:szCs w:val="20"/>
                <w:color w:val="auto"/>
              </w:rPr>
            </w:pPr>
            <w:r>
              <w:rPr>
                <w:rFonts w:ascii="Arial" w:cs="Arial" w:eastAsia="Arial" w:hAnsi="Arial"/>
                <w:sz w:val="18"/>
                <w:szCs w:val="18"/>
                <w:color w:val="auto"/>
              </w:rPr>
              <w:t>Asia Pacific</w:t>
            </w:r>
          </w:p>
        </w:tc>
        <w:tc>
          <w:tcPr>
            <w:tcW w:w="180" w:type="dxa"/>
            <w:vAlign w:val="bottom"/>
          </w:tcPr>
          <w:p>
            <w:pPr>
              <w:spacing w:after="0"/>
              <w:rPr>
                <w:sz w:val="21"/>
                <w:szCs w:val="21"/>
                <w:color w:val="auto"/>
              </w:rPr>
            </w:pP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12,569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11,169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1,400</w:t>
            </w:r>
          </w:p>
        </w:tc>
        <w:tc>
          <w:tcPr>
            <w:tcW w:w="1480" w:type="dxa"/>
            <w:vAlign w:val="bottom"/>
            <w:gridSpan w:val="2"/>
          </w:tcPr>
          <w:p>
            <w:pPr>
              <w:jc w:val="right"/>
              <w:ind w:right="439"/>
              <w:spacing w:after="0"/>
              <w:rPr>
                <w:sz w:val="20"/>
                <w:szCs w:val="20"/>
                <w:color w:val="auto"/>
              </w:rPr>
            </w:pPr>
            <w:r>
              <w:rPr>
                <w:rFonts w:ascii="Arial" w:cs="Arial" w:eastAsia="Arial" w:hAnsi="Arial"/>
                <w:sz w:val="18"/>
                <w:szCs w:val="18"/>
                <w:color w:val="auto"/>
              </w:rPr>
              <w:t>13%</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Europe</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7,698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48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(13%)</w:t>
            </w:r>
          </w:p>
        </w:tc>
      </w:tr>
      <w:tr>
        <w:trPr>
          <w:trHeight w:val="257"/>
        </w:trPr>
        <w:tc>
          <w:tcPr>
            <w:tcW w:w="4800" w:type="dxa"/>
            <w:vAlign w:val="bottom"/>
          </w:tcPr>
          <w:p>
            <w:pPr>
              <w:ind w:left="40"/>
              <w:spacing w:after="0"/>
              <w:rPr>
                <w:sz w:val="20"/>
                <w:szCs w:val="20"/>
                <w:color w:val="auto"/>
              </w:rPr>
            </w:pPr>
            <w:r>
              <w:rPr>
                <w:rFonts w:ascii="Arial" w:cs="Arial" w:eastAsia="Arial" w:hAnsi="Arial"/>
                <w:sz w:val="18"/>
                <w:szCs w:val="18"/>
                <w:color w:val="auto"/>
              </w:rPr>
              <w:t>Total contract sales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198,460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169,831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28,629</w:t>
            </w:r>
          </w:p>
        </w:tc>
        <w:tc>
          <w:tcPr>
            <w:tcW w:w="1480" w:type="dxa"/>
            <w:vAlign w:val="bottom"/>
            <w:gridSpan w:val="2"/>
          </w:tcPr>
          <w:p>
            <w:pPr>
              <w:jc w:val="right"/>
              <w:ind w:right="439"/>
              <w:spacing w:after="0"/>
              <w:rPr>
                <w:sz w:val="20"/>
                <w:szCs w:val="20"/>
                <w:color w:val="auto"/>
              </w:rPr>
            </w:pPr>
            <w:r>
              <w:rPr>
                <w:rFonts w:ascii="Arial" w:cs="Arial" w:eastAsia="Arial" w:hAnsi="Arial"/>
                <w:sz w:val="18"/>
                <w:szCs w:val="18"/>
                <w:color w:val="auto"/>
              </w:rPr>
              <w:t>17%</w:t>
            </w: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changes in contract sales are described within the discussions of our segment results below. Our 2017 third quarter had eight more days than our 2016 third quarter due to the change to an end-of-month quarterly reporting cycle in 2017. We estimate that 2016 third quarter contract sales would have been approximately $17 million higher on a comparable basis. We estimate the Hurricanes negatively impacted contract sales by $12 million in the 2017 third quarter.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60" w:type="dxa"/>
            <w:vAlign w:val="bottom"/>
            <w:gridSpan w:val="5"/>
          </w:tcPr>
          <w:p>
            <w:pPr>
              <w:ind w:left="1060"/>
              <w:spacing w:after="0"/>
              <w:rPr>
                <w:sz w:val="20"/>
                <w:szCs w:val="20"/>
                <w:color w:val="auto"/>
              </w:rPr>
            </w:pPr>
            <w:r>
              <w:rPr>
                <w:rFonts w:ascii="Arial" w:cs="Arial" w:eastAsia="Arial" w:hAnsi="Arial"/>
                <w:sz w:val="16"/>
                <w:szCs w:val="16"/>
                <w:b w:val="1"/>
                <w:bCs w:val="1"/>
                <w:color w:val="auto"/>
              </w:rPr>
              <w:t>Year to Date Ended</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4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4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September 30, 2017</w:t>
            </w:r>
          </w:p>
        </w:tc>
        <w:tc>
          <w:tcPr>
            <w:tcW w:w="200" w:type="dxa"/>
            <w:vAlign w:val="bottom"/>
          </w:tcPr>
          <w:p>
            <w:pPr>
              <w:spacing w:after="0"/>
              <w:rPr>
                <w:sz w:val="20"/>
                <w:szCs w:val="20"/>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September 9, 2016</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97"/>
        </w:trPr>
        <w:tc>
          <w:tcPr>
            <w:tcW w:w="4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4"/>
                <w:szCs w:val="24"/>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(274 days)</w:t>
            </w:r>
          </w:p>
        </w:tc>
        <w:tc>
          <w:tcPr>
            <w:tcW w:w="200" w:type="dxa"/>
            <w:vAlign w:val="bottom"/>
          </w:tcPr>
          <w:p>
            <w:pPr>
              <w:spacing w:after="0"/>
              <w:rPr>
                <w:sz w:val="24"/>
                <w:szCs w:val="24"/>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(252 days)</w:t>
            </w:r>
          </w:p>
        </w:tc>
        <w:tc>
          <w:tcPr>
            <w:tcW w:w="220" w:type="dxa"/>
            <w:vAlign w:val="bottom"/>
          </w:tcPr>
          <w:p>
            <w:pPr>
              <w:spacing w:after="0"/>
              <w:rPr>
                <w:sz w:val="24"/>
                <w:szCs w:val="24"/>
                <w:color w:val="auto"/>
              </w:rPr>
            </w:pPr>
          </w:p>
        </w:tc>
        <w:tc>
          <w:tcPr>
            <w:tcW w:w="1000" w:type="dxa"/>
            <w:vAlign w:val="bottom"/>
          </w:tcPr>
          <w:p>
            <w:pPr>
              <w:jc w:val="right"/>
              <w:ind w:right="252"/>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4"/>
                <w:szCs w:val="24"/>
                <w:color w:val="auto"/>
              </w:rPr>
            </w:pPr>
          </w:p>
        </w:tc>
        <w:tc>
          <w:tcPr>
            <w:tcW w:w="1240" w:type="dxa"/>
            <w:vAlign w:val="bottom"/>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Vacation ownership</w:t>
            </w: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North America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547,546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436,214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111,332</w:t>
            </w:r>
          </w:p>
        </w:tc>
        <w:tc>
          <w:tcPr>
            <w:tcW w:w="134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26%</w:t>
            </w:r>
          </w:p>
        </w:tc>
      </w:tr>
      <w:tr>
        <w:trPr>
          <w:trHeight w:val="243"/>
        </w:trPr>
        <w:tc>
          <w:tcPr>
            <w:tcW w:w="4740" w:type="dxa"/>
            <w:vAlign w:val="bottom"/>
          </w:tcPr>
          <w:p>
            <w:pPr>
              <w:ind w:left="500"/>
              <w:spacing w:after="0"/>
              <w:rPr>
                <w:sz w:val="20"/>
                <w:szCs w:val="20"/>
                <w:color w:val="auto"/>
              </w:rPr>
            </w:pPr>
            <w:r>
              <w:rPr>
                <w:rFonts w:ascii="Arial" w:cs="Arial" w:eastAsia="Arial" w:hAnsi="Arial"/>
                <w:sz w:val="18"/>
                <w:szCs w:val="18"/>
                <w:color w:val="auto"/>
              </w:rPr>
              <w:t>Asia Pacific</w:t>
            </w:r>
          </w:p>
        </w:tc>
        <w:tc>
          <w:tcPr>
            <w:tcW w:w="200" w:type="dxa"/>
            <w:vAlign w:val="bottom"/>
          </w:tcPr>
          <w:p>
            <w:pPr>
              <w:spacing w:after="0"/>
              <w:rPr>
                <w:sz w:val="21"/>
                <w:szCs w:val="21"/>
                <w:color w:val="auto"/>
              </w:rPr>
            </w:pPr>
          </w:p>
        </w:tc>
        <w:tc>
          <w:tcPr>
            <w:tcW w:w="1740" w:type="dxa"/>
            <w:vAlign w:val="bottom"/>
          </w:tcPr>
          <w:p>
            <w:pPr>
              <w:jc w:val="right"/>
              <w:ind w:right="35"/>
              <w:spacing w:after="0"/>
              <w:rPr>
                <w:sz w:val="20"/>
                <w:szCs w:val="20"/>
                <w:color w:val="auto"/>
              </w:rPr>
            </w:pPr>
            <w:r>
              <w:rPr>
                <w:rFonts w:ascii="Arial" w:cs="Arial" w:eastAsia="Arial" w:hAnsi="Arial"/>
                <w:sz w:val="18"/>
                <w:szCs w:val="18"/>
                <w:color w:val="auto"/>
              </w:rPr>
              <w:t>36,131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31,049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5,082</w:t>
            </w:r>
          </w:p>
        </w:tc>
        <w:tc>
          <w:tcPr>
            <w:tcW w:w="1340" w:type="dxa"/>
            <w:vAlign w:val="bottom"/>
            <w:gridSpan w:val="2"/>
          </w:tcPr>
          <w:p>
            <w:pPr>
              <w:jc w:val="right"/>
              <w:ind w:right="379"/>
              <w:spacing w:after="0"/>
              <w:rPr>
                <w:sz w:val="20"/>
                <w:szCs w:val="20"/>
                <w:color w:val="auto"/>
              </w:rPr>
            </w:pPr>
            <w:r>
              <w:rPr>
                <w:rFonts w:ascii="Arial" w:cs="Arial" w:eastAsia="Arial" w:hAnsi="Arial"/>
                <w:sz w:val="18"/>
                <w:szCs w:val="18"/>
                <w:color w:val="auto"/>
              </w:rPr>
              <w:t>16%</w:t>
            </w: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Europe</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18,509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22,054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1340" w:type="dxa"/>
            <w:vAlign w:val="bottom"/>
            <w:tcBorders>
              <w:bottom w:val="single" w:sz="8" w:color="CCEEFF"/>
            </w:tcBorders>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(16%)</w:t>
            </w:r>
          </w:p>
        </w:tc>
      </w:tr>
      <w:tr>
        <w:trPr>
          <w:trHeight w:val="257"/>
        </w:trPr>
        <w:tc>
          <w:tcPr>
            <w:tcW w:w="4740" w:type="dxa"/>
            <w:vAlign w:val="bottom"/>
          </w:tcPr>
          <w:p>
            <w:pPr>
              <w:ind w:left="40"/>
              <w:spacing w:after="0"/>
              <w:rPr>
                <w:sz w:val="20"/>
                <w:szCs w:val="20"/>
                <w:color w:val="auto"/>
              </w:rPr>
            </w:pPr>
            <w:r>
              <w:rPr>
                <w:rFonts w:ascii="Arial" w:cs="Arial" w:eastAsia="Arial" w:hAnsi="Arial"/>
                <w:sz w:val="18"/>
                <w:szCs w:val="18"/>
                <w:color w:val="auto"/>
              </w:rPr>
              <w:t>Total contract sales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602,186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489,317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112,869</w:t>
            </w:r>
          </w:p>
        </w:tc>
        <w:tc>
          <w:tcPr>
            <w:tcW w:w="1340" w:type="dxa"/>
            <w:vAlign w:val="bottom"/>
            <w:gridSpan w:val="2"/>
          </w:tcPr>
          <w:p>
            <w:pPr>
              <w:jc w:val="right"/>
              <w:ind w:right="379"/>
              <w:spacing w:after="0"/>
              <w:rPr>
                <w:sz w:val="20"/>
                <w:szCs w:val="20"/>
                <w:color w:val="auto"/>
              </w:rPr>
            </w:pPr>
            <w:r>
              <w:rPr>
                <w:rFonts w:ascii="Arial" w:cs="Arial" w:eastAsia="Arial" w:hAnsi="Arial"/>
                <w:sz w:val="18"/>
                <w:szCs w:val="18"/>
                <w:color w:val="auto"/>
              </w:rPr>
              <w:t>23%</w:t>
            </w:r>
          </w:p>
        </w:tc>
      </w:tr>
      <w:tr>
        <w:trPr>
          <w:trHeight w:val="20"/>
        </w:trPr>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changes in contract sales are described within the discussions of our segment results below. Our 2017 first three quarters had 22 more days than our 2016 first three quarters due to the change to an end-of-month quarterly reporting cycle in 2017. We estimate that 2016 first three quarters contract sales would have been approximately $43 million higher on a comparable basis. We estimate the Hurricanes negatively impacted contract sales by $12 million in the 2017 first three quarters.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2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(92 days)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Contract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198,460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169,831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28,629</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17%</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Reportability</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20,129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Sales reserve</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(11,740)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(13,872)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2,132</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80"/>
              <w:spacing w:after="0" w:line="230" w:lineRule="exact"/>
              <w:rPr>
                <w:sz w:val="20"/>
                <w:szCs w:val="20"/>
                <w:color w:val="auto"/>
              </w:rPr>
            </w:pPr>
            <w:r>
              <w:rPr>
                <w:rFonts w:ascii="Arial" w:cs="Arial" w:eastAsia="Arial" w:hAnsi="Arial"/>
                <w:sz w:val="18"/>
                <w:szCs w:val="18"/>
                <w:color w:val="auto"/>
                <w:shd w:val="clear" w:color="auto" w:fill="CCEEFF"/>
              </w:rPr>
              <w:t>Other</w:t>
            </w:r>
            <w:r>
              <w:rPr>
                <w:rFonts w:ascii="Arial" w:cs="Arial" w:eastAsia="Arial" w:hAnsi="Arial"/>
                <w:sz w:val="21"/>
                <w:szCs w:val="21"/>
                <w:color w:val="auto"/>
                <w:vertAlign w:val="superscript"/>
                <w:shd w:val="clear" w:color="auto" w:fill="CCEEFF"/>
              </w:rPr>
              <w:t>(1)</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180,522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131,012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49,510</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38%</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99" w:lineRule="exact"/>
        <w:rPr>
          <w:sz w:val="20"/>
          <w:szCs w:val="20"/>
          <w:color w:val="auto"/>
        </w:rPr>
      </w:pPr>
    </w:p>
    <w:p>
      <w:pPr>
        <w:jc w:val="both"/>
        <w:ind w:right="120" w:firstLine="648"/>
        <w:spacing w:after="0" w:line="257" w:lineRule="auto"/>
        <w:rPr>
          <w:sz w:val="20"/>
          <w:szCs w:val="20"/>
          <w:color w:val="auto"/>
        </w:rPr>
      </w:pPr>
      <w:r>
        <w:rPr>
          <w:rFonts w:ascii="Arial" w:cs="Arial" w:eastAsia="Arial" w:hAnsi="Arial"/>
          <w:sz w:val="18"/>
          <w:szCs w:val="18"/>
          <w:color w:val="auto"/>
        </w:rPr>
        <w:t>Revenue reportability had a positive impact in the 2017 third quarter due to a decrease in the amount of sales that remained in the rescission period as of the end of the quarter. Revenue reportability had a negative impact in the 2016 third quarter due to a decrease in the amount of sales that met the down payment requirement for revenue reportability during the period and an increase in the amount of sales that remained in the rescission period as of the end of the quarter.</w:t>
      </w:r>
    </w:p>
    <w:p>
      <w:pPr>
        <w:sectPr>
          <w:pgSz w:w="11900" w:h="16838" w:orient="portrait"/>
          <w:cols w:equalWidth="0" w:num="1">
            <w:col w:w="11420"/>
          </w:cols>
          <w:pgMar w:left="240" w:top="125"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The lower sales reserve reflected a lower required reserve in the 2017 third quarter ($2.7 million) due to lower default and delinquency activity, an unfavorable sales reserve adjustment in our North America segment in the 2016 third quarter ($0.9 million), and a favorable sales reserve adjustment in our Asia Pacific segment in the 2017 third quarter ($0.7 million), partially offset by higher vacation ownership contract sales volume ($2.2 million).</w:t>
      </w:r>
    </w:p>
    <w:p>
      <w:pPr>
        <w:spacing w:after="0" w:line="3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increase in other adjustments for sales incentives was driven by an increase in the utilization of plus points as a sales incentive in our North America segment in the 2017 third quarter due to the higher vacation ownership contract sales.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060"/>
              <w:spacing w:after="0"/>
              <w:rPr>
                <w:sz w:val="20"/>
                <w:szCs w:val="20"/>
                <w:color w:val="auto"/>
              </w:rPr>
            </w:pPr>
            <w:r>
              <w:rPr>
                <w:rFonts w:ascii="Arial" w:cs="Arial" w:eastAsia="Arial" w:hAnsi="Arial"/>
                <w:sz w:val="16"/>
                <w:szCs w:val="16"/>
                <w:b w:val="1"/>
                <w:bCs w:val="1"/>
                <w:color w:val="auto"/>
              </w:rPr>
              <w:t>Year to Date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(274 days)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(252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Contract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602,186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489,317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112,869</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23%</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Reportability</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18,179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Sales reserve</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(38,597)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(33,447)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(5,150)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80"/>
              <w:spacing w:after="0" w:line="230" w:lineRule="exact"/>
              <w:rPr>
                <w:sz w:val="20"/>
                <w:szCs w:val="20"/>
                <w:color w:val="auto"/>
              </w:rPr>
            </w:pPr>
            <w:r>
              <w:rPr>
                <w:rFonts w:ascii="Arial" w:cs="Arial" w:eastAsia="Arial" w:hAnsi="Arial"/>
                <w:sz w:val="18"/>
                <w:szCs w:val="18"/>
                <w:color w:val="auto"/>
                <w:shd w:val="clear" w:color="auto" w:fill="CCEEFF"/>
              </w:rPr>
              <w:t>Other</w:t>
            </w:r>
            <w:r>
              <w:rPr>
                <w:rFonts w:ascii="Arial" w:cs="Arial" w:eastAsia="Arial" w:hAnsi="Arial"/>
                <w:sz w:val="21"/>
                <w:szCs w:val="21"/>
                <w:color w:val="auto"/>
                <w:vertAlign w:val="superscript"/>
                <w:shd w:val="clear" w:color="auto" w:fill="CCEEFF"/>
              </w:rPr>
              <w:t>(1)</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1,958</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543,687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415,831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127,856</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31%</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9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Revenue reportability had a positive impact in the 2017 first three quarters due to an increase in the amount of sales that met the down payment requirement for revenue reportability during the period, partially offset by an increase in the amount of sales that remained in the rescission period as of the end of the period. Revenue reportability had a negative impact in the 2016 first three quarters due to a decrease in the amount of sales that met the down payment requirement for revenue reportability during the period and an increase in the amount of sales that remained in the rescission period as of the end of the period.</w:t>
      </w:r>
    </w:p>
    <w:p>
      <w:pPr>
        <w:spacing w:after="0" w:line="84"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higher sales reserve reflected the higher vacation ownership contract sales volume ($6.8 million of the increase), partially offset by an unfavorable sales reserve adjustment in our North America segment in the 2016 third quarter ($0.9 million) and a favorable sales reserve adjustment in our Asia Pacific segment in the 2017 third quarter ($0.7 million).</w:t>
      </w:r>
    </w:p>
    <w:p>
      <w:pPr>
        <w:spacing w:after="0" w:line="7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decrease in other adjustments for sales incentives was driven by a decrease in the utilization of plus points as a sales incentive in our North America segment in the 2017 first three quarters.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2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(92 days)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Sale of vacation ownership products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180,522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131,012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49,510</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38%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(42,826)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(34,779)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(8,047)</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(23%)</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Marketing and sales</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(79,017)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(21,510)</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(27%)</w:t>
            </w:r>
          </w:p>
        </w:tc>
      </w:tr>
      <w:tr>
        <w:trPr>
          <w:trHeight w:val="297"/>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37,169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17,216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19,953</w:t>
            </w:r>
          </w:p>
        </w:tc>
        <w:tc>
          <w:tcPr>
            <w:tcW w:w="148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86"/>
              </w:rPr>
              <w:t>116%</w:t>
            </w:r>
          </w:p>
        </w:tc>
      </w:tr>
      <w:tr>
        <w:trPr>
          <w:trHeight w:val="190"/>
        </w:trPr>
        <w:tc>
          <w:tcPr>
            <w:tcW w:w="48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shd w:val="clear" w:color="auto" w:fill="CCEEFF"/>
              </w:rPr>
              <w:t>Development margin percentage</w:t>
            </w: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394"/>
              <w:spacing w:after="0" w:line="189" w:lineRule="exact"/>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354"/>
              <w:spacing w:after="0" w:line="189" w:lineRule="exact"/>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1"/>
              <w:spacing w:after="0" w:line="189" w:lineRule="exact"/>
              <w:rPr>
                <w:sz w:val="20"/>
                <w:szCs w:val="20"/>
                <w:color w:val="auto"/>
              </w:rPr>
            </w:pPr>
            <w:r>
              <w:rPr>
                <w:rFonts w:ascii="Arial" w:cs="Arial" w:eastAsia="Arial" w:hAnsi="Arial"/>
                <w:sz w:val="18"/>
                <w:szCs w:val="18"/>
                <w:color w:val="auto"/>
              </w:rPr>
              <w:t>7.5 pts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68"/>
        </w:trPr>
        <w:tc>
          <w:tcPr>
            <w:tcW w:w="48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development margin reflected the following:</w:t>
      </w:r>
    </w:p>
    <w:p>
      <w:pPr>
        <w:spacing w:after="0" w:line="117"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$13.1 million of favorable revenue reportability compared to the 2016 third quarter;</w:t>
      </w:r>
    </w:p>
    <w:p>
      <w:pPr>
        <w:spacing w:after="0" w:line="117" w:lineRule="exact"/>
        <w:rPr>
          <w:rFonts w:ascii="Arial" w:cs="Arial" w:eastAsia="Arial" w:hAnsi="Arial"/>
          <w:sz w:val="18"/>
          <w:szCs w:val="18"/>
          <w:color w:val="auto"/>
        </w:rPr>
      </w:pPr>
    </w:p>
    <w:p>
      <w:pPr>
        <w:ind w:left="1300" w:right="620" w:hanging="320"/>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$5.5 million from higher vacation ownership contract sales volume net of the sales reserve and direct variable expenses (i.e., cost of vacation ownership products and marketing and sales);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$4.5 million from a favorable mix of lower cost real estate inventory being sold;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$3.4 million from lower sales reserve activity.</w:t>
      </w:r>
    </w:p>
    <w:p>
      <w:pPr>
        <w:spacing w:after="0" w:line="11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These increases in development margin were partially offset by $6.5 million from higher marketing and sales costs (of which $1.1 million was due to the ramp-up of our six newest sales distributions).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7.5 percentage point increase in the development margin percentage reflected a 6.9 percentage point increase due to the favorable revenue reportability year-over-year, a 2.5 percentage point increase due to a favorable mix of lower cost vacation ownership real estate inventory being sold in the 2017 third quarter, a 1.4 percentage point increase from the lower sales reserve activity, and a 0.3 percentage point increase from the higher North America vacation ownership contract sales (which have a development margin that is higher than the company-wide average). These increases were partially offset by a 3.6 percentage point decline due to higher marketing and sales costs (of which 0.6 percentage points was due to the higher ramp-up expenses associated with our newest sales distributions). We estimate the Hurricanes negatively impacted development margin percentage by 0.5 percentage points in the 2017 third quarter.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040"/>
              <w:spacing w:after="0"/>
              <w:rPr>
                <w:sz w:val="20"/>
                <w:szCs w:val="20"/>
                <w:color w:val="auto"/>
              </w:rPr>
            </w:pPr>
            <w:r>
              <w:rPr>
                <w:rFonts w:ascii="Arial" w:cs="Arial" w:eastAsia="Arial" w:hAnsi="Arial"/>
                <w:sz w:val="16"/>
                <w:szCs w:val="16"/>
                <w:b w:val="1"/>
                <w:bCs w:val="1"/>
                <w:color w:val="auto"/>
              </w:rPr>
              <w:t>Year to Date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(274 days)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(252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Sale of vacation ownership products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543,687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415,831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127,856</w:t>
            </w:r>
          </w:p>
        </w:tc>
        <w:tc>
          <w:tcPr>
            <w:tcW w:w="148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31%</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(131,589)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(104,149)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(27,440)</w:t>
            </w:r>
          </w:p>
        </w:tc>
        <w:tc>
          <w:tcPr>
            <w:tcW w:w="1480" w:type="dxa"/>
            <w:vAlign w:val="bottom"/>
            <w:gridSpan w:val="2"/>
          </w:tcPr>
          <w:p>
            <w:pPr>
              <w:jc w:val="right"/>
              <w:ind w:right="379"/>
              <w:spacing w:after="0"/>
              <w:rPr>
                <w:sz w:val="20"/>
                <w:szCs w:val="20"/>
                <w:color w:val="auto"/>
              </w:rPr>
            </w:pPr>
            <w:r>
              <w:rPr>
                <w:rFonts w:ascii="Arial" w:cs="Arial" w:eastAsia="Arial" w:hAnsi="Arial"/>
                <w:sz w:val="18"/>
                <w:szCs w:val="18"/>
                <w:color w:val="auto"/>
              </w:rPr>
              <w:t>(26%)</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Marketing and sales</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(305,217)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(236,348)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(68,869)</w:t>
            </w:r>
          </w:p>
        </w:tc>
        <w:tc>
          <w:tcPr>
            <w:tcW w:w="148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(29%)</w:t>
            </w:r>
          </w:p>
        </w:tc>
      </w:tr>
      <w:tr>
        <w:trPr>
          <w:trHeight w:val="297"/>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106,881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75,334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31,547</w:t>
            </w:r>
          </w:p>
        </w:tc>
        <w:tc>
          <w:tcPr>
            <w:tcW w:w="1480" w:type="dxa"/>
            <w:vAlign w:val="bottom"/>
            <w:tcBorders>
              <w:bottom w:val="single" w:sz="8" w:color="CCEEFF"/>
            </w:tcBorders>
            <w:gridSpan w:val="2"/>
          </w:tcPr>
          <w:p>
            <w:pPr>
              <w:jc w:val="right"/>
              <w:ind w:right="439"/>
              <w:spacing w:after="0"/>
              <w:rPr>
                <w:sz w:val="20"/>
                <w:szCs w:val="20"/>
                <w:color w:val="auto"/>
              </w:rPr>
            </w:pPr>
            <w:r>
              <w:rPr>
                <w:rFonts w:ascii="Arial" w:cs="Arial" w:eastAsia="Arial" w:hAnsi="Arial"/>
                <w:sz w:val="18"/>
                <w:szCs w:val="18"/>
                <w:color w:val="auto"/>
              </w:rPr>
              <w:t>42%</w:t>
            </w:r>
          </w:p>
        </w:tc>
      </w:tr>
      <w:tr>
        <w:trPr>
          <w:trHeight w:val="190"/>
        </w:trPr>
        <w:tc>
          <w:tcPr>
            <w:tcW w:w="48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shd w:val="clear" w:color="auto" w:fill="CCEEFF"/>
              </w:rPr>
              <w:t>Development margin percentage</w:t>
            </w: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394"/>
              <w:spacing w:after="0" w:line="189" w:lineRule="exact"/>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354"/>
              <w:spacing w:after="0" w:line="189" w:lineRule="exact"/>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1"/>
              <w:spacing w:after="0" w:line="189" w:lineRule="exact"/>
              <w:rPr>
                <w:sz w:val="20"/>
                <w:szCs w:val="20"/>
                <w:color w:val="auto"/>
              </w:rPr>
            </w:pPr>
            <w:r>
              <w:rPr>
                <w:rFonts w:ascii="Arial" w:cs="Arial" w:eastAsia="Arial" w:hAnsi="Arial"/>
                <w:sz w:val="18"/>
                <w:szCs w:val="18"/>
                <w:color w:val="auto"/>
              </w:rPr>
              <w:t>1.6 pts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68"/>
        </w:trPr>
        <w:tc>
          <w:tcPr>
            <w:tcW w:w="48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development margin reflected the following:</w:t>
      </w:r>
    </w:p>
    <w:p>
      <w:pPr>
        <w:spacing w:after="0" w:line="117" w:lineRule="exact"/>
        <w:rPr>
          <w:sz w:val="20"/>
          <w:szCs w:val="20"/>
          <w:color w:val="auto"/>
        </w:rPr>
      </w:pPr>
    </w:p>
    <w:p>
      <w:pPr>
        <w:ind w:left="1300" w:right="520" w:hanging="320"/>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$27.4 million from higher vacation ownership contract sales volume net of the sales reserve and direct variable expenses (i.e., cost of vacation ownership products and marketing and sales);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$18.5 million from a favorable mix of lower cost real estate inventory being sold;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$11.7 million of favorable revenue reportability compared to the 2016 first three quarters;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$1.6 million from lower sales reserve activity.</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These increases in development margin were partially offset by the following:</w:t>
      </w:r>
    </w:p>
    <w:p>
      <w:pPr>
        <w:spacing w:after="0" w:line="117" w:lineRule="exact"/>
        <w:rPr>
          <w:sz w:val="20"/>
          <w:szCs w:val="20"/>
          <w:color w:val="auto"/>
        </w:rPr>
      </w:pPr>
    </w:p>
    <w:p>
      <w:pPr>
        <w:ind w:left="1300" w:hanging="320"/>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$14.9 million from higher marketing and sales costs (of which $6.3 million was due to the ramp-up of our six newest sales distributions);</w:t>
      </w:r>
    </w:p>
    <w:p>
      <w:pPr>
        <w:spacing w:after="0" w:line="140" w:lineRule="exact"/>
        <w:rPr>
          <w:rFonts w:ascii="Arial" w:cs="Arial" w:eastAsia="Arial" w:hAnsi="Arial"/>
          <w:sz w:val="16"/>
          <w:szCs w:val="16"/>
          <w:color w:val="auto"/>
        </w:rPr>
      </w:pPr>
    </w:p>
    <w:p>
      <w:pPr>
        <w:ind w:left="1300" w:right="520" w:hanging="320"/>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$11.2 million of unfavorable changes in product cost true-up activity ($1.0 million of favorable true-up activity in the 2017 first three quarters compared to $12.2 million of favorable true-up activity in the 2016 first three quarters); and</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$1.6 million from higher other development and inventory expenses.</w:t>
      </w:r>
    </w:p>
    <w:p>
      <w:pPr>
        <w:spacing w:after="0" w:line="11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1.6 percentage point increase in the development margin percentage reflected a 3.4 percentage point increase due to a favorable mix of lower cost vacation ownership real estate inventory being sold in the 2017 first three quarters, a 2.0 percentage point increase due to the favorable revenue reportability year-over-year, a 0.9 percentage point increase from the higher North America vacation ownership contract sales (which have a development margin that is higher than the company-wide average) and a 0.3 percentage point increase from the lower sales reserve activity. These increases were partially offset by a 2.0 percentage point decrease due to the unfavorable changes in product cost true-up activity year-over-year, a 2.7 percentage point decline due to higher marketing and sales costs (of which 1.2 percentage points was due to the higher ramp-up expenses associated with our newest sales distributions) and a 0.3 percentage point decrease from higher other development and inventory expenses.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2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(92 days)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Management fee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22,249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2,789</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14%</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Ancillary revenues</w:t>
            </w:r>
          </w:p>
        </w:tc>
        <w:tc>
          <w:tcPr>
            <w:tcW w:w="180" w:type="dxa"/>
            <w:vAlign w:val="bottom"/>
          </w:tcPr>
          <w:p>
            <w:pPr>
              <w:spacing w:after="0"/>
              <w:rPr>
                <w:sz w:val="21"/>
                <w:szCs w:val="21"/>
                <w:color w:val="auto"/>
              </w:rPr>
            </w:pP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31,095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30,471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624</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services revenues</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20,254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3,284</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16%</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1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76,882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70,185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6,697</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Resort management and other services expenses</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(12%)</w:t>
            </w:r>
          </w:p>
        </w:tc>
      </w:tr>
      <w:tr>
        <w:trPr>
          <w:trHeight w:val="297"/>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32,186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30,360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1,826</w:t>
            </w:r>
          </w:p>
        </w:tc>
        <w:tc>
          <w:tcPr>
            <w:tcW w:w="148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2"/>
              </w:rPr>
              <w:t>6%</w:t>
            </w:r>
          </w:p>
        </w:tc>
      </w:tr>
      <w:tr>
        <w:trPr>
          <w:trHeight w:val="190"/>
        </w:trPr>
        <w:tc>
          <w:tcPr>
            <w:tcW w:w="48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shd w:val="clear" w:color="auto" w:fill="CCEEFF"/>
              </w:rPr>
              <w:t>Resort management and other services margin percentage</w:t>
            </w: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394"/>
              <w:spacing w:after="0" w:line="189" w:lineRule="exact"/>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353"/>
              <w:spacing w:after="0" w:line="189" w:lineRule="exact"/>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71"/>
              <w:spacing w:after="0" w:line="189" w:lineRule="exact"/>
              <w:rPr>
                <w:sz w:val="20"/>
                <w:szCs w:val="20"/>
                <w:color w:val="auto"/>
              </w:rPr>
            </w:pPr>
            <w:r>
              <w:rPr>
                <w:rFonts w:ascii="Arial" w:cs="Arial" w:eastAsia="Arial" w:hAnsi="Arial"/>
                <w:sz w:val="18"/>
                <w:szCs w:val="18"/>
                <w:color w:val="auto"/>
              </w:rPr>
              <w:t>(1.4 pts)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68"/>
        </w:trPr>
        <w:tc>
          <w:tcPr>
            <w:tcW w:w="48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bl>
    <w:p>
      <w:pPr>
        <w:spacing w:after="0" w:line="20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increase in resort management and other services revenues reflected $2.8 million of higher management fees resulting from the cumulative increase in the number of vacation ownership products sold and higher operating costs across the system, $2.1 million of additional annual club dues and other revenues earned in connection with the MVCD program due to the cumulative increase in owners enrolled in the program, $1.2 million of higher resales commissions and other revenues and $0.6 million of higher ancillary revenues. The increase in ancillary revenues included $2.3 million of higher revenues from food and beverage and golf offerings at our resorts, partially offset by $1.7 million of lower revenue due to outsourcing multiple operations in our North America segment.</w:t>
      </w:r>
    </w:p>
    <w:p>
      <w:pPr>
        <w:spacing w:after="0" w:line="8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improvement in the resort management and other services margin reflected the increases in revenue, partially offset by $4.9 million of higher expenses. Compared to the 2016 third quarter, expenses in the 2017 third quarter included $3.2 million of higher ancillary expenses from food and beverage and golf offerings at our resorts, $2.6 million of higher customer service expenses and expenses associated with the MVCD program, and $0.9 million of higher resales and other expenses, partially offset by $1.8 million of lower expenses due to outsourcing multiple operations in our North America segment.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040"/>
              <w:spacing w:after="0"/>
              <w:rPr>
                <w:sz w:val="20"/>
                <w:szCs w:val="20"/>
                <w:color w:val="auto"/>
              </w:rPr>
            </w:pPr>
            <w:r>
              <w:rPr>
                <w:rFonts w:ascii="Arial" w:cs="Arial" w:eastAsia="Arial" w:hAnsi="Arial"/>
                <w:sz w:val="16"/>
                <w:szCs w:val="16"/>
                <w:b w:val="1"/>
                <w:bCs w:val="1"/>
                <w:color w:val="auto"/>
              </w:rPr>
              <w:t>Year to Date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(274 days)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(252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Management fee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65,680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57,311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8,369</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15%</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Ancillary revenues</w:t>
            </w:r>
          </w:p>
        </w:tc>
        <w:tc>
          <w:tcPr>
            <w:tcW w:w="180" w:type="dxa"/>
            <w:vAlign w:val="bottom"/>
          </w:tcPr>
          <w:p>
            <w:pPr>
              <w:spacing w:after="0"/>
              <w:rPr>
                <w:sz w:val="21"/>
                <w:szCs w:val="21"/>
                <w:color w:val="auto"/>
              </w:rPr>
            </w:pP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91,404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92,142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(738)</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services revenues</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71,920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58,596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13,324</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23%</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1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229,004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208,049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20,955</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Resort management and other services expenses</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(123,695)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(6,654)</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(5%)</w:t>
            </w:r>
          </w:p>
        </w:tc>
      </w:tr>
      <w:tr>
        <w:trPr>
          <w:trHeight w:val="297"/>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98,655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84,354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14,301</w:t>
            </w:r>
          </w:p>
        </w:tc>
        <w:tc>
          <w:tcPr>
            <w:tcW w:w="148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88"/>
              </w:rPr>
              <w:t>17%</w:t>
            </w:r>
          </w:p>
        </w:tc>
      </w:tr>
      <w:tr>
        <w:trPr>
          <w:trHeight w:val="190"/>
        </w:trPr>
        <w:tc>
          <w:tcPr>
            <w:tcW w:w="48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shd w:val="clear" w:color="auto" w:fill="CCEEFF"/>
              </w:rPr>
              <w:t>Resort management and other services margin percentage</w:t>
            </w: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394"/>
              <w:spacing w:after="0" w:line="189" w:lineRule="exact"/>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353"/>
              <w:spacing w:after="0" w:line="189" w:lineRule="exact"/>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1"/>
              <w:spacing w:after="0" w:line="189" w:lineRule="exact"/>
              <w:rPr>
                <w:sz w:val="20"/>
                <w:szCs w:val="20"/>
                <w:color w:val="auto"/>
              </w:rPr>
            </w:pPr>
            <w:r>
              <w:rPr>
                <w:rFonts w:ascii="Arial" w:cs="Arial" w:eastAsia="Arial" w:hAnsi="Arial"/>
                <w:sz w:val="18"/>
                <w:szCs w:val="18"/>
                <w:color w:val="auto"/>
              </w:rPr>
              <w:t>2.6 pts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68"/>
        </w:trPr>
        <w:tc>
          <w:tcPr>
            <w:tcW w:w="48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bl>
    <w:p>
      <w:pPr>
        <w:spacing w:after="0" w:line="20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increase in resort management and other services revenues reflected $8.4 million of higher management fees resulting from the cumulative increase in the number of vacation ownership products sold and higher operating costs across the system, $5.3 million of additional annual club dues and other revenues earned in connection with the MVCD program due to the cumulative increase in owners enrolled in the program, $2.7 million of higher refurbishment revenue due to an increase in the number of refurbishment projects completed in the 2017 first three quarters, $3.1 million of higher resales commissions, brand fees and other revenues and $2.2 million of higher settlement fees due to an increase in the number of closed contracts in the 2017 first three quarters. These increases were partially offset by $0.7 million of lower ancillary revenues. The decline in ancillary revenues included $6.2 million of lower ancillary revenues from the operating property in Surfers Paradise, Australia (a portion of which was disposed of in the 2016 second quarter) and $5.4 million of lower revenue due to outsourcing multiple operations in our North America segment, partially offset by $10.9 million of higher revenues from food and beverage and golf offerings at our resorts.</w:t>
      </w:r>
    </w:p>
    <w:p>
      <w:pPr>
        <w:spacing w:after="0" w:line="74"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The improvement in the resort management and other services margin reflected the increases in revenue, partially offset by $6.7 million of higher expenses. The higher expenses included $8.9 million of higher ancillary expenses from food and beverage and golf offerings at our resorts, $5.4 million of higher customer service expenses and expenses associated with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the MVCD program, $2.1 million of higher refurbishment expenses due to an increase in the number of projects being refurbished in the 2017 first three quarters and $0.8 million of higher resales and other expenses, partially offset by $5.5 million of lower ancillary expenses from the operating property in Surfers Paradise, Australia and $5.0 million of lower ancillary expenses due to outsourcing multiple operations in our North America segment.</w:t>
      </w:r>
    </w:p>
    <w:p>
      <w:pPr>
        <w:spacing w:after="0" w:line="39"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The ancillary revenue producing portions of the operating property in Surfers Paradise, Australia were included in the portion of the operating property sold in the second quarter of 2016. Therefore, we do not anticipate future ancillary revenues or expenses at this property.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2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4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97"/>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(92 days)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Interest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32,945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5,242</w:t>
            </w:r>
          </w:p>
        </w:tc>
        <w:tc>
          <w:tcPr>
            <w:tcW w:w="136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19%</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financing revenues</w:t>
            </w:r>
          </w:p>
        </w:tc>
        <w:tc>
          <w:tcPr>
            <w:tcW w:w="180" w:type="dxa"/>
            <w:vAlign w:val="bottom"/>
          </w:tcPr>
          <w:p>
            <w:pPr>
              <w:spacing w:after="0"/>
              <w:rPr>
                <w:sz w:val="21"/>
                <w:szCs w:val="21"/>
                <w:color w:val="auto"/>
              </w:rPr>
            </w:pP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377</w:t>
            </w:r>
          </w:p>
        </w:tc>
        <w:tc>
          <w:tcPr>
            <w:tcW w:w="1360" w:type="dxa"/>
            <w:vAlign w:val="bottom"/>
            <w:gridSpan w:val="2"/>
          </w:tcPr>
          <w:p>
            <w:pPr>
              <w:jc w:val="right"/>
              <w:ind w:right="379"/>
              <w:spacing w:after="0"/>
              <w:rPr>
                <w:sz w:val="20"/>
                <w:szCs w:val="20"/>
                <w:color w:val="auto"/>
              </w:rPr>
            </w:pPr>
            <w:r>
              <w:rPr>
                <w:rFonts w:ascii="Arial" w:cs="Arial" w:eastAsia="Arial" w:hAnsi="Arial"/>
                <w:sz w:val="18"/>
                <w:szCs w:val="18"/>
                <w:color w:val="auto"/>
              </w:rPr>
              <w:t>28%</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Financing revenues</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34,685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29,066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5,619</w:t>
            </w:r>
          </w:p>
        </w:tc>
        <w:tc>
          <w:tcPr>
            <w:tcW w:w="136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19%</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Financing expenses</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(5,062)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(4,581)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(481)</w:t>
            </w:r>
          </w:p>
        </w:tc>
        <w:tc>
          <w:tcPr>
            <w:tcW w:w="1360" w:type="dxa"/>
            <w:vAlign w:val="bottom"/>
            <w:gridSpan w:val="2"/>
          </w:tcPr>
          <w:p>
            <w:pPr>
              <w:jc w:val="right"/>
              <w:ind w:right="319"/>
              <w:spacing w:after="0"/>
              <w:rPr>
                <w:sz w:val="20"/>
                <w:szCs w:val="20"/>
                <w:color w:val="auto"/>
              </w:rPr>
            </w:pPr>
            <w:r>
              <w:rPr>
                <w:rFonts w:ascii="Arial" w:cs="Arial" w:eastAsia="Arial" w:hAnsi="Arial"/>
                <w:sz w:val="18"/>
                <w:szCs w:val="18"/>
                <w:color w:val="auto"/>
              </w:rPr>
              <w:t>(10%)</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Consumer financing interest expense</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360" w:type="dxa"/>
            <w:vAlign w:val="bottom"/>
            <w:tcBorders>
              <w:bottom w:val="single" w:sz="8" w:color="CCEEFF"/>
            </w:tcBorders>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(21%)</w:t>
            </w:r>
          </w:p>
        </w:tc>
      </w:tr>
      <w:tr>
        <w:trPr>
          <w:trHeight w:val="297"/>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Financing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23,125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19,124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4,001</w:t>
            </w:r>
          </w:p>
        </w:tc>
        <w:tc>
          <w:tcPr>
            <w:tcW w:w="1360" w:type="dxa"/>
            <w:vAlign w:val="bottom"/>
            <w:tcBorders>
              <w:bottom w:val="single" w:sz="8" w:color="CCEEFF"/>
            </w:tcBorders>
            <w:gridSpan w:val="2"/>
          </w:tcPr>
          <w:p>
            <w:pPr>
              <w:jc w:val="right"/>
              <w:ind w:right="379"/>
              <w:spacing w:after="0"/>
              <w:rPr>
                <w:sz w:val="20"/>
                <w:szCs w:val="20"/>
                <w:color w:val="auto"/>
              </w:rPr>
            </w:pPr>
            <w:r>
              <w:rPr>
                <w:rFonts w:ascii="Arial" w:cs="Arial" w:eastAsia="Arial" w:hAnsi="Arial"/>
                <w:sz w:val="18"/>
                <w:szCs w:val="18"/>
                <w:color w:val="auto"/>
              </w:rPr>
              <w:t>21%</w:t>
            </w:r>
          </w:p>
        </w:tc>
      </w:tr>
      <w:tr>
        <w:trPr>
          <w:trHeight w:val="190"/>
        </w:trPr>
        <w:tc>
          <w:tcPr>
            <w:tcW w:w="492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shd w:val="clear" w:color="auto" w:fill="CCEEFF"/>
              </w:rPr>
              <w:t>Financing propensity</w:t>
            </w: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394"/>
              <w:spacing w:after="0" w:line="189" w:lineRule="exact"/>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353"/>
              <w:spacing w:after="0" w:line="189" w:lineRule="exact"/>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68"/>
        </w:trPr>
        <w:tc>
          <w:tcPr>
            <w:tcW w:w="49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r>
    </w:tbl>
    <w:p>
      <w:pPr>
        <w:spacing w:after="0" w:line="20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increase in financing revenues was due to a $147 million increase in the average gross vacation ownership notes receivable balance ($7.4 million) and higher other financing revenues ($0.4 million), partially offset by financing program incentive costs ($1.4 million) and a decrease in the weighted average coupon rate of our vacation ownership notes receivable ($0.8 million).</w:t>
      </w:r>
    </w:p>
    <w:p>
      <w:pPr>
        <w:spacing w:after="0" w:line="73"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increase in financing margin reflected the higher financing revenues, partially offset by higher other expenses and higher consumer financing interest expense. The higher other expenses were due to an increase in variable expenses associated with the increase in the average gross vacation ownership notes receivable balance. The higher consumer financing interest expense was due to a higher average outstanding debt balance and the change to an end-of-month quarterly reporting cycle in 2017 that resulted in eight additional days in the 2017 third quarter.</w:t>
      </w:r>
    </w:p>
    <w:p>
      <w:pPr>
        <w:spacing w:after="0" w:line="63"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 expect financing propensity for the 2017 fiscal year to approximate 65 percent as we intend to continue to offer financing incentive programs, and that interest income will continue to increase as new originations of vacation ownership notes receivable outpace the decline in principal of existing vacation ownership notes receivable.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060"/>
              <w:spacing w:after="0"/>
              <w:rPr>
                <w:sz w:val="20"/>
                <w:szCs w:val="20"/>
                <w:color w:val="auto"/>
              </w:rPr>
            </w:pPr>
            <w:r>
              <w:rPr>
                <w:rFonts w:ascii="Arial" w:cs="Arial" w:eastAsia="Arial" w:hAnsi="Arial"/>
                <w:sz w:val="16"/>
                <w:szCs w:val="16"/>
                <w:b w:val="1"/>
                <w:bCs w:val="1"/>
                <w:color w:val="auto"/>
              </w:rPr>
              <w:t>Year to Date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4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97"/>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(274 days)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(252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Interest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94,104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82,730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11,374</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14%</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financing revenues</w:t>
            </w:r>
          </w:p>
        </w:tc>
        <w:tc>
          <w:tcPr>
            <w:tcW w:w="180" w:type="dxa"/>
            <w:vAlign w:val="bottom"/>
          </w:tcPr>
          <w:p>
            <w:pPr>
              <w:spacing w:after="0"/>
              <w:rPr>
                <w:sz w:val="21"/>
                <w:szCs w:val="21"/>
                <w:color w:val="auto"/>
              </w:rPr>
            </w:pP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5,222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4,214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1,008</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24%</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Financing revenues</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99,326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86,944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12,382</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14%</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Financing expenses</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(12,528)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(11,782)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(746)</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(6%)</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Consumer financing interest expense</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(14%)</w:t>
            </w:r>
          </w:p>
        </w:tc>
      </w:tr>
      <w:tr>
        <w:trPr>
          <w:trHeight w:val="297"/>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Financing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68,708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59,322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9,386</w:t>
            </w:r>
          </w:p>
        </w:tc>
        <w:tc>
          <w:tcPr>
            <w:tcW w:w="136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88"/>
              </w:rPr>
              <w:t>16%</w:t>
            </w:r>
          </w:p>
        </w:tc>
      </w:tr>
      <w:tr>
        <w:trPr>
          <w:trHeight w:val="190"/>
        </w:trPr>
        <w:tc>
          <w:tcPr>
            <w:tcW w:w="492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shd w:val="clear" w:color="auto" w:fill="CCEEFF"/>
              </w:rPr>
              <w:t>Financing propensity</w:t>
            </w: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394"/>
              <w:spacing w:after="0" w:line="189" w:lineRule="exact"/>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353"/>
              <w:spacing w:after="0" w:line="189" w:lineRule="exact"/>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68"/>
        </w:trPr>
        <w:tc>
          <w:tcPr>
            <w:tcW w:w="49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r>
    </w:tbl>
    <w:p>
      <w:pPr>
        <w:spacing w:after="0" w:line="202"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increase in financing revenues was due to a $111 million increase in the average gross vacation ownership notes receivable balance ($18.8 million) and higher other financing revenues ($1.0 million), partially offset by financing program incentive costs ($5.2 million) and a slight decrease in the weighted average coupon rate of our vacation ownership notes receivable ($2.2 million).</w:t>
      </w:r>
    </w:p>
    <w:p>
      <w:pPr>
        <w:spacing w:after="0" w:line="7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increase in financing margin reflected the higher financing revenues, partially offset by higher consumer financing interest expense and higher other expenses. The higher other expenses were due to an increase in variable expenses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associated with the increase in the average gross vacation ownership notes receivable balance. The higher consumer financing interest expense was due to a higher average outstanding debt balance and the change to an end-of-month quarterly reporting cycle in 2017 that resulted in 22 additional days in the 2017 first three quarters.</w:t>
      </w:r>
    </w:p>
    <w:p>
      <w:pPr>
        <w:spacing w:after="0" w:line="73"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 expect financing propensity for the 2017 fiscal year to approximate 65 percent as we intend to continue to offer financing incentive programs, and that interest income will continue to increase as new originations of vacation ownership notes receivable outpace the decline in principal of existing vacation ownership notes receivable.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Third Quarter</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2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 2017</w:t>
            </w:r>
          </w:p>
        </w:tc>
        <w:tc>
          <w:tcPr>
            <w:tcW w:w="200" w:type="dxa"/>
            <w:vAlign w:val="bottom"/>
          </w:tcPr>
          <w:p>
            <w:pPr>
              <w:spacing w:after="0"/>
              <w:rPr>
                <w:sz w:val="20"/>
                <w:szCs w:val="20"/>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20" w:type="dxa"/>
            <w:vAlign w:val="bottom"/>
          </w:tcPr>
          <w:p>
            <w:pPr>
              <w:spacing w:after="0"/>
              <w:rPr>
                <w:sz w:val="24"/>
                <w:szCs w:val="24"/>
                <w:color w:val="auto"/>
              </w:rPr>
            </w:pPr>
          </w:p>
        </w:tc>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(92 days)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2"/>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Rental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81,177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73,776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10%</w:t>
            </w:r>
          </w:p>
        </w:tc>
      </w:tr>
      <w:tr>
        <w:trPr>
          <w:trHeight w:val="243"/>
        </w:trPr>
        <w:tc>
          <w:tcPr>
            <w:tcW w:w="2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Unsold maintenance fees</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(19,186)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(18,475)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(711)</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(4%)</w:t>
            </w: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Other rental expenses</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(42,495)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(9,367)</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(22%)</w:t>
            </w:r>
          </w:p>
        </w:tc>
      </w:tr>
      <w:tr>
        <w:trPr>
          <w:trHeight w:val="297"/>
        </w:trPr>
        <w:tc>
          <w:tcPr>
            <w:tcW w:w="20" w:type="dxa"/>
            <w:vAlign w:val="bottom"/>
          </w:tcPr>
          <w:p>
            <w:pPr>
              <w:spacing w:after="0"/>
              <w:rPr>
                <w:sz w:val="24"/>
                <w:szCs w:val="24"/>
                <w:color w:val="auto"/>
              </w:rPr>
            </w:pPr>
          </w:p>
        </w:tc>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Rental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10,129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12,806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(2,677)</w:t>
            </w:r>
          </w:p>
        </w:tc>
        <w:tc>
          <w:tcPr>
            <w:tcW w:w="148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1"/>
              </w:rPr>
              <w:t>(21%)</w:t>
            </w:r>
          </w:p>
        </w:tc>
      </w:tr>
      <w:tr>
        <w:trPr>
          <w:trHeight w:val="190"/>
        </w:trPr>
        <w:tc>
          <w:tcPr>
            <w:tcW w:w="20" w:type="dxa"/>
            <w:vAlign w:val="bottom"/>
          </w:tcPr>
          <w:p>
            <w:pPr>
              <w:spacing w:after="0"/>
              <w:rPr>
                <w:sz w:val="16"/>
                <w:szCs w:val="16"/>
                <w:color w:val="auto"/>
              </w:rPr>
            </w:pPr>
          </w:p>
        </w:tc>
        <w:tc>
          <w:tcPr>
            <w:tcW w:w="47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shd w:val="clear" w:color="auto" w:fill="CCEEFF"/>
              </w:rPr>
              <w:t>Rental margin percentage</w:t>
            </w: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395"/>
              <w:spacing w:after="0" w:line="189" w:lineRule="exact"/>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354"/>
              <w:spacing w:after="0" w:line="189" w:lineRule="exact"/>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72"/>
              <w:spacing w:after="0" w:line="189" w:lineRule="exact"/>
              <w:rPr>
                <w:sz w:val="20"/>
                <w:szCs w:val="20"/>
                <w:color w:val="auto"/>
              </w:rPr>
            </w:pPr>
            <w:r>
              <w:rPr>
                <w:rFonts w:ascii="Arial" w:cs="Arial" w:eastAsia="Arial" w:hAnsi="Arial"/>
                <w:sz w:val="18"/>
                <w:szCs w:val="18"/>
                <w:color w:val="auto"/>
              </w:rPr>
              <w:t>(4.9 pts)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68"/>
        </w:trPr>
        <w:tc>
          <w:tcPr>
            <w:tcW w:w="20" w:type="dxa"/>
            <w:vAlign w:val="bottom"/>
          </w:tcPr>
          <w:p>
            <w:pPr>
              <w:spacing w:after="0"/>
              <w:rPr>
                <w:sz w:val="5"/>
                <w:szCs w:val="5"/>
                <w:color w:val="auto"/>
              </w:rPr>
            </w:pPr>
          </w:p>
        </w:tc>
        <w:tc>
          <w:tcPr>
            <w:tcW w:w="47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r>
        <w:trPr>
          <w:trHeight w:val="480"/>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20" w:type="dxa"/>
            <w:vAlign w:val="bottom"/>
            <w:gridSpan w:val="5"/>
          </w:tcPr>
          <w:p>
            <w:pPr>
              <w:ind w:left="12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 2017</w:t>
            </w:r>
          </w:p>
        </w:tc>
        <w:tc>
          <w:tcPr>
            <w:tcW w:w="200" w:type="dxa"/>
            <w:vAlign w:val="bottom"/>
          </w:tcPr>
          <w:p>
            <w:pPr>
              <w:spacing w:after="0"/>
              <w:rPr>
                <w:sz w:val="20"/>
                <w:szCs w:val="20"/>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20" w:type="dxa"/>
            <w:vAlign w:val="bottom"/>
          </w:tcPr>
          <w:p>
            <w:pPr>
              <w:spacing w:after="0"/>
              <w:rPr>
                <w:sz w:val="24"/>
                <w:szCs w:val="24"/>
                <w:color w:val="auto"/>
              </w:rPr>
            </w:pPr>
          </w:p>
        </w:tc>
        <w:tc>
          <w:tcPr>
            <w:tcW w:w="47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(92 days)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2"/>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shd w:val="clear" w:color="auto" w:fill="CCEEFF"/>
              </w:rPr>
              <w:t>Transient keys rented</w:t>
            </w:r>
            <w:r>
              <w:rPr>
                <w:rFonts w:ascii="Arial" w:cs="Arial" w:eastAsia="Arial" w:hAnsi="Arial"/>
                <w:sz w:val="21"/>
                <w:szCs w:val="21"/>
                <w:color w:val="auto"/>
                <w:vertAlign w:val="superscript"/>
                <w:shd w:val="clear" w:color="auto" w:fill="CCEEFF"/>
              </w:rPr>
              <w:t>(1)</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323,985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287,911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36,074</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13%</w:t>
            </w:r>
          </w:p>
        </w:tc>
      </w:tr>
      <w:tr>
        <w:trPr>
          <w:trHeight w:val="243"/>
        </w:trPr>
        <w:tc>
          <w:tcPr>
            <w:tcW w:w="2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Average transient key rate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213.20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218.46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(5.26)</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(2%)</w:t>
            </w: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Resort occupancy</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5"/>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rPr>
              <w:t>91.7%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(2.6 pts)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5" w:lineRule="exact"/>
        <w:rPr>
          <w:sz w:val="20"/>
          <w:szCs w:val="20"/>
          <w:color w:val="auto"/>
        </w:rPr>
      </w:pPr>
    </w:p>
    <w:p>
      <w:pPr>
        <w:ind w:left="660" w:right="120" w:hanging="652"/>
        <w:spacing w:after="0" w:line="227" w:lineRule="auto"/>
        <w:tabs>
          <w:tab w:leader="none" w:pos="660" w:val="left"/>
        </w:tabs>
        <w:numPr>
          <w:ilvl w:val="0"/>
          <w:numId w:val="25"/>
        </w:numPr>
        <w:rPr>
          <w:rFonts w:ascii="Arial" w:cs="Arial" w:eastAsia="Arial" w:hAnsi="Arial"/>
          <w:sz w:val="24"/>
          <w:szCs w:val="24"/>
          <w:color w:val="auto"/>
          <w:vertAlign w:val="superscript"/>
        </w:rPr>
      </w:pPr>
      <w:r>
        <w:rPr>
          <w:rFonts w:ascii="Arial" w:cs="Arial" w:eastAsia="Arial" w:hAnsi="Arial"/>
          <w:sz w:val="17"/>
          <w:szCs w:val="17"/>
          <w:color w:val="auto"/>
        </w:rPr>
        <w:t>Transient keys rented exclude those obtained through the use of plus points, preview stays and those associated with our operating properties in San Diego, California and Surfers Paradise, Australia prior to their respective conversions to vacation ownership inventory.</w:t>
      </w:r>
    </w:p>
    <w:p>
      <w:pPr>
        <w:spacing w:after="0" w:line="94"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increase in rental revenues was due to a 13 percent increase in transient keys rented ($7.9 million) driven by a 20 percent increase in available keys, $1.1 million of higher plus points revenue (which is recognized when the points are redeemed or expire) and a $0.7 million increase in preview keys rented and other revenue, partially offset by a 2 percent lower average transient rate ($1.7 million) and $0.6 million of revenue in the 2016 third quarter at our operating property in San Diego, California prior to the conversion of the property to vacation ownership inventory.</w:t>
      </w:r>
    </w:p>
    <w:p>
      <w:pPr>
        <w:spacing w:after="0" w:line="63"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The decrease in rental margin reflected higher expenses incurred due to owners choosing alternative usage options and higher unsold maintenance fees. These higher expenses more than offset the higher rental revenues net of direct variable expenses (such as housekeeping) and the $1.1 million increase in plus points revenue.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0" w:type="dxa"/>
            <w:vAlign w:val="bottom"/>
            <w:gridSpan w:val="5"/>
          </w:tcPr>
          <w:p>
            <w:pPr>
              <w:ind w:left="980"/>
              <w:spacing w:after="0"/>
              <w:rPr>
                <w:sz w:val="20"/>
                <w:szCs w:val="20"/>
                <w:color w:val="auto"/>
              </w:rPr>
            </w:pPr>
            <w:r>
              <w:rPr>
                <w:rFonts w:ascii="Arial" w:cs="Arial" w:eastAsia="Arial" w:hAnsi="Arial"/>
                <w:sz w:val="16"/>
                <w:szCs w:val="16"/>
                <w:b w:val="1"/>
                <w:bCs w:val="1"/>
                <w:color w:val="auto"/>
              </w:rPr>
              <w:t>Year to Date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5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2017</w:t>
            </w:r>
          </w:p>
        </w:tc>
        <w:tc>
          <w:tcPr>
            <w:tcW w:w="16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(274 days)</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(252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Rental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250,621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229,133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21,488</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9%</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Unsold maintenance fees</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(57,085)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(48,811)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(8,274)</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(17%)</w:t>
            </w: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rental expenses</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(142,847)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(11,711)</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(8%)</w:t>
            </w: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Rental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38,978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37,475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1,503</w:t>
            </w:r>
          </w:p>
        </w:tc>
        <w:tc>
          <w:tcPr>
            <w:tcW w:w="136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2"/>
              </w:rPr>
              <w:t>4%</w:t>
            </w:r>
          </w:p>
        </w:tc>
      </w:tr>
      <w:tr>
        <w:trPr>
          <w:trHeight w:val="190"/>
        </w:trPr>
        <w:tc>
          <w:tcPr>
            <w:tcW w:w="50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shd w:val="clear" w:color="auto" w:fill="CCEEFF"/>
              </w:rPr>
              <w:t>Rental margin percentage</w:t>
            </w: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394"/>
              <w:spacing w:after="0" w:line="189" w:lineRule="exact"/>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234"/>
              <w:spacing w:after="0" w:line="189" w:lineRule="exact"/>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71"/>
              <w:spacing w:after="0" w:line="189" w:lineRule="exact"/>
              <w:rPr>
                <w:sz w:val="20"/>
                <w:szCs w:val="20"/>
                <w:color w:val="auto"/>
              </w:rPr>
            </w:pPr>
            <w:r>
              <w:rPr>
                <w:rFonts w:ascii="Arial" w:cs="Arial" w:eastAsia="Arial" w:hAnsi="Arial"/>
                <w:sz w:val="18"/>
                <w:szCs w:val="18"/>
                <w:color w:val="auto"/>
              </w:rPr>
              <w:t>(0.8 pts)</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68"/>
        </w:trPr>
        <w:tc>
          <w:tcPr>
            <w:tcW w:w="50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r>
      <w:tr>
        <w:trPr>
          <w:trHeight w:val="459"/>
        </w:trPr>
        <w:tc>
          <w:tcPr>
            <w:tcW w:w="5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jc w:val="right"/>
              <w:ind w:right="101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80" w:type="dxa"/>
            <w:vAlign w:val="bottom"/>
            <w:gridSpan w:val="4"/>
          </w:tcPr>
          <w:p>
            <w:pPr>
              <w:jc w:val="right"/>
              <w:ind w:right="1055"/>
              <w:spacing w:after="0"/>
              <w:rPr>
                <w:sz w:val="20"/>
                <w:szCs w:val="20"/>
                <w:color w:val="auto"/>
              </w:rPr>
            </w:pPr>
            <w:r>
              <w:rPr>
                <w:rFonts w:ascii="Arial" w:cs="Arial" w:eastAsia="Arial" w:hAnsi="Arial"/>
                <w:sz w:val="16"/>
                <w:szCs w:val="16"/>
                <w:b w:val="1"/>
                <w:bCs w:val="1"/>
                <w:color w:val="auto"/>
              </w:rPr>
              <w:t>Year to Date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September 30, 2017</w:t>
            </w:r>
          </w:p>
        </w:tc>
        <w:tc>
          <w:tcPr>
            <w:tcW w:w="160" w:type="dxa"/>
            <w:vAlign w:val="bottom"/>
          </w:tcPr>
          <w:p>
            <w:pPr>
              <w:spacing w:after="0"/>
              <w:rPr>
                <w:sz w:val="20"/>
                <w:szCs w:val="20"/>
                <w:color w:val="auto"/>
              </w:rPr>
            </w:pPr>
          </w:p>
        </w:tc>
        <w:tc>
          <w:tcPr>
            <w:tcW w:w="1540" w:type="dxa"/>
            <w:vAlign w:val="bottom"/>
          </w:tcPr>
          <w:p>
            <w:pPr>
              <w:jc w:val="right"/>
              <w:ind w:right="115"/>
              <w:spacing w:after="0"/>
              <w:rPr>
                <w:sz w:val="20"/>
                <w:szCs w:val="20"/>
                <w:color w:val="auto"/>
              </w:rPr>
            </w:pPr>
            <w:r>
              <w:rPr>
                <w:rFonts w:ascii="Arial" w:cs="Arial" w:eastAsia="Arial" w:hAnsi="Arial"/>
                <w:sz w:val="16"/>
                <w:szCs w:val="16"/>
                <w:b w:val="1"/>
                <w:bCs w:val="1"/>
                <w:color w:val="auto"/>
                <w:w w:val="93"/>
              </w:rPr>
              <w:t>September 9, 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97"/>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(274 days)</w:t>
            </w:r>
          </w:p>
        </w:tc>
        <w:tc>
          <w:tcPr>
            <w:tcW w:w="160" w:type="dxa"/>
            <w:vAlign w:val="bottom"/>
          </w:tcPr>
          <w:p>
            <w:pPr>
              <w:spacing w:after="0"/>
              <w:rPr>
                <w:sz w:val="24"/>
                <w:szCs w:val="24"/>
                <w:color w:val="auto"/>
              </w:rPr>
            </w:pPr>
          </w:p>
        </w:tc>
        <w:tc>
          <w:tcPr>
            <w:tcW w:w="1540" w:type="dxa"/>
            <w:vAlign w:val="bottom"/>
          </w:tcPr>
          <w:p>
            <w:pPr>
              <w:jc w:val="right"/>
              <w:ind w:right="455"/>
              <w:spacing w:after="0"/>
              <w:rPr>
                <w:sz w:val="20"/>
                <w:szCs w:val="20"/>
                <w:color w:val="auto"/>
              </w:rPr>
            </w:pPr>
            <w:r>
              <w:rPr>
                <w:rFonts w:ascii="Arial" w:cs="Arial" w:eastAsia="Arial" w:hAnsi="Arial"/>
                <w:sz w:val="14"/>
                <w:szCs w:val="14"/>
                <w:b w:val="1"/>
                <w:bCs w:val="1"/>
                <w:color w:val="auto"/>
              </w:rPr>
              <w:t>(252 days)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1240" w:type="dxa"/>
            <w:vAlign w:val="bottom"/>
          </w:tcPr>
          <w:p>
            <w:pPr>
              <w:ind w:left="26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0" w:type="dxa"/>
            <w:vAlign w:val="bottom"/>
          </w:tcPr>
          <w:p>
            <w:pPr>
              <w:spacing w:after="0"/>
              <w:rPr>
                <w:sz w:val="21"/>
                <w:szCs w:val="21"/>
                <w:color w:val="auto"/>
              </w:rPr>
            </w:pPr>
          </w:p>
        </w:tc>
        <w:tc>
          <w:tcPr>
            <w:tcW w:w="5020" w:type="dxa"/>
            <w:vAlign w:val="bottom"/>
            <w:tcBorders>
              <w:top w:val="single" w:sz="8" w:color="CCEEFF"/>
              <w:bottom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shd w:val="clear" w:color="auto" w:fill="CCEEFF"/>
              </w:rPr>
              <w:t>Transient keys rented</w:t>
            </w:r>
            <w:r>
              <w:rPr>
                <w:rFonts w:ascii="Arial" w:cs="Arial" w:eastAsia="Arial" w:hAnsi="Arial"/>
                <w:sz w:val="21"/>
                <w:szCs w:val="21"/>
                <w:color w:val="auto"/>
                <w:vertAlign w:val="superscript"/>
                <w:shd w:val="clear" w:color="auto" w:fill="CCEEFF"/>
              </w:rPr>
              <w:t>(1)</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984,198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864,945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119,253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rPr>
              <w:t>14%</w:t>
            </w:r>
          </w:p>
        </w:tc>
      </w:tr>
      <w:tr>
        <w:trPr>
          <w:trHeight w:val="243"/>
        </w:trPr>
        <w:tc>
          <w:tcPr>
            <w:tcW w:w="2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Average transient key rate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217.89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220.06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1240" w:type="dxa"/>
            <w:vAlign w:val="bottom"/>
          </w:tcPr>
          <w:p>
            <w:pPr>
              <w:jc w:val="right"/>
              <w:ind w:right="353"/>
              <w:spacing w:after="0"/>
              <w:rPr>
                <w:sz w:val="20"/>
                <w:szCs w:val="20"/>
                <w:color w:val="auto"/>
              </w:rPr>
            </w:pPr>
            <w:r>
              <w:rPr>
                <w:rFonts w:ascii="Arial" w:cs="Arial" w:eastAsia="Arial" w:hAnsi="Arial"/>
                <w:sz w:val="18"/>
                <w:szCs w:val="18"/>
                <w:color w:val="auto"/>
              </w:rPr>
              <w:t>(1%)</w:t>
            </w: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Resort occupancy</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89.3%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(0.6 pts)</w:t>
            </w:r>
          </w:p>
        </w:tc>
        <w:tc>
          <w:tcPr>
            <w:tcW w:w="124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020" w:type="dxa"/>
            <w:vAlign w:val="bottom"/>
          </w:tcPr>
          <w:p>
            <w:pPr>
              <w:jc w:val="right"/>
              <w:ind w:right="2690"/>
              <w:spacing w:after="0"/>
              <w:rPr>
                <w:sz w:val="20"/>
                <w:szCs w:val="20"/>
                <w:color w:val="auto"/>
              </w:rPr>
            </w:pPr>
            <w:r>
              <w:rPr>
                <w:rFonts w:ascii="Arial" w:cs="Arial" w:eastAsia="Arial" w:hAnsi="Arial"/>
                <w:sz w:val="18"/>
                <w:szCs w:val="18"/>
                <w:color w:val="auto"/>
                <w:w w:val="88"/>
              </w:rPr>
              <w:t>_________________________</w:t>
            </w: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25" w:lineRule="exact"/>
        <w:rPr>
          <w:sz w:val="20"/>
          <w:szCs w:val="20"/>
          <w:color w:val="auto"/>
        </w:rPr>
      </w:pPr>
    </w:p>
    <w:p>
      <w:pPr>
        <w:ind w:left="660" w:right="120" w:hanging="652"/>
        <w:spacing w:after="0" w:line="227" w:lineRule="auto"/>
        <w:tabs>
          <w:tab w:leader="none" w:pos="66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auto"/>
        </w:rPr>
        <w:t>Transient keys rented exclude those obtained through the use of plus points, preview stays and those associated with our operating properties in San Diego, California and Surfers Paradise, Australia prior to their respective conversions to vacation ownership inventory.</w:t>
      </w:r>
    </w:p>
    <w:p>
      <w:pPr>
        <w:spacing w:after="0" w:line="94"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increase in rental revenues was due to a 14 percent increase in transient keys rented ($26.2 million) driven by a 15 percent increase in available keys, a $4.3 million increase in preview keys rented and other revenue and $2.6 million of higher plus points revenue (which is recognized when the points are redeemed or expire), partially offset by $6.1 million of revenue in the 2016 first three quarters from the operating property in Surfers Paradise, Australia prior to the conversion of the property to vacation ownership inventory (a portion of which was disposed of in the second quarter of 2016), $3.4 million of revenue in the 2016 first three quarters at our operating property in San Diego, California prior to the conversion of the property to vacation ownership inventory and a 1 percent lower average transient rate ($2.1 million).</w:t>
      </w:r>
    </w:p>
    <w:p>
      <w:pPr>
        <w:spacing w:after="0" w:line="85"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The increase in rental margin reflected the $2.6 million increase in plus points revenue and higher rental revenues net of direct variable expenses (such as housekeeping), partially offset by higher expenses incurred due to owners choosing alternative usage options and higher unsold maintenance fees.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Third Quarter</w:t>
      </w:r>
    </w:p>
    <w:p>
      <w:pPr>
        <w:spacing w:after="0" w:line="11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Cost reimbursements increased $16.1 million, or 17 percent, over the 2016 third quarter, reflecting an increase of $9.5 million due to the change to an end-of-month quarterly reporting cycle in 2017, $5.3 million due to higher costs, $1.0 million due to additional managed unit weeks in the 2017 third quarter and a $0.3 million impact from foreign exchange rates in our Europe segment.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Three Quarters</w:t>
      </w:r>
    </w:p>
    <w:p>
      <w:pPr>
        <w:spacing w:after="0" w:line="11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Cost reimbursements increased $44.1 million, or 15 percent, over the 2016 first three quarters, reflecting an increase of $22.4 million due to the change to an end-of-month quarterly reporting cycle in 2017, $17.3 million due to higher costs and $4.7 million due to additional managed unit weeks in the 2017 first three quarters, partially offset by a $0.3 million negative impact from foreign exchange rates in our Europe segment.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Third Quarter</w:t>
      </w:r>
    </w:p>
    <w:p>
      <w:pPr>
        <w:spacing w:after="0" w:line="11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General and administrative expenses increased $4.5 million due to approximately $2.0 million from the change to an end-of-month quarterly reporting cycle in 2017 and $2.5 million due to higher personnel related and other expenses. The higher personnel related and other expenses included annual merit, bonus and inflationary cost increases.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Three Quarters</w:t>
      </w:r>
    </w:p>
    <w:p>
      <w:pPr>
        <w:spacing w:after="0" w:line="11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General and administrative expenses increased $10.9 million due to approximately $6.0 million from the change to an end-of-month quarterly reporting cycle in 2017 and $6.4 million due to higher personnel related and other expenses, partially offset by $1.5 million of lower litigation related costs. The higher personnel related and other expenses included annual merit, bonus and inflationary cost increases.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Fee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Third Quarter</w:t>
      </w:r>
    </w:p>
    <w:p>
      <w:pPr>
        <w:spacing w:after="0" w:line="11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Royalty fee expense increased $0.6 million in the 2017 third quarter (from $14.6 million to $15.2 million) due to an increase in the dollar volume of closings ($0.5 million), the change to an end-of-month quarterly reporting cycle in 2017 that resulted in eight additional days in the 2017 third quarter ($1.0 million) and a contractual increase late in 2016 in the fixed portion of the royalty fee owed to Marriott International ($0.5 million), partially offset by $1.4 million of lower costs due to an increase in sales of pre-owned inventory, which carry a lower royalty fee as compared to initial sales of our inventory (one percent versus two percent).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Three Quarters</w:t>
      </w:r>
    </w:p>
    <w:p>
      <w:pPr>
        <w:spacing w:after="0" w:line="11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Royalty fee expense increased $5.6 million in the 2017 first three quarters (from $42.0 million to $47.6 million) due to an increase in the dollar volume of closings ($3.0 million), the change to an end-of-month quarterly reporting cycle in 2017 that resulted in 22 additional days in the 2017 first three quarters ($2.9 million) and a contractual increase late in 2016 in the fixed portion of the royalty fee owed to Marriott International ($1.7 million), partially offset by $2.0 million of lower costs due to an increase in sales of pre-owned inventory, which carry a lower royalty fee as compared to initial sales of our inventory (one percent versus two percent).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Third Quarter</w:t>
      </w:r>
    </w:p>
    <w:p>
      <w:pPr>
        <w:spacing w:after="0" w:line="11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Interest expense increased $0.4 million due to $0.9 million of imputed interest on a non-interest bearing note payable associated with the acquisition of vacation ownership units located on the Big Island of Hawaii, $0.4 million of higher other expenses and $0.2 million of interest expense associated with the Convertible Notes that were issued during the 2017 third quarter, partially offset by $1.1 million of expense incurred in the 2016 third quarter associated with the mandatorily redeemable preferred stock of a consolidated subsidiary. Due to the redemption of the mandatorily redeemable preferred stock in 2016, we will not incur further interest expense associated with this liability in the future.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Three Quarters</w:t>
      </w:r>
    </w:p>
    <w:p>
      <w:pPr>
        <w:spacing w:after="0" w:line="117"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Interest expense decreased $1.2 million due to $3.4 million of expense incurred in the 2016 first three quarters associated with the mandatorily redeemable preferred stock of a consolidated subsidiary that we redeemed in 2016, partially offset by $1.4 million of imputed interest on a non-interest bearing note payable associated with the acquisition of vacation ownership units located on the Big Island of Hawaii, $0.6 million of higher other expenses and $0.2 million of interest expense associated with the Convertible Notes that were issued during the 2017 third quarter.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and Other Income, Net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Three Quarters</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the 2017 third quarter, we recorded $7.0 million of gains and other income, including $8.7 million in net insurance proceeds related to the settlement of business interruption insurance claims arising from Hurricane Matthew, partially offset by a charge of $1.7 million associated with the estimated property damage insurance deductibles and impairment of property and equipment at several of our resorts, primarily in Florida and the Caribbean, that were impacted by Hurricane Irma and Hurricane Maria.</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2017 second quarter, we recorded $0.2 million of miscellaneous losses and other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First Three Quarters</w:t>
      </w:r>
    </w:p>
    <w:p>
      <w:pPr>
        <w:spacing w:after="0" w:line="117"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In the 2016 third quarter, we recorded a $0.5 million favorable true-up of estimated costs related to the sale of the portion of the operating property in Surfers Paradise, Australia in the 2016 second quarter that we did not intend to convert to vacation ownership inventory.</w:t>
      </w:r>
    </w:p>
    <w:p>
      <w:pPr>
        <w:spacing w:after="0" w:line="3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the 2016 second quarter, we recorded a $10.5 million gain on the disposition of excess inventory at The Ritz-Carlton Club and Residences, San Francisco (the “RCC San Francisco”), the reversal of the remaining $1.7 million accrual associated with the disposition of a golf course and related assets in Kauai, Hawaii because we no longer expected to incur additional costs in connection with this sale and a $1.5 million loss on the sale of the portion of the operating property in Surfers Paradise, Australia that we did not intend to convert to vacation ownership inventory.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Three Quarters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2017 first three quarters, we incurred $0.6 million of acquisition costs.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First Three Quarters</w:t>
      </w:r>
    </w:p>
    <w:p>
      <w:pPr>
        <w:spacing w:after="0" w:line="11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During the 2016 first quarter, we incurred $2.3 million of acquisition costs associated with an operating property in the South Beach area of Miami Beach and the anticipated future acquisition of the operating property in New York that we currently manage, and $0.2 million of transaction related costs associated with the sale of the portion of the operating property located in Surfers Paradise, Australia that we did not intend to convert to vacation ownership inventory. See Footnote No. 5, “Acquisitions and Dispositions” and Footnote No. 8, “Contingencies and Commitments,” to our Financial Statements for further information related to these transactions.</w:t>
      </w:r>
    </w:p>
    <w:p>
      <w:pPr>
        <w:spacing w:after="0" w:line="80"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During the 2016 second quarter, we incurred $1.9 million of costs associated with the anticipated future acquisition of vacation ownership units located on the Big Island of Hawaii and the anticipated future acquisition of the operating property in New York that we currently manage.</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2016 third quarter, we incurred $0.1 million of acquisition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Third Quarter</w:t>
      </w:r>
    </w:p>
    <w:p>
      <w:pPr>
        <w:spacing w:after="0" w:line="11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provision for income taxes increased $8.4 million (from $14.0 million to $22.4 million) from the 2016 third quarter. The increase was primarily due to an increase in U.S. earnings.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Three Quarters</w:t>
      </w:r>
    </w:p>
    <w:p>
      <w:pPr>
        <w:spacing w:after="0" w:line="117"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Our provision for income taxes increased $7.4 million (from $54.7 million to $62.1 million) from the 2016 first three quarters. The increase was primarily due to increases in U.S. and foreign earnings, partially offset by the favorable impact of the adoption of ASU 2016-09. See Footnote No. 1, “Summary of Significant Accounting Policies,” to our Financial Statements for additional information on ASU 2016-09.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 and Adjusted EBITDA</w:t>
      </w:r>
    </w:p>
    <w:p>
      <w:pPr>
        <w:spacing w:after="0" w:line="12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EBITDA, a financial measure that is not prescribed by GAAP, is defined as earnings, or net income, before interest expense (excluding consumer financing interest expense), provision for income taxes, depreciation and amortization. For purposes of our EBITDA and Adjusted EBITDA calculations, we do not adjust for consumer financing interest expense because the associated debt is secured by vacation ownership notes receivable that have been sold to bankruptcy remote special purpose entities and is generally non-recourse to us. Further, we consider consumer financing interest expense to be an operating expense of our business. We consider EBITDA and Adjusted EBITDA to be indicators of operating performance, which we use to measure our ability to service debt, fund capital expenditures and expand our business. We also use EBITDA and Adjusted EBITDA, as do analysts, lenders, investors and others, because these measures exclude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Adjusted EBITDA reflects additional adjustments for certain items described below, and excludes non-cash share-based compensation expense to address considerable variability among companies in recording compensation expense because companies use share-based payment awards differently, both in the type and quantity of awards granted. We evaluate Adjusted EBITDA as an indicator of operating performance because it allows for period-over-period comparisons of our on-going core operations before the impact of the excluded items. Together, EBITDA and Adjusted EBITDA facilitate our comparison of results from our on-going core operations before the impact of these items with results from other vacation ownership companies.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income, which is the most directly comparable GAAP financial measure.</w:t>
      </w:r>
    </w:p>
    <w:p>
      <w:pPr>
        <w:spacing w:after="0" w:line="255" w:lineRule="exact"/>
        <w:rPr>
          <w:sz w:val="20"/>
          <w:szCs w:val="20"/>
          <w:color w:val="auto"/>
        </w:rPr>
      </w:pPr>
    </w:p>
    <w:tbl>
      <w:tblPr>
        <w:tblLayout w:type="fixed"/>
        <w:tblInd w:w="112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5"/>
          </w:tcPr>
          <w:p>
            <w:pPr>
              <w:ind w:left="700"/>
              <w:spacing w:after="0"/>
              <w:rPr>
                <w:sz w:val="20"/>
                <w:szCs w:val="20"/>
                <w:color w:val="auto"/>
              </w:rPr>
            </w:pPr>
            <w:r>
              <w:rPr>
                <w:rFonts w:ascii="Arial" w:cs="Arial" w:eastAsia="Arial" w:hAnsi="Arial"/>
                <w:sz w:val="16"/>
                <w:szCs w:val="16"/>
                <w:b w:val="1"/>
                <w:bCs w:val="1"/>
                <w:color w:val="auto"/>
              </w:rPr>
              <w:t>Quarter Ended</w:t>
            </w:r>
          </w:p>
        </w:tc>
        <w:tc>
          <w:tcPr>
            <w:tcW w:w="280" w:type="dxa"/>
            <w:vAlign w:val="bottom"/>
          </w:tcPr>
          <w:p>
            <w:pPr>
              <w:spacing w:after="0"/>
              <w:rPr>
                <w:sz w:val="18"/>
                <w:szCs w:val="18"/>
                <w:color w:val="auto"/>
              </w:rPr>
            </w:pPr>
          </w:p>
        </w:tc>
        <w:tc>
          <w:tcPr>
            <w:tcW w:w="2780" w:type="dxa"/>
            <w:vAlign w:val="bottom"/>
            <w:gridSpan w:val="4"/>
          </w:tcPr>
          <w:p>
            <w:pPr>
              <w:jc w:val="right"/>
              <w:ind w:right="752"/>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September 30, 2017</w:t>
            </w:r>
          </w:p>
        </w:tc>
        <w:tc>
          <w:tcPr>
            <w:tcW w:w="15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9"/>
              </w:rPr>
              <w:t>September 9, 2016</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September 30, 2017</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9, 2016</w:t>
            </w:r>
          </w:p>
        </w:tc>
      </w:tr>
      <w:tr>
        <w:trPr>
          <w:trHeight w:val="297"/>
        </w:trPr>
        <w:tc>
          <w:tcPr>
            <w:tcW w:w="40" w:type="dxa"/>
            <w:vAlign w:val="bottom"/>
          </w:tcPr>
          <w:p>
            <w:pPr>
              <w:spacing w:after="0"/>
              <w:rPr>
                <w:sz w:val="24"/>
                <w:szCs w:val="24"/>
                <w:color w:val="auto"/>
              </w:rPr>
            </w:pPr>
          </w:p>
        </w:tc>
        <w:tc>
          <w:tcPr>
            <w:tcW w:w="288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00" w:type="dxa"/>
            <w:vAlign w:val="bottom"/>
          </w:tcPr>
          <w:p>
            <w:pPr>
              <w:spacing w:after="0"/>
              <w:rPr>
                <w:sz w:val="24"/>
                <w:szCs w:val="2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(92 days)</w:t>
            </w:r>
          </w:p>
        </w:tc>
        <w:tc>
          <w:tcPr>
            <w:tcW w:w="280" w:type="dxa"/>
            <w:vAlign w:val="bottom"/>
          </w:tcPr>
          <w:p>
            <w:pPr>
              <w:spacing w:after="0"/>
              <w:rPr>
                <w:sz w:val="24"/>
                <w:szCs w:val="2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(84 days)</w:t>
            </w:r>
          </w:p>
        </w:tc>
        <w:tc>
          <w:tcPr>
            <w:tcW w:w="280" w:type="dxa"/>
            <w:vAlign w:val="bottom"/>
          </w:tcPr>
          <w:p>
            <w:pPr>
              <w:spacing w:after="0"/>
              <w:rPr>
                <w:sz w:val="24"/>
                <w:szCs w:val="2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(274 days)</w:t>
            </w:r>
          </w:p>
        </w:tc>
        <w:tc>
          <w:tcPr>
            <w:tcW w:w="260" w:type="dxa"/>
            <w:vAlign w:val="bottom"/>
          </w:tcPr>
          <w:p>
            <w:pPr>
              <w:spacing w:after="0"/>
              <w:rPr>
                <w:sz w:val="24"/>
                <w:szCs w:val="24"/>
                <w:color w:val="auto"/>
              </w:rPr>
            </w:pPr>
          </w:p>
        </w:tc>
        <w:tc>
          <w:tcPr>
            <w:tcW w:w="1180" w:type="dxa"/>
            <w:vAlign w:val="bottom"/>
          </w:tcPr>
          <w:p>
            <w:pPr>
              <w:jc w:val="right"/>
              <w:ind w:right="312"/>
              <w:spacing w:after="0"/>
              <w:rPr>
                <w:sz w:val="20"/>
                <w:szCs w:val="20"/>
                <w:color w:val="auto"/>
              </w:rPr>
            </w:pPr>
            <w:r>
              <w:rPr>
                <w:rFonts w:ascii="Arial" w:cs="Arial" w:eastAsia="Arial" w:hAnsi="Arial"/>
                <w:sz w:val="14"/>
                <w:szCs w:val="14"/>
                <w:b w:val="1"/>
                <w:bCs w:val="1"/>
                <w:color w:val="auto"/>
              </w:rPr>
              <w:t>(252 days)</w:t>
            </w: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Net income</w:t>
            </w:r>
          </w:p>
        </w:tc>
        <w:tc>
          <w:tcPr>
            <w:tcW w:w="30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26,807</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118,738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87,524</w:t>
            </w:r>
          </w:p>
        </w:tc>
      </w:tr>
      <w:tr>
        <w:trPr>
          <w:trHeight w:val="243"/>
        </w:trPr>
        <w:tc>
          <w:tcPr>
            <w:tcW w:w="40" w:type="dxa"/>
            <w:vAlign w:val="bottom"/>
          </w:tcPr>
          <w:p>
            <w:pPr>
              <w:spacing w:after="0"/>
              <w:rPr>
                <w:sz w:val="21"/>
                <w:szCs w:val="21"/>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2,262</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5,180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6,331</w:t>
            </w:r>
          </w:p>
        </w:tc>
      </w:tr>
      <w:tr>
        <w:trPr>
          <w:trHeight w:val="27"/>
        </w:trPr>
        <w:tc>
          <w:tcPr>
            <w:tcW w:w="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Tax provision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14,041</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62,139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54,656</w:t>
            </w:r>
          </w:p>
        </w:tc>
      </w:tr>
      <w:tr>
        <w:trPr>
          <w:trHeight w:val="243"/>
        </w:trPr>
        <w:tc>
          <w:tcPr>
            <w:tcW w:w="40" w:type="dxa"/>
            <w:vAlign w:val="bottom"/>
          </w:tcPr>
          <w:p>
            <w:pPr>
              <w:spacing w:after="0"/>
              <w:rPr>
                <w:sz w:val="21"/>
                <w:szCs w:val="21"/>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4,679</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15,802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14,856</w:t>
            </w:r>
          </w:p>
        </w:tc>
      </w:tr>
      <w:tr>
        <w:trPr>
          <w:trHeight w:val="27"/>
        </w:trPr>
        <w:tc>
          <w:tcPr>
            <w:tcW w:w="4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EBITDA</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47,789</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201,859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163,367</w:t>
            </w:r>
          </w:p>
        </w:tc>
      </w:tr>
      <w:tr>
        <w:trPr>
          <w:trHeight w:val="243"/>
        </w:trPr>
        <w:tc>
          <w:tcPr>
            <w:tcW w:w="40" w:type="dxa"/>
            <w:vAlign w:val="bottom"/>
          </w:tcPr>
          <w:p>
            <w:pPr>
              <w:spacing w:after="0"/>
              <w:rPr>
                <w:sz w:val="21"/>
                <w:szCs w:val="21"/>
                <w:color w:val="auto"/>
              </w:rPr>
            </w:pPr>
          </w:p>
        </w:tc>
        <w:tc>
          <w:tcPr>
            <w:tcW w:w="2880" w:type="dxa"/>
            <w:vAlign w:val="bottom"/>
          </w:tcPr>
          <w:p>
            <w:pPr>
              <w:spacing w:after="0"/>
              <w:rPr>
                <w:sz w:val="20"/>
                <w:szCs w:val="20"/>
                <w:color w:val="auto"/>
              </w:rPr>
            </w:pPr>
            <w:r>
              <w:rPr>
                <w:rFonts w:ascii="Arial" w:cs="Arial" w:eastAsia="Arial" w:hAnsi="Arial"/>
                <w:sz w:val="18"/>
                <w:szCs w:val="18"/>
                <w:color w:val="auto"/>
                <w:w w:val="95"/>
              </w:rPr>
              <w:t>Non-cash share-based compensation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3,139</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12,349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9,995</w:t>
            </w:r>
          </w:p>
        </w:tc>
      </w:tr>
      <w:tr>
        <w:trPr>
          <w:trHeight w:val="27"/>
        </w:trPr>
        <w:tc>
          <w:tcPr>
            <w:tcW w:w="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Certain items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(6,994)</w:t>
            </w:r>
          </w:p>
        </w:tc>
      </w:tr>
      <w:tr>
        <w:trPr>
          <w:trHeight w:val="237"/>
        </w:trPr>
        <w:tc>
          <w:tcPr>
            <w:tcW w:w="40" w:type="dxa"/>
            <w:vAlign w:val="bottom"/>
          </w:tcPr>
          <w:p>
            <w:pPr>
              <w:spacing w:after="0"/>
              <w:rPr>
                <w:sz w:val="20"/>
                <w:szCs w:val="20"/>
                <w:color w:val="auto"/>
              </w:rPr>
            </w:pPr>
          </w:p>
        </w:tc>
        <w:tc>
          <w:tcPr>
            <w:tcW w:w="288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3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73,952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50,612</w:t>
            </w:r>
          </w:p>
        </w:tc>
        <w:tc>
          <w:tcPr>
            <w:tcW w:w="160" w:type="dxa"/>
            <w:vAlign w:val="bottom"/>
          </w:tcPr>
          <w:p>
            <w:pPr>
              <w:spacing w:after="0"/>
              <w:rPr>
                <w:sz w:val="20"/>
                <w:szCs w:val="20"/>
                <w:color w:val="auto"/>
              </w:rPr>
            </w:pPr>
          </w:p>
        </w:tc>
        <w:tc>
          <w:tcPr>
            <w:tcW w:w="2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213,900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166,368</w:t>
            </w:r>
          </w:p>
        </w:tc>
      </w:tr>
      <w:tr>
        <w:trPr>
          <w:trHeight w:val="27"/>
        </w:trPr>
        <w:tc>
          <w:tcPr>
            <w:tcW w:w="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Third Quarter</w:t>
      </w:r>
    </w:p>
    <w:p>
      <w:pPr>
        <w:spacing w:after="0" w:line="11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certain items for the 2017 third quarter consisted of $8.7 million in net insurance proceeds related to the settlement of business interruption insurance claims arising from Hurricane Matthew and a charge of $1.7 million associated with the estimated property damage insurance deductibles at several of our properties, primarily in Florida and the Caribbean, that were impacted by Hurricane Irma and Hurricane Maria (both of which were recorded in gains and other income), $3.7 million of variable compensation expense related to the impact of the Hurricanes, $2.0 million of litigation settlement expenses and a $0.1 million favorable true up of previously recorded acquisition costs. These exclusions decreased EBITDA by $1.3 million.</w:t>
      </w:r>
    </w:p>
    <w:p>
      <w:pPr>
        <w:spacing w:after="0" w:line="50"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certain items for the 2016 third quarter consisted of $0.5 million of gains and other income and $0.1 million of acquisition costs. These exclusions decreased EBITDA by $0.3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Three Quarters</w:t>
      </w:r>
    </w:p>
    <w:p>
      <w:pPr>
        <w:spacing w:after="0" w:line="11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certain items for the 2017 first three quarters consisted of $8.7 million in net insurance proceeds related to the settlement of business interruption insurance claims arising from Hurricane Matthew and a charge of $1.7 million associated with the estimated property damage insurance deductibles at several of our properties, primarily in Florida and the Caribbean, that were impacted by Hurricane Irma and Hurricane Maria (both of which were recorded in gains and other income), $3.7 million of variable compensation expense related to the impact of the Hurricanes, $2.2 million of litigation settlement expenses, $0.6 million of acquisition costs and $0.2 million of losses and other expense. These exclusions decreased EBITDA by $0.3 million.</w:t>
      </w:r>
    </w:p>
    <w:p>
      <w:pPr>
        <w:spacing w:after="0" w:line="5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certain items for the 2016 first three quarters consisted of $11.1 million of gains and other income, $4.7 million of acquisition costs, a $0.3 million reversal of litigation settlement expense, and $0.3 million of profit from the operations of the portion of the property we acquired in Surfers Paradise, Australia in 2015 that we sold in the second quarter of 2016. These exclusions decreased EBITDA by $7.0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Our business is grouped into three reportable business segments: North America, Asia Pacific and Europe. See Footnote No. 13, “Business Segments,” to our Financial Statements for further information on our segments.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1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discussion presents an analysis of our results of operations for the North America segment for the 2017 third quarter compared to the 2016 third quarter, and the 2017 first three quarters compared to the 2016 first three quarters.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Quarter Ended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6"/>
          </w:tcPr>
          <w:p>
            <w:pPr>
              <w:jc w:val="right"/>
              <w:ind w:right="1103"/>
              <w:spacing w:after="0"/>
              <w:rPr>
                <w:sz w:val="20"/>
                <w:szCs w:val="20"/>
                <w:color w:val="auto"/>
              </w:rPr>
            </w:pPr>
            <w:r>
              <w:rPr>
                <w:rFonts w:ascii="Arial" w:cs="Arial" w:eastAsia="Arial" w:hAnsi="Arial"/>
                <w:sz w:val="16"/>
                <w:szCs w:val="16"/>
                <w:b w:val="1"/>
                <w:bCs w:val="1"/>
                <w:color w:val="auto"/>
                <w:w w:val="96"/>
              </w:rPr>
              <w:t>Year to Date Ended</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0"/>
              </w:rPr>
              <w:t>September 30, 2017</w:t>
            </w:r>
          </w:p>
        </w:tc>
        <w:tc>
          <w:tcPr>
            <w:tcW w:w="160" w:type="dxa"/>
            <w:vAlign w:val="bottom"/>
          </w:tcPr>
          <w:p>
            <w:pPr>
              <w:spacing w:after="0"/>
              <w:rPr>
                <w:sz w:val="20"/>
                <w:szCs w:val="20"/>
                <w:color w:val="auto"/>
              </w:rPr>
            </w:pPr>
          </w:p>
        </w:tc>
        <w:tc>
          <w:tcPr>
            <w:tcW w:w="176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1"/>
              </w:rPr>
              <w:t>September 9, 2016</w:t>
            </w:r>
          </w:p>
        </w:tc>
        <w:tc>
          <w:tcPr>
            <w:tcW w:w="180" w:type="dxa"/>
            <w:vAlign w:val="bottom"/>
          </w:tcPr>
          <w:p>
            <w:pPr>
              <w:spacing w:after="0"/>
              <w:rPr>
                <w:sz w:val="20"/>
                <w:szCs w:val="20"/>
                <w:color w:val="auto"/>
              </w:rPr>
            </w:pPr>
          </w:p>
        </w:tc>
        <w:tc>
          <w:tcPr>
            <w:tcW w:w="1760" w:type="dxa"/>
            <w:vAlign w:val="bottom"/>
            <w:gridSpan w:val="5"/>
          </w:tcPr>
          <w:p>
            <w:pPr>
              <w:ind w:left="60"/>
              <w:spacing w:after="0"/>
              <w:rPr>
                <w:sz w:val="20"/>
                <w:szCs w:val="20"/>
                <w:color w:val="auto"/>
              </w:rPr>
            </w:pPr>
            <w:r>
              <w:rPr>
                <w:rFonts w:ascii="Arial" w:cs="Arial" w:eastAsia="Arial" w:hAnsi="Arial"/>
                <w:sz w:val="16"/>
                <w:szCs w:val="16"/>
                <w:b w:val="1"/>
                <w:bCs w:val="1"/>
                <w:color w:val="auto"/>
              </w:rPr>
              <w:t>September 30, 2017</w:t>
            </w:r>
          </w:p>
        </w:tc>
        <w:tc>
          <w:tcPr>
            <w:tcW w:w="260" w:type="dxa"/>
            <w:vAlign w:val="bottom"/>
          </w:tcPr>
          <w:p>
            <w:pPr>
              <w:spacing w:after="0"/>
              <w:rPr>
                <w:sz w:val="20"/>
                <w:szCs w:val="20"/>
                <w:color w:val="auto"/>
              </w:rPr>
            </w:pPr>
          </w:p>
        </w:tc>
        <w:tc>
          <w:tcPr>
            <w:tcW w:w="1560" w:type="dxa"/>
            <w:vAlign w:val="bottom"/>
            <w:gridSpan w:val="3"/>
          </w:tcPr>
          <w:p>
            <w:pPr>
              <w:jc w:val="right"/>
              <w:ind w:right="203"/>
              <w:spacing w:after="0"/>
              <w:rPr>
                <w:sz w:val="20"/>
                <w:szCs w:val="20"/>
                <w:color w:val="auto"/>
              </w:rPr>
            </w:pPr>
            <w:r>
              <w:rPr>
                <w:rFonts w:ascii="Arial" w:cs="Arial" w:eastAsia="Arial" w:hAnsi="Arial"/>
                <w:sz w:val="16"/>
                <w:szCs w:val="16"/>
                <w:b w:val="1"/>
                <w:bCs w:val="1"/>
                <w:color w:val="auto"/>
                <w:w w:val="89"/>
              </w:rPr>
              <w:t>September 9, 2016</w:t>
            </w:r>
          </w:p>
        </w:tc>
        <w:tc>
          <w:tcPr>
            <w:tcW w:w="0" w:type="dxa"/>
            <w:vAlign w:val="bottom"/>
          </w:tcPr>
          <w:p>
            <w:pPr>
              <w:spacing w:after="0"/>
              <w:rPr>
                <w:sz w:val="1"/>
                <w:szCs w:val="1"/>
                <w:color w:val="auto"/>
              </w:rPr>
            </w:pPr>
          </w:p>
        </w:tc>
      </w:tr>
      <w:tr>
        <w:trPr>
          <w:trHeight w:val="297"/>
        </w:trPr>
        <w:tc>
          <w:tcPr>
            <w:tcW w:w="3780" w:type="dxa"/>
            <w:vAlign w:val="bottom"/>
            <w:gridSpan w:val="4"/>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4"/>
                <w:szCs w:val="24"/>
                <w:color w:val="auto"/>
              </w:rPr>
            </w:pPr>
          </w:p>
        </w:tc>
        <w:tc>
          <w:tcPr>
            <w:tcW w:w="17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(92 days)</w:t>
            </w:r>
          </w:p>
        </w:tc>
        <w:tc>
          <w:tcPr>
            <w:tcW w:w="160" w:type="dxa"/>
            <w:vAlign w:val="bottom"/>
          </w:tcPr>
          <w:p>
            <w:pPr>
              <w:spacing w:after="0"/>
              <w:rPr>
                <w:sz w:val="24"/>
                <w:szCs w:val="24"/>
                <w:color w:val="auto"/>
              </w:rPr>
            </w:pPr>
          </w:p>
        </w:tc>
        <w:tc>
          <w:tcPr>
            <w:tcW w:w="17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(84 days)</w:t>
            </w:r>
          </w:p>
        </w:tc>
        <w:tc>
          <w:tcPr>
            <w:tcW w:w="180" w:type="dxa"/>
            <w:vAlign w:val="bottom"/>
          </w:tcPr>
          <w:p>
            <w:pPr>
              <w:spacing w:after="0"/>
              <w:rPr>
                <w:sz w:val="24"/>
                <w:szCs w:val="24"/>
                <w:color w:val="auto"/>
              </w:rPr>
            </w:pPr>
          </w:p>
        </w:tc>
        <w:tc>
          <w:tcPr>
            <w:tcW w:w="1760" w:type="dxa"/>
            <w:vAlign w:val="bottom"/>
            <w:gridSpan w:val="5"/>
          </w:tcPr>
          <w:p>
            <w:pPr>
              <w:ind w:left="420"/>
              <w:spacing w:after="0"/>
              <w:rPr>
                <w:sz w:val="20"/>
                <w:szCs w:val="20"/>
                <w:color w:val="auto"/>
              </w:rPr>
            </w:pPr>
            <w:r>
              <w:rPr>
                <w:rFonts w:ascii="Arial" w:cs="Arial" w:eastAsia="Arial" w:hAnsi="Arial"/>
                <w:sz w:val="14"/>
                <w:szCs w:val="14"/>
                <w:b w:val="1"/>
                <w:bCs w:val="1"/>
                <w:color w:val="auto"/>
              </w:rPr>
              <w:t>(274 days)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ind w:right="523"/>
              <w:spacing w:after="0"/>
              <w:rPr>
                <w:sz w:val="20"/>
                <w:szCs w:val="20"/>
                <w:color w:val="auto"/>
              </w:rPr>
            </w:pPr>
            <w:r>
              <w:rPr>
                <w:rFonts w:ascii="Arial" w:cs="Arial" w:eastAsia="Arial" w:hAnsi="Arial"/>
                <w:sz w:val="14"/>
                <w:szCs w:val="14"/>
                <w:b w:val="1"/>
                <w:bCs w:val="1"/>
                <w:color w:val="auto"/>
              </w:rPr>
              <w:t>(252 days)</w:t>
            </w: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40" w:type="dxa"/>
            <w:vAlign w:val="bottom"/>
            <w:gridSpan w:val="3"/>
          </w:tcPr>
          <w:p>
            <w:pPr>
              <w:ind w:left="340"/>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22"/>
              <w:spacing w:after="0"/>
              <w:rPr>
                <w:sz w:val="20"/>
                <w:szCs w:val="20"/>
                <w:color w:val="auto"/>
              </w:rPr>
            </w:pPr>
            <w:r>
              <w:rPr>
                <w:rFonts w:ascii="Arial" w:cs="Arial" w:eastAsia="Arial" w:hAnsi="Arial"/>
                <w:sz w:val="18"/>
                <w:szCs w:val="18"/>
                <w:color w:val="auto"/>
              </w:rPr>
              <w:t>163,454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116,184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21"/>
                <w:szCs w:val="21"/>
                <w:color w:val="auto"/>
              </w:rPr>
            </w:pPr>
          </w:p>
        </w:tc>
        <w:tc>
          <w:tcPr>
            <w:tcW w:w="900" w:type="dxa"/>
            <w:vAlign w:val="bottom"/>
            <w:gridSpan w:val="3"/>
          </w:tcPr>
          <w:p>
            <w:pPr>
              <w:jc w:val="right"/>
              <w:ind w:right="12"/>
              <w:spacing w:after="0"/>
              <w:rPr>
                <w:sz w:val="20"/>
                <w:szCs w:val="20"/>
                <w:color w:val="auto"/>
              </w:rPr>
            </w:pPr>
            <w:r>
              <w:rPr>
                <w:rFonts w:ascii="Arial" w:cs="Arial" w:eastAsia="Arial" w:hAnsi="Arial"/>
                <w:sz w:val="18"/>
                <w:szCs w:val="18"/>
                <w:color w:val="auto"/>
              </w:rPr>
              <w:t>495,958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gridSpan w:val="3"/>
          </w:tcPr>
          <w:p>
            <w:pPr>
              <w:jc w:val="right"/>
              <w:ind w:right="23"/>
              <w:spacing w:after="0"/>
              <w:rPr>
                <w:sz w:val="20"/>
                <w:szCs w:val="20"/>
                <w:color w:val="auto"/>
              </w:rPr>
            </w:pPr>
            <w:r>
              <w:rPr>
                <w:rFonts w:ascii="Arial" w:cs="Arial" w:eastAsia="Arial" w:hAnsi="Arial"/>
                <w:sz w:val="18"/>
                <w:szCs w:val="18"/>
                <w:color w:val="auto"/>
              </w:rPr>
              <w:t>373,341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Resort management and other services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68,236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206,830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8"/>
                <w:szCs w:val="18"/>
                <w:color w:val="auto"/>
              </w:rPr>
              <w:t>182,665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40" w:type="dxa"/>
            <w:vAlign w:val="bottom"/>
            <w:gridSpan w:val="3"/>
          </w:tcPr>
          <w:p>
            <w:pPr>
              <w:ind w:left="340"/>
              <w:spacing w:after="0"/>
              <w:rPr>
                <w:sz w:val="20"/>
                <w:szCs w:val="20"/>
                <w:color w:val="auto"/>
              </w:rPr>
            </w:pPr>
            <w:r>
              <w:rPr>
                <w:rFonts w:ascii="Arial" w:cs="Arial" w:eastAsia="Arial" w:hAnsi="Arial"/>
                <w:sz w:val="18"/>
                <w:szCs w:val="18"/>
                <w:color w:val="auto"/>
              </w:rPr>
              <w:t>Financing</w:t>
            </w:r>
          </w:p>
        </w:tc>
        <w:tc>
          <w:tcPr>
            <w:tcW w:w="180" w:type="dxa"/>
            <w:vAlign w:val="bottom"/>
          </w:tcPr>
          <w:p>
            <w:pPr>
              <w:spacing w:after="0"/>
              <w:rPr>
                <w:sz w:val="21"/>
                <w:szCs w:val="21"/>
                <w:color w:val="auto"/>
              </w:rPr>
            </w:pPr>
          </w:p>
        </w:tc>
        <w:tc>
          <w:tcPr>
            <w:tcW w:w="1660" w:type="dxa"/>
            <w:vAlign w:val="bottom"/>
            <w:gridSpan w:val="2"/>
          </w:tcPr>
          <w:p>
            <w:pPr>
              <w:jc w:val="right"/>
              <w:ind w:right="22"/>
              <w:spacing w:after="0"/>
              <w:rPr>
                <w:sz w:val="20"/>
                <w:szCs w:val="20"/>
                <w:color w:val="auto"/>
              </w:rPr>
            </w:pPr>
            <w:r>
              <w:rPr>
                <w:rFonts w:ascii="Arial" w:cs="Arial" w:eastAsia="Arial" w:hAnsi="Arial"/>
                <w:sz w:val="18"/>
                <w:szCs w:val="18"/>
                <w:color w:val="auto"/>
              </w:rPr>
              <w:t>32,854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27,438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93,812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3"/>
          </w:tcPr>
          <w:p>
            <w:pPr>
              <w:jc w:val="right"/>
              <w:ind w:right="23"/>
              <w:spacing w:after="0"/>
              <w:rPr>
                <w:sz w:val="20"/>
                <w:szCs w:val="20"/>
                <w:color w:val="auto"/>
              </w:rPr>
            </w:pPr>
            <w:r>
              <w:rPr>
                <w:rFonts w:ascii="Arial" w:cs="Arial" w:eastAsia="Arial" w:hAnsi="Arial"/>
                <w:sz w:val="18"/>
                <w:szCs w:val="18"/>
                <w:color w:val="auto"/>
              </w:rPr>
              <w:t>81,699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Rental</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69,458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63,387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224,588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8"/>
                <w:szCs w:val="18"/>
                <w:color w:val="auto"/>
              </w:rPr>
              <w:t>201,524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40" w:type="dxa"/>
            <w:vAlign w:val="bottom"/>
            <w:gridSpan w:val="3"/>
          </w:tcPr>
          <w:p>
            <w:pPr>
              <w:ind w:left="340"/>
              <w:spacing w:after="0"/>
              <w:rPr>
                <w:sz w:val="20"/>
                <w:szCs w:val="20"/>
                <w:color w:val="auto"/>
              </w:rPr>
            </w:pPr>
            <w:r>
              <w:rPr>
                <w:rFonts w:ascii="Arial" w:cs="Arial" w:eastAsia="Arial" w:hAnsi="Arial"/>
                <w:sz w:val="18"/>
                <w:szCs w:val="18"/>
                <w:color w:val="auto"/>
              </w:rPr>
              <w:t>Cost reimbursements</w:t>
            </w:r>
          </w:p>
        </w:tc>
        <w:tc>
          <w:tcPr>
            <w:tcW w:w="180" w:type="dxa"/>
            <w:vAlign w:val="bottom"/>
          </w:tcPr>
          <w:p>
            <w:pPr>
              <w:spacing w:after="0"/>
              <w:rPr>
                <w:sz w:val="21"/>
                <w:szCs w:val="21"/>
                <w:color w:val="auto"/>
              </w:rPr>
            </w:pPr>
          </w:p>
        </w:tc>
        <w:tc>
          <w:tcPr>
            <w:tcW w:w="1660" w:type="dxa"/>
            <w:vAlign w:val="bottom"/>
            <w:gridSpan w:val="2"/>
          </w:tcPr>
          <w:p>
            <w:pPr>
              <w:jc w:val="right"/>
              <w:ind w:right="22"/>
              <w:spacing w:after="0"/>
              <w:rPr>
                <w:sz w:val="20"/>
                <w:szCs w:val="20"/>
                <w:color w:val="auto"/>
              </w:rPr>
            </w:pPr>
            <w:r>
              <w:rPr>
                <w:rFonts w:ascii="Arial" w:cs="Arial" w:eastAsia="Arial" w:hAnsi="Arial"/>
                <w:sz w:val="18"/>
                <w:szCs w:val="18"/>
                <w:color w:val="auto"/>
              </w:rPr>
              <w:t>103,799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88,834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gridSpan w:val="3"/>
          </w:tcPr>
          <w:p>
            <w:pPr>
              <w:jc w:val="right"/>
              <w:ind w:right="12"/>
              <w:spacing w:after="0"/>
              <w:rPr>
                <w:sz w:val="20"/>
                <w:szCs w:val="20"/>
                <w:color w:val="auto"/>
              </w:rPr>
            </w:pPr>
            <w:r>
              <w:rPr>
                <w:rFonts w:ascii="Arial" w:cs="Arial" w:eastAsia="Arial" w:hAnsi="Arial"/>
                <w:sz w:val="18"/>
                <w:szCs w:val="18"/>
                <w:color w:val="auto"/>
              </w:rPr>
              <w:t>320,242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3"/>
          </w:tcPr>
          <w:p>
            <w:pPr>
              <w:jc w:val="right"/>
              <w:ind w:right="23"/>
              <w:spacing w:after="0"/>
              <w:rPr>
                <w:sz w:val="20"/>
                <w:szCs w:val="20"/>
                <w:color w:val="auto"/>
              </w:rPr>
            </w:pPr>
            <w:r>
              <w:rPr>
                <w:rFonts w:ascii="Arial" w:cs="Arial" w:eastAsia="Arial" w:hAnsi="Arial"/>
                <w:sz w:val="18"/>
                <w:szCs w:val="18"/>
                <w:color w:val="auto"/>
              </w:rPr>
              <w:t>278,190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7"/>
                <w:shd w:val="clear" w:color="auto" w:fill="CCEEFF"/>
              </w:rPr>
              <w:t>TOTAL REVENUES</w:t>
            </w:r>
          </w:p>
        </w:tc>
        <w:tc>
          <w:tcPr>
            <w:tcW w:w="16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437,801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358,799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12"/>
              <w:spacing w:after="0"/>
              <w:rPr>
                <w:sz w:val="20"/>
                <w:szCs w:val="20"/>
                <w:color w:val="auto"/>
              </w:rPr>
            </w:pPr>
            <w:r>
              <w:rPr>
                <w:rFonts w:ascii="Arial" w:cs="Arial" w:eastAsia="Arial" w:hAnsi="Arial"/>
                <w:sz w:val="18"/>
                <w:szCs w:val="18"/>
                <w:color w:val="auto"/>
                <w:w w:val="97"/>
              </w:rPr>
              <w:t>1,341,430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8"/>
                <w:szCs w:val="18"/>
                <w:color w:val="auto"/>
              </w:rPr>
              <w:t>1,117,419</w:t>
            </w:r>
          </w:p>
        </w:tc>
        <w:tc>
          <w:tcPr>
            <w:tcW w:w="0" w:type="dxa"/>
            <w:vAlign w:val="bottom"/>
          </w:tcPr>
          <w:p>
            <w:pPr>
              <w:spacing w:after="0"/>
              <w:rPr>
                <w:sz w:val="1"/>
                <w:szCs w:val="1"/>
                <w:color w:val="auto"/>
              </w:rPr>
            </w:pPr>
          </w:p>
        </w:tc>
      </w:tr>
      <w:tr>
        <w:trPr>
          <w:trHeight w:val="223"/>
        </w:trPr>
        <w:tc>
          <w:tcPr>
            <w:tcW w:w="3780" w:type="dxa"/>
            <w:vAlign w:val="bottom"/>
            <w:gridSpan w:val="4"/>
          </w:tcPr>
          <w:p>
            <w:pPr>
              <w:ind w:left="40"/>
              <w:spacing w:after="0"/>
              <w:rPr>
                <w:sz w:val="20"/>
                <w:szCs w:val="20"/>
                <w:color w:val="auto"/>
              </w:rPr>
            </w:pPr>
            <w:r>
              <w:rPr>
                <w:rFonts w:ascii="Arial" w:cs="Arial" w:eastAsia="Arial" w:hAnsi="Arial"/>
                <w:sz w:val="18"/>
                <w:szCs w:val="18"/>
                <w:b w:val="1"/>
                <w:bCs w:val="1"/>
                <w:color w:val="auto"/>
              </w:rPr>
              <w:t>EXPENSES</w:t>
            </w: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37,404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116,715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8"/>
                <w:szCs w:val="18"/>
                <w:color w:val="auto"/>
              </w:rPr>
              <w:t>89,876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40" w:type="dxa"/>
            <w:vAlign w:val="bottom"/>
            <w:gridSpan w:val="3"/>
          </w:tcPr>
          <w:p>
            <w:pPr>
              <w:ind w:left="340"/>
              <w:spacing w:after="0"/>
              <w:rPr>
                <w:sz w:val="20"/>
                <w:szCs w:val="20"/>
                <w:color w:val="auto"/>
              </w:rPr>
            </w:pPr>
            <w:r>
              <w:rPr>
                <w:rFonts w:ascii="Arial" w:cs="Arial" w:eastAsia="Arial" w:hAnsi="Arial"/>
                <w:sz w:val="18"/>
                <w:szCs w:val="18"/>
                <w:color w:val="auto"/>
              </w:rPr>
              <w:t>Marketing and sales</w:t>
            </w:r>
          </w:p>
        </w:tc>
        <w:tc>
          <w:tcPr>
            <w:tcW w:w="180" w:type="dxa"/>
            <w:vAlign w:val="bottom"/>
          </w:tcPr>
          <w:p>
            <w:pPr>
              <w:spacing w:after="0"/>
              <w:rPr>
                <w:sz w:val="21"/>
                <w:szCs w:val="21"/>
                <w:color w:val="auto"/>
              </w:rPr>
            </w:pPr>
          </w:p>
        </w:tc>
        <w:tc>
          <w:tcPr>
            <w:tcW w:w="1660" w:type="dxa"/>
            <w:vAlign w:val="bottom"/>
            <w:gridSpan w:val="2"/>
          </w:tcPr>
          <w:p>
            <w:pPr>
              <w:jc w:val="right"/>
              <w:ind w:right="22"/>
              <w:spacing w:after="0"/>
              <w:rPr>
                <w:sz w:val="20"/>
                <w:szCs w:val="20"/>
                <w:color w:val="auto"/>
              </w:rPr>
            </w:pPr>
            <w:r>
              <w:rPr>
                <w:rFonts w:ascii="Arial" w:cs="Arial" w:eastAsia="Arial" w:hAnsi="Arial"/>
                <w:sz w:val="18"/>
                <w:szCs w:val="18"/>
                <w:color w:val="auto"/>
              </w:rPr>
              <w:t>87,308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67,662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gridSpan w:val="3"/>
          </w:tcPr>
          <w:p>
            <w:pPr>
              <w:jc w:val="right"/>
              <w:ind w:right="12"/>
              <w:spacing w:after="0"/>
              <w:rPr>
                <w:sz w:val="20"/>
                <w:szCs w:val="20"/>
                <w:color w:val="auto"/>
              </w:rPr>
            </w:pPr>
            <w:r>
              <w:rPr>
                <w:rFonts w:ascii="Arial" w:cs="Arial" w:eastAsia="Arial" w:hAnsi="Arial"/>
                <w:sz w:val="18"/>
                <w:szCs w:val="18"/>
                <w:color w:val="auto"/>
              </w:rPr>
              <w:t>266,962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3"/>
          </w:tcPr>
          <w:p>
            <w:pPr>
              <w:jc w:val="right"/>
              <w:ind w:right="23"/>
              <w:spacing w:after="0"/>
              <w:rPr>
                <w:sz w:val="20"/>
                <w:szCs w:val="20"/>
                <w:color w:val="auto"/>
              </w:rPr>
            </w:pPr>
            <w:r>
              <w:rPr>
                <w:rFonts w:ascii="Arial" w:cs="Arial" w:eastAsia="Arial" w:hAnsi="Arial"/>
                <w:sz w:val="18"/>
                <w:szCs w:val="18"/>
                <w:color w:val="auto"/>
              </w:rPr>
              <w:t>202,888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Resort management and other services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37,453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6"/>
              </w:rPr>
              <w:t>111,664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8"/>
                <w:szCs w:val="18"/>
                <w:color w:val="auto"/>
              </w:rPr>
              <w:t>101,322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40" w:type="dxa"/>
            <w:vAlign w:val="bottom"/>
            <w:gridSpan w:val="3"/>
          </w:tcPr>
          <w:p>
            <w:pPr>
              <w:ind w:left="340"/>
              <w:spacing w:after="0"/>
              <w:rPr>
                <w:sz w:val="20"/>
                <w:szCs w:val="20"/>
                <w:color w:val="auto"/>
              </w:rPr>
            </w:pPr>
            <w:r>
              <w:rPr>
                <w:rFonts w:ascii="Arial" w:cs="Arial" w:eastAsia="Arial" w:hAnsi="Arial"/>
                <w:sz w:val="18"/>
                <w:szCs w:val="18"/>
                <w:color w:val="auto"/>
              </w:rPr>
              <w:t>Rental</w:t>
            </w:r>
          </w:p>
        </w:tc>
        <w:tc>
          <w:tcPr>
            <w:tcW w:w="180" w:type="dxa"/>
            <w:vAlign w:val="bottom"/>
          </w:tcPr>
          <w:p>
            <w:pPr>
              <w:spacing w:after="0"/>
              <w:rPr>
                <w:sz w:val="21"/>
                <w:szCs w:val="21"/>
                <w:color w:val="auto"/>
              </w:rPr>
            </w:pPr>
          </w:p>
        </w:tc>
        <w:tc>
          <w:tcPr>
            <w:tcW w:w="1660" w:type="dxa"/>
            <w:vAlign w:val="bottom"/>
            <w:gridSpan w:val="2"/>
          </w:tcPr>
          <w:p>
            <w:pPr>
              <w:jc w:val="right"/>
              <w:ind w:right="22"/>
              <w:spacing w:after="0"/>
              <w:rPr>
                <w:sz w:val="20"/>
                <w:szCs w:val="20"/>
                <w:color w:val="auto"/>
              </w:rPr>
            </w:pPr>
            <w:r>
              <w:rPr>
                <w:rFonts w:ascii="Arial" w:cs="Arial" w:eastAsia="Arial" w:hAnsi="Arial"/>
                <w:sz w:val="18"/>
                <w:szCs w:val="18"/>
                <w:color w:val="auto"/>
              </w:rPr>
              <w:t>62,236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53,131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gridSpan w:val="3"/>
          </w:tcPr>
          <w:p>
            <w:pPr>
              <w:jc w:val="right"/>
              <w:ind w:right="12"/>
              <w:spacing w:after="0"/>
              <w:rPr>
                <w:sz w:val="20"/>
                <w:szCs w:val="20"/>
                <w:color w:val="auto"/>
              </w:rPr>
            </w:pPr>
            <w:r>
              <w:rPr>
                <w:rFonts w:ascii="Arial" w:cs="Arial" w:eastAsia="Arial" w:hAnsi="Arial"/>
                <w:sz w:val="18"/>
                <w:szCs w:val="18"/>
                <w:color w:val="auto"/>
              </w:rPr>
              <w:t>187,141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3"/>
          </w:tcPr>
          <w:p>
            <w:pPr>
              <w:jc w:val="right"/>
              <w:ind w:right="23"/>
              <w:spacing w:after="0"/>
              <w:rPr>
                <w:sz w:val="20"/>
                <w:szCs w:val="20"/>
                <w:color w:val="auto"/>
              </w:rPr>
            </w:pPr>
            <w:r>
              <w:rPr>
                <w:rFonts w:ascii="Arial" w:cs="Arial" w:eastAsia="Arial" w:hAnsi="Arial"/>
                <w:sz w:val="18"/>
                <w:szCs w:val="18"/>
                <w:color w:val="auto"/>
              </w:rPr>
              <w:t>164,680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Litigation settlement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2,033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40" w:type="dxa"/>
            <w:vAlign w:val="bottom"/>
            <w:gridSpan w:val="3"/>
          </w:tcPr>
          <w:p>
            <w:pPr>
              <w:ind w:left="340"/>
              <w:spacing w:after="0"/>
              <w:rPr>
                <w:sz w:val="20"/>
                <w:szCs w:val="20"/>
                <w:color w:val="auto"/>
              </w:rPr>
            </w:pPr>
            <w:r>
              <w:rPr>
                <w:rFonts w:ascii="Arial" w:cs="Arial" w:eastAsia="Arial" w:hAnsi="Arial"/>
                <w:sz w:val="18"/>
                <w:szCs w:val="18"/>
                <w:color w:val="auto"/>
              </w:rPr>
              <w:t>Royalty fee</w:t>
            </w:r>
          </w:p>
        </w:tc>
        <w:tc>
          <w:tcPr>
            <w:tcW w:w="180" w:type="dxa"/>
            <w:vAlign w:val="bottom"/>
          </w:tcPr>
          <w:p>
            <w:pPr>
              <w:spacing w:after="0"/>
              <w:rPr>
                <w:sz w:val="21"/>
                <w:szCs w:val="21"/>
                <w:color w:val="auto"/>
              </w:rPr>
            </w:pPr>
          </w:p>
        </w:tc>
        <w:tc>
          <w:tcPr>
            <w:tcW w:w="1660" w:type="dxa"/>
            <w:vAlign w:val="bottom"/>
            <w:gridSpan w:val="2"/>
          </w:tcPr>
          <w:p>
            <w:pPr>
              <w:jc w:val="right"/>
              <w:ind w:right="22"/>
              <w:spacing w:after="0"/>
              <w:rPr>
                <w:sz w:val="20"/>
                <w:szCs w:val="20"/>
                <w:color w:val="auto"/>
              </w:rPr>
            </w:pPr>
            <w:r>
              <w:rPr>
                <w:rFonts w:ascii="Arial" w:cs="Arial" w:eastAsia="Arial" w:hAnsi="Arial"/>
                <w:sz w:val="18"/>
                <w:szCs w:val="18"/>
                <w:color w:val="auto"/>
              </w:rPr>
              <w:t>1,956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7,684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3"/>
          </w:tcPr>
          <w:p>
            <w:pPr>
              <w:jc w:val="right"/>
              <w:ind w:right="23"/>
              <w:spacing w:after="0"/>
              <w:rPr>
                <w:sz w:val="20"/>
                <w:szCs w:val="20"/>
                <w:color w:val="auto"/>
              </w:rPr>
            </w:pPr>
            <w:r>
              <w:rPr>
                <w:rFonts w:ascii="Arial" w:cs="Arial" w:eastAsia="Arial" w:hAnsi="Arial"/>
                <w:sz w:val="18"/>
                <w:szCs w:val="18"/>
                <w:color w:val="auto"/>
              </w:rPr>
              <w:t>6,753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7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Cost reimbursements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103,799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88,834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320,242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8"/>
                <w:szCs w:val="18"/>
                <w:color w:val="auto"/>
              </w:rPr>
              <w:t>278,190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40" w:type="dxa"/>
            <w:vAlign w:val="bottom"/>
            <w:gridSpan w:val="3"/>
          </w:tcPr>
          <w:p>
            <w:pPr>
              <w:ind w:left="460"/>
              <w:spacing w:after="0"/>
              <w:rPr>
                <w:sz w:val="20"/>
                <w:szCs w:val="20"/>
                <w:color w:val="auto"/>
              </w:rPr>
            </w:pPr>
            <w:r>
              <w:rPr>
                <w:rFonts w:ascii="Arial" w:cs="Arial" w:eastAsia="Arial" w:hAnsi="Arial"/>
                <w:sz w:val="18"/>
                <w:szCs w:val="18"/>
                <w:b w:val="1"/>
                <w:bCs w:val="1"/>
                <w:color w:val="auto"/>
              </w:rPr>
              <w:t>TOTAL EXPENSES</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gridSpan w:val="2"/>
          </w:tcPr>
          <w:p>
            <w:pPr>
              <w:jc w:val="right"/>
              <w:ind w:right="22"/>
              <w:spacing w:after="0"/>
              <w:rPr>
                <w:sz w:val="20"/>
                <w:szCs w:val="20"/>
                <w:color w:val="auto"/>
              </w:rPr>
            </w:pPr>
            <w:r>
              <w:rPr>
                <w:rFonts w:ascii="Arial" w:cs="Arial" w:eastAsia="Arial" w:hAnsi="Arial"/>
                <w:sz w:val="18"/>
                <w:szCs w:val="18"/>
                <w:color w:val="auto"/>
              </w:rPr>
              <w:t>332,189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276,423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right"/>
              <w:ind w:right="12"/>
              <w:spacing w:after="0"/>
              <w:rPr>
                <w:sz w:val="20"/>
                <w:szCs w:val="20"/>
                <w:color w:val="auto"/>
              </w:rPr>
            </w:pPr>
            <w:r>
              <w:rPr>
                <w:rFonts w:ascii="Arial" w:cs="Arial" w:eastAsia="Arial" w:hAnsi="Arial"/>
                <w:sz w:val="18"/>
                <w:szCs w:val="18"/>
                <w:color w:val="auto"/>
                <w:w w:val="97"/>
              </w:rPr>
              <w:t>1,012,441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3"/>
          </w:tcPr>
          <w:p>
            <w:pPr>
              <w:jc w:val="right"/>
              <w:ind w:right="23"/>
              <w:spacing w:after="0"/>
              <w:rPr>
                <w:sz w:val="20"/>
                <w:szCs w:val="20"/>
                <w:color w:val="auto"/>
              </w:rPr>
            </w:pPr>
            <w:r>
              <w:rPr>
                <w:rFonts w:ascii="Arial" w:cs="Arial" w:eastAsia="Arial" w:hAnsi="Arial"/>
                <w:sz w:val="18"/>
                <w:szCs w:val="18"/>
                <w:color w:val="auto"/>
              </w:rPr>
              <w:t>843,406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7"/>
              </w:rPr>
              <w:t>(Losses) gains and other (expense) income, net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8"/>
                <w:szCs w:val="18"/>
                <w:color w:val="auto"/>
              </w:rPr>
              <w:t>12,297</w:t>
            </w:r>
          </w:p>
        </w:tc>
        <w:tc>
          <w:tcPr>
            <w:tcW w:w="0" w:type="dxa"/>
            <w:vAlign w:val="bottom"/>
          </w:tcPr>
          <w:p>
            <w:pPr>
              <w:spacing w:after="0"/>
              <w:rPr>
                <w:sz w:val="1"/>
                <w:szCs w:val="1"/>
                <w:color w:val="auto"/>
              </w:rPr>
            </w:pPr>
          </w:p>
        </w:tc>
      </w:tr>
      <w:tr>
        <w:trPr>
          <w:trHeight w:val="243"/>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660" w:type="dxa"/>
            <w:vAlign w:val="bottom"/>
            <w:gridSpan w:val="2"/>
          </w:tcPr>
          <w:p>
            <w:pPr>
              <w:jc w:val="right"/>
              <w:ind w:right="2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(4,068)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SEGMENT FINANCIAL RESULTS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103,904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82,294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327,210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8"/>
                <w:szCs w:val="18"/>
                <w:color w:val="auto"/>
              </w:rPr>
              <w:t>282,242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b w:val="1"/>
                <w:bCs w:val="1"/>
                <w:color w:val="auto"/>
              </w:rPr>
              <w:t>Contract Sales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80" w:type="dxa"/>
            <w:vAlign w:val="bottom"/>
            <w:gridSpan w:val="2"/>
          </w:tcPr>
          <w:p>
            <w:pPr>
              <w:ind w:left="160"/>
              <w:spacing w:after="0"/>
              <w:rPr>
                <w:sz w:val="20"/>
                <w:szCs w:val="20"/>
                <w:color w:val="auto"/>
              </w:rPr>
            </w:pPr>
            <w:r>
              <w:rPr>
                <w:rFonts w:ascii="Arial" w:cs="Arial" w:eastAsia="Arial" w:hAnsi="Arial"/>
                <w:sz w:val="18"/>
                <w:szCs w:val="18"/>
                <w:i w:val="1"/>
                <w:iCs w:val="1"/>
                <w:color w:val="auto"/>
              </w:rPr>
              <w:t>2017 Third Quarter</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4"/>
          </w:tcPr>
          <w:p>
            <w:pPr>
              <w:ind w:left="280"/>
              <w:spacing w:after="0"/>
              <w:rPr>
                <w:sz w:val="20"/>
                <w:szCs w:val="20"/>
                <w:color w:val="auto"/>
              </w:rPr>
            </w:pPr>
            <w:r>
              <w:rPr>
                <w:rFonts w:ascii="Arial" w:cs="Arial" w:eastAsia="Arial" w:hAnsi="Arial"/>
                <w:sz w:val="16"/>
                <w:szCs w:val="16"/>
                <w:b w:val="1"/>
                <w:bCs w:val="1"/>
                <w:color w:val="auto"/>
              </w:rPr>
              <w:t>Quarter Ended</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82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6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89"/>
              </w:rPr>
              <w:t>September 30, 2017</w:t>
            </w:r>
          </w:p>
        </w:tc>
        <w:tc>
          <w:tcPr>
            <w:tcW w:w="182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September 9, 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780" w:type="dxa"/>
            <w:vAlign w:val="bottom"/>
            <w:gridSpan w:val="4"/>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(92 days)</w:t>
            </w:r>
          </w:p>
        </w:tc>
        <w:tc>
          <w:tcPr>
            <w:tcW w:w="1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(84 days)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ind w:left="260"/>
              <w:spacing w:after="0"/>
              <w:rPr>
                <w:sz w:val="20"/>
                <w:szCs w:val="20"/>
                <w:color w:val="auto"/>
              </w:rPr>
            </w:pPr>
            <w:r>
              <w:rPr>
                <w:rFonts w:ascii="Arial" w:cs="Arial" w:eastAsia="Arial" w:hAnsi="Arial"/>
                <w:sz w:val="16"/>
                <w:szCs w:val="16"/>
                <w:b w:val="1"/>
                <w:bCs w:val="1"/>
                <w:color w:val="auto"/>
                <w:w w:val="88"/>
              </w:rPr>
              <w:t>Change</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ind w:right="243"/>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Contract sales</w:t>
            </w:r>
          </w:p>
        </w:tc>
        <w:tc>
          <w:tcPr>
            <w:tcW w:w="16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rPr>
              <w:t>Vacation ownership</w:t>
            </w:r>
          </w:p>
        </w:tc>
        <w:tc>
          <w:tcPr>
            <w:tcW w:w="180" w:type="dxa"/>
            <w:vAlign w:val="bottom"/>
          </w:tcPr>
          <w:p>
            <w:pPr>
              <w:spacing w:after="0"/>
              <w:rPr>
                <w:sz w:val="21"/>
                <w:szCs w:val="21"/>
                <w:color w:val="auto"/>
              </w:rPr>
            </w:pPr>
          </w:p>
        </w:tc>
        <w:tc>
          <w:tcPr>
            <w:tcW w:w="1660" w:type="dxa"/>
            <w:vAlign w:val="bottom"/>
            <w:gridSpan w:val="2"/>
          </w:tcPr>
          <w:p>
            <w:pPr>
              <w:jc w:val="right"/>
              <w:ind w:right="62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w w:val="95"/>
              </w:rPr>
              <w:t>179,227</w:t>
            </w:r>
          </w:p>
        </w:tc>
        <w:tc>
          <w:tcPr>
            <w:tcW w:w="100" w:type="dxa"/>
            <w:vAlign w:val="bottom"/>
          </w:tcPr>
          <w:p>
            <w:pPr>
              <w:spacing w:after="0"/>
              <w:rPr>
                <w:sz w:val="21"/>
                <w:szCs w:val="21"/>
                <w:color w:val="auto"/>
              </w:rPr>
            </w:pPr>
          </w:p>
        </w:tc>
        <w:tc>
          <w:tcPr>
            <w:tcW w:w="800" w:type="dxa"/>
            <w:vAlign w:val="bottom"/>
          </w:tcPr>
          <w:p>
            <w:pPr>
              <w:jc w:val="right"/>
              <w:ind w:right="59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ind w:left="60"/>
              <w:spacing w:after="0"/>
              <w:rPr>
                <w:sz w:val="20"/>
                <w:szCs w:val="20"/>
                <w:color w:val="auto"/>
              </w:rPr>
            </w:pPr>
            <w:r>
              <w:rPr>
                <w:rFonts w:ascii="Arial" w:cs="Arial" w:eastAsia="Arial" w:hAnsi="Arial"/>
                <w:sz w:val="18"/>
                <w:szCs w:val="18"/>
                <w:color w:val="auto"/>
              </w:rPr>
              <w:t>150,964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28,263</w:t>
            </w:r>
          </w:p>
        </w:tc>
        <w:tc>
          <w:tcPr>
            <w:tcW w:w="1560" w:type="dxa"/>
            <w:vAlign w:val="bottom"/>
            <w:gridSpan w:val="3"/>
          </w:tcPr>
          <w:p>
            <w:pPr>
              <w:jc w:val="right"/>
              <w:ind w:right="44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Total contract sales</w:t>
            </w:r>
          </w:p>
        </w:tc>
        <w:tc>
          <w:tcPr>
            <w:tcW w:w="16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62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w w:val="95"/>
              </w:rPr>
              <w:t>179,227</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1"/>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150,964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28,263</w:t>
            </w:r>
          </w:p>
        </w:tc>
        <w:tc>
          <w:tcPr>
            <w:tcW w:w="1560" w:type="dxa"/>
            <w:vAlign w:val="bottom"/>
            <w:tcBorders>
              <w:bottom w:val="single" w:sz="8" w:color="CCEEFF"/>
            </w:tcBorders>
            <w:gridSpan w:val="3"/>
            <w:shd w:val="clear" w:color="auto" w:fill="CCEEFF"/>
          </w:tcPr>
          <w:p>
            <w:pPr>
              <w:jc w:val="right"/>
              <w:ind w:right="44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increase in North America vacation ownership contract sales reflected a $30.7 million increase in sales at on-site sales locations, partially offset by a $2.3 million decrease in sales at off-site (non tour-based) sales locations and a $0.1 million decrease in fractional sales as we continue to sell through remaining luxury inventory. Our 2017 third quarter had eight more days than our 2016 third quarter due to the change to an end-of-month quarterly reporting cycle in 2017. We estimate that 2016 third quarter contract sales would have been approximately $15 million higher on a comparable basis, the majority of which would have occurred at on-site sales locations. We estimate the Hurricanes negatively impacted contract sales by $12 million in the 2017 third quarter.</w:t>
      </w:r>
    </w:p>
    <w:p>
      <w:pPr>
        <w:spacing w:after="0" w:line="50"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increase in sales at North America on-site locations reflected an 18 percent increase in the number of tours and a 3 percent increase in VPG to $3,482 in the 2017 third quarter from $3,371 in the 2016 third quarter. The increase in the number of tours was due to increases in both owner tours and first time buyer tours, and was driven by programs that were implemented in 2015 or later to generate additional tours. The 18 percent increase in the number of total tours included an increase of approximately 11 percent due to the change in the financial reporting calendar in 2017 and an increase of 9 percent from new sales locations, partially offset by a decrease of 2 percent from existing sales locations. We estimate the Hurricanes negatively impacted the year over year change in tours by roughly 6.5 percent; the vast majority of this impact was at our exiting sales</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locations. The increase in VPG resulted from a 0.2 percentage point increase in closing efficiency and higher pricing. The sales at North America off-site locations were negatively impacted by lower sales in Latin America.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040"/>
              <w:spacing w:after="0"/>
              <w:rPr>
                <w:sz w:val="20"/>
                <w:szCs w:val="20"/>
                <w:color w:val="auto"/>
              </w:rPr>
            </w:pPr>
            <w:r>
              <w:rPr>
                <w:rFonts w:ascii="Arial" w:cs="Arial" w:eastAsia="Arial" w:hAnsi="Arial"/>
                <w:sz w:val="16"/>
                <w:szCs w:val="16"/>
                <w:b w:val="1"/>
                <w:bCs w:val="1"/>
                <w:color w:val="auto"/>
              </w:rPr>
              <w:t>Year to Date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 2017</w:t>
            </w:r>
          </w:p>
        </w:tc>
        <w:tc>
          <w:tcPr>
            <w:tcW w:w="200" w:type="dxa"/>
            <w:vAlign w:val="bottom"/>
          </w:tcPr>
          <w:p>
            <w:pPr>
              <w:spacing w:after="0"/>
              <w:rPr>
                <w:sz w:val="20"/>
                <w:szCs w:val="20"/>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480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4"/>
                <w:szCs w:val="24"/>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(274 days)</w:t>
            </w:r>
          </w:p>
        </w:tc>
        <w:tc>
          <w:tcPr>
            <w:tcW w:w="200" w:type="dxa"/>
            <w:vAlign w:val="bottom"/>
          </w:tcPr>
          <w:p>
            <w:pPr>
              <w:spacing w:after="0"/>
              <w:rPr>
                <w:sz w:val="24"/>
                <w:szCs w:val="24"/>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(252 days)</w:t>
            </w:r>
          </w:p>
        </w:tc>
        <w:tc>
          <w:tcPr>
            <w:tcW w:w="240" w:type="dxa"/>
            <w:vAlign w:val="bottom"/>
          </w:tcPr>
          <w:p>
            <w:pPr>
              <w:spacing w:after="0"/>
              <w:rPr>
                <w:sz w:val="24"/>
                <w:szCs w:val="24"/>
                <w:color w:val="auto"/>
              </w:rPr>
            </w:pPr>
          </w:p>
        </w:tc>
        <w:tc>
          <w:tcPr>
            <w:tcW w:w="1000" w:type="dxa"/>
            <w:vAlign w:val="bottom"/>
          </w:tcPr>
          <w:p>
            <w:pPr>
              <w:jc w:val="right"/>
              <w:ind w:right="273"/>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Contract sales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Vacation ownership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7"/>
              <w:spacing w:after="0"/>
              <w:rPr>
                <w:sz w:val="20"/>
                <w:szCs w:val="20"/>
                <w:color w:val="auto"/>
              </w:rPr>
            </w:pPr>
            <w:r>
              <w:rPr>
                <w:rFonts w:ascii="Arial" w:cs="Arial" w:eastAsia="Arial" w:hAnsi="Arial"/>
                <w:sz w:val="18"/>
                <w:szCs w:val="18"/>
                <w:color w:val="auto"/>
              </w:rPr>
              <w:t>547,546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436,214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111,332</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26%</w:t>
            </w:r>
          </w:p>
        </w:tc>
      </w:tr>
      <w:tr>
        <w:trPr>
          <w:trHeight w:val="27"/>
        </w:trPr>
        <w:tc>
          <w:tcPr>
            <w:tcW w:w="4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shd w:val="clear" w:color="auto" w:fill="CCEEFF"/>
              </w:rPr>
              <w:t>Total contract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547,546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436,214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111,332</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increase in North America vacation ownership contract sales reflected a $116.0 million increase in sales at on-site sales locations, partially offset by a $4.3 million decrease in sales at off-site (non tour-based) sales locations and a $0.4 million decrease in fractional sales as we continue to sell through remaining luxury inventory. Our 2017 first three quarters had 22 more days than our 2016 first three quarters due to the change to an end-of-month quarterly reporting cycle in 2017. We estimate that 2016 first three quarters contract sales would have been approximately $38 million higher on a comparable basis, the majority of which would have occurred at on-site sales locations. We estimate the Hurricanes negatively impacted contract sales by $12 million in the 2017 first three quarters.</w:t>
      </w:r>
    </w:p>
    <w:p>
      <w:pPr>
        <w:spacing w:after="0" w:line="85" w:lineRule="exact"/>
        <w:rPr>
          <w:sz w:val="20"/>
          <w:szCs w:val="20"/>
          <w:color w:val="auto"/>
        </w:rPr>
      </w:pPr>
    </w:p>
    <w:p>
      <w:pPr>
        <w:ind w:right="220" w:firstLine="648"/>
        <w:spacing w:after="0" w:line="271" w:lineRule="auto"/>
        <w:rPr>
          <w:sz w:val="20"/>
          <w:szCs w:val="20"/>
          <w:color w:val="auto"/>
        </w:rPr>
      </w:pPr>
      <w:r>
        <w:rPr>
          <w:rFonts w:ascii="Arial" w:cs="Arial" w:eastAsia="Arial" w:hAnsi="Arial"/>
          <w:sz w:val="17"/>
          <w:szCs w:val="17"/>
          <w:color w:val="auto"/>
        </w:rPr>
        <w:t>The increase in sales at North America on-site locations reflected a 23 percent increase in the number of tours and a 5 percent increase in VPG to $3,580 in the 2017 first three quarters from $3,414 in the 2016 first three quarters. The increase in the number of tours was due to increases in both owner tours and first time buyer tours, and was driven by programs that were implemented in 2015 or later to generate additional tours. The 23 percent increase in the number of total tours included an increase of approximately 11 percent due to the change in the financial reporting calendar in 2017, an increase of 9 percent from new sales locations and an increase of 3 percent from existing sales locations. We estimate the Hurricanes negatively impacted the year over year change in tours by nearly 3 percent; the vast majority of this impact was at our exiting sales locations. The increase in VPG resulted from a 0.3 percentage point increase in closing efficiency and higher pricing. The sales at North America off-site locations were negatively impacted by lower sales in Latin America, which were negatively impacted by currency fluctuations.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2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(92 days)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Contract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179,227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150,964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28,263</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19%</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Reportability</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18,299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Sales reserve</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(10,277)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(11,923)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1,646</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280"/>
              <w:spacing w:after="0" w:line="230" w:lineRule="exact"/>
              <w:rPr>
                <w:sz w:val="20"/>
                <w:szCs w:val="20"/>
                <w:color w:val="auto"/>
              </w:rPr>
            </w:pPr>
            <w:r>
              <w:rPr>
                <w:rFonts w:ascii="Arial" w:cs="Arial" w:eastAsia="Arial" w:hAnsi="Arial"/>
                <w:sz w:val="18"/>
                <w:szCs w:val="18"/>
                <w:color w:val="auto"/>
                <w:shd w:val="clear" w:color="auto" w:fill="CCEEFF"/>
              </w:rPr>
              <w:t>Other</w:t>
            </w:r>
            <w:r>
              <w:rPr>
                <w:rFonts w:ascii="Arial" w:cs="Arial" w:eastAsia="Arial" w:hAnsi="Arial"/>
                <w:sz w:val="21"/>
                <w:szCs w:val="21"/>
                <w:color w:val="auto"/>
                <w:vertAlign w:val="superscript"/>
                <w:shd w:val="clear" w:color="auto" w:fill="CCEEFF"/>
              </w:rPr>
              <w:t>(1)</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80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163,454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116,184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47,270</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41%</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9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Revenue reportability positively impacted the 2017 third quarter due to a decrease in the amount of sales that remained in the rescission period as of the end of the quarter. Revenue reportability negatively impacted the 2016 third quarter due to a decrease in the amount of sales that met the down payment requirement for revenue reportability during the period and an increase in the amount of sales that remained in the rescission period as of the end of the quarter.</w:t>
      </w:r>
    </w:p>
    <w:p>
      <w:pPr>
        <w:spacing w:after="0" w:line="8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lower sales reserve reflected a lower required reserve in the 2017 third quarter ($2.9 million) due to lower default and delinquency activity and an unfavorable sales reserve adjustment in the 2016 third quarter ($0.9 million), partially offset by the higher vacation ownership contract sales volume ($2.2 million of the increase).</w:t>
      </w:r>
    </w:p>
    <w:p>
      <w:pPr>
        <w:spacing w:after="0" w:line="73"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The increase in other adjustments for sales incentives was driven by an increase in the utilization of plus points as a sales incentive in the 2017 third quarter due to the higher vacation ownership contract sales.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040"/>
              <w:spacing w:after="0"/>
              <w:rPr>
                <w:sz w:val="20"/>
                <w:szCs w:val="20"/>
                <w:color w:val="auto"/>
              </w:rPr>
            </w:pPr>
            <w:r>
              <w:rPr>
                <w:rFonts w:ascii="Arial" w:cs="Arial" w:eastAsia="Arial" w:hAnsi="Arial"/>
                <w:sz w:val="16"/>
                <w:szCs w:val="16"/>
                <w:b w:val="1"/>
                <w:bCs w:val="1"/>
                <w:color w:val="auto"/>
              </w:rPr>
              <w:t>Year to Date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(274 days)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(252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Contract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547,546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436,214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111,332</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26%</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Reportability</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14,869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Sales reserve</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(33,090)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(26,960)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(6,130)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280"/>
              <w:spacing w:after="0" w:line="230" w:lineRule="exact"/>
              <w:rPr>
                <w:sz w:val="20"/>
                <w:szCs w:val="20"/>
                <w:color w:val="auto"/>
              </w:rPr>
            </w:pPr>
            <w:r>
              <w:rPr>
                <w:rFonts w:ascii="Arial" w:cs="Arial" w:eastAsia="Arial" w:hAnsi="Arial"/>
                <w:sz w:val="18"/>
                <w:szCs w:val="18"/>
                <w:color w:val="auto"/>
                <w:shd w:val="clear" w:color="auto" w:fill="CCEEFF"/>
              </w:rPr>
              <w:t>Other</w:t>
            </w:r>
            <w:r>
              <w:rPr>
                <w:rFonts w:ascii="Arial" w:cs="Arial" w:eastAsia="Arial" w:hAnsi="Arial"/>
                <w:sz w:val="21"/>
                <w:szCs w:val="21"/>
                <w:color w:val="auto"/>
                <w:vertAlign w:val="superscript"/>
                <w:shd w:val="clear" w:color="auto" w:fill="CCEEFF"/>
              </w:rPr>
              <w:t>(1)</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(22,931)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2,546</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80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495,958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373,341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122,617</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33%</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9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Revenue reportability positively impacted the 2017 first three quarters due to an increase in the amount of sales that met the down payment requirement for revenue reportability during the period, partially offset by an increase in the amount of sales that remained in the rescission period as of the end of the period. Revenue reportability negatively impacted the 2016 first three quarters due to a decrease in the amount of sales that met the down payment requirement for revenue reportability during the period and an increase in the amount of sales that remained in the rescission period as of the end of the period.</w:t>
      </w:r>
    </w:p>
    <w:p>
      <w:pPr>
        <w:spacing w:after="0" w:line="8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higher sales reserve reflected the higher vacation ownership contract sales volume, partially offset by an unfavorable sales reserve adjustment in the 2016 first three quarters.</w:t>
      </w:r>
    </w:p>
    <w:p>
      <w:pPr>
        <w:spacing w:after="0" w:line="6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decrease in other adjustments for sales incentives was driven by a decrease in the utilization of plus points as a sales incentive in the 2017 first three quarters.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2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(92 days)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Sale of vacation ownership products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163,454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116,184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47,270</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41%</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(37,404)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(30,134)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(7,270)</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(24%)</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Marketing and sales</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(67,662)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(19,646)</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(29%)</w:t>
            </w:r>
          </w:p>
        </w:tc>
      </w:tr>
      <w:tr>
        <w:trPr>
          <w:trHeight w:val="297"/>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38,742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18,388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20,354</w:t>
            </w:r>
          </w:p>
        </w:tc>
        <w:tc>
          <w:tcPr>
            <w:tcW w:w="148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86"/>
              </w:rPr>
              <w:t>111%</w:t>
            </w:r>
          </w:p>
        </w:tc>
      </w:tr>
      <w:tr>
        <w:trPr>
          <w:trHeight w:val="190"/>
        </w:trPr>
        <w:tc>
          <w:tcPr>
            <w:tcW w:w="48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shd w:val="clear" w:color="auto" w:fill="CCEEFF"/>
              </w:rPr>
              <w:t>Development margin percentage</w:t>
            </w: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394"/>
              <w:spacing w:after="0" w:line="189" w:lineRule="exact"/>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354"/>
              <w:spacing w:after="0" w:line="189" w:lineRule="exact"/>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1"/>
              <w:spacing w:after="0" w:line="189" w:lineRule="exact"/>
              <w:rPr>
                <w:sz w:val="20"/>
                <w:szCs w:val="20"/>
                <w:color w:val="auto"/>
              </w:rPr>
            </w:pPr>
            <w:r>
              <w:rPr>
                <w:rFonts w:ascii="Arial" w:cs="Arial" w:eastAsia="Arial" w:hAnsi="Arial"/>
                <w:sz w:val="18"/>
                <w:szCs w:val="18"/>
                <w:color w:val="auto"/>
              </w:rPr>
              <w:t>7.9 pts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68"/>
        </w:trPr>
        <w:tc>
          <w:tcPr>
            <w:tcW w:w="48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development margin reflected the following:</w:t>
      </w:r>
    </w:p>
    <w:p>
      <w:pPr>
        <w:spacing w:after="0" w:line="117" w:lineRule="exact"/>
        <w:rPr>
          <w:sz w:val="20"/>
          <w:szCs w:val="20"/>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$11.8 million of favorable revenue reportability compared to the 2016 third quarter;</w:t>
      </w:r>
    </w:p>
    <w:p>
      <w:pPr>
        <w:spacing w:after="0" w:line="117" w:lineRule="exact"/>
        <w:rPr>
          <w:rFonts w:ascii="Arial" w:cs="Arial" w:eastAsia="Arial" w:hAnsi="Arial"/>
          <w:sz w:val="18"/>
          <w:szCs w:val="18"/>
          <w:color w:val="auto"/>
        </w:rPr>
      </w:pPr>
    </w:p>
    <w:p>
      <w:pPr>
        <w:ind w:left="1300" w:right="620" w:hanging="320"/>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$5.9 million from higher vacation ownership contract sales volume net of the sales reserve and direct variable expenses (i.e., cost of vacation ownership products and marketing and sales);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$4.4 million from a favorable mix of lower cost real estate inventory being sold;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$2.8 million from lower sales reserve activity in the 2017 third quarter; and</w:t>
      </w:r>
    </w:p>
    <w:p>
      <w:pPr>
        <w:spacing w:after="0" w:line="117" w:lineRule="exact"/>
        <w:rPr>
          <w:rFonts w:ascii="Arial" w:cs="Arial" w:eastAsia="Arial" w:hAnsi="Arial"/>
          <w:sz w:val="18"/>
          <w:szCs w:val="18"/>
          <w:color w:val="auto"/>
        </w:rPr>
      </w:pPr>
    </w:p>
    <w:p>
      <w:pPr>
        <w:ind w:left="1300" w:right="580" w:hanging="320"/>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$0.5 million of favorable changes in product cost true-up activity ($1.5 million of favorable true-up activity in the 2017 third quarter compared to $1.0 million of favorable true-up activity in the 2016 third quarter).</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These increases in development margin were partially offset by $5.1 million from higher marketing and sales costs (of which $1.3 million was due to the ramp-up of our newest sales distributions).</w:t>
      </w:r>
    </w:p>
    <w:p>
      <w:pPr>
        <w:spacing w:after="0" w:line="6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7.9 percentage point increase in the development margin percentage reflected a 6.6 percentage point increase due to the favorable revenue reportability year-over-year, a 2.7 percentage point increase due to a favorable mix of lower cost vacation ownership real estate inventory being sold in the 2017 third quarter, a 1.2 percentage point increase from the lower sales reserve activity, and 0.3 percentage point increase due to the favorable changes in product cost true-up activity year-over-year. These increases were partially offset by a 2.9 percentage point decline due to higher marketing and sales costs (of which</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5"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0.8 percentage points was due to the higher ramp-up expenses associated with our newest sales distributions). We estimate the Hurricanes negatively impacted development margin percentage by 0.3 percentage points in the 2017 third quarter.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040"/>
              <w:spacing w:after="0"/>
              <w:rPr>
                <w:sz w:val="20"/>
                <w:szCs w:val="20"/>
                <w:color w:val="auto"/>
              </w:rPr>
            </w:pPr>
            <w:r>
              <w:rPr>
                <w:rFonts w:ascii="Arial" w:cs="Arial" w:eastAsia="Arial" w:hAnsi="Arial"/>
                <w:sz w:val="16"/>
                <w:szCs w:val="16"/>
                <w:b w:val="1"/>
                <w:bCs w:val="1"/>
                <w:color w:val="auto"/>
              </w:rPr>
              <w:t>Year to Date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(274 days)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(252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Sale of vacation ownership products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495,958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373,341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122,617</w:t>
            </w:r>
          </w:p>
        </w:tc>
        <w:tc>
          <w:tcPr>
            <w:tcW w:w="148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33%</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(116,715)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(89,876)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(26,839)</w:t>
            </w:r>
          </w:p>
        </w:tc>
        <w:tc>
          <w:tcPr>
            <w:tcW w:w="1480" w:type="dxa"/>
            <w:vAlign w:val="bottom"/>
            <w:gridSpan w:val="2"/>
          </w:tcPr>
          <w:p>
            <w:pPr>
              <w:jc w:val="right"/>
              <w:ind w:right="379"/>
              <w:spacing w:after="0"/>
              <w:rPr>
                <w:sz w:val="20"/>
                <w:szCs w:val="20"/>
                <w:color w:val="auto"/>
              </w:rPr>
            </w:pPr>
            <w:r>
              <w:rPr>
                <w:rFonts w:ascii="Arial" w:cs="Arial" w:eastAsia="Arial" w:hAnsi="Arial"/>
                <w:sz w:val="18"/>
                <w:szCs w:val="18"/>
                <w:color w:val="auto"/>
              </w:rPr>
              <w:t>(30%)</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Marketing and sales</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(266,962)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(202,888)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(64,074)</w:t>
            </w:r>
          </w:p>
        </w:tc>
        <w:tc>
          <w:tcPr>
            <w:tcW w:w="148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(32%)</w:t>
            </w:r>
          </w:p>
        </w:tc>
      </w:tr>
      <w:tr>
        <w:trPr>
          <w:trHeight w:val="297"/>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112,281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80,577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31,704</w:t>
            </w:r>
          </w:p>
        </w:tc>
        <w:tc>
          <w:tcPr>
            <w:tcW w:w="1480" w:type="dxa"/>
            <w:vAlign w:val="bottom"/>
            <w:tcBorders>
              <w:bottom w:val="single" w:sz="8" w:color="CCEEFF"/>
            </w:tcBorders>
            <w:gridSpan w:val="2"/>
          </w:tcPr>
          <w:p>
            <w:pPr>
              <w:jc w:val="right"/>
              <w:ind w:right="439"/>
              <w:spacing w:after="0"/>
              <w:rPr>
                <w:sz w:val="20"/>
                <w:szCs w:val="20"/>
                <w:color w:val="auto"/>
              </w:rPr>
            </w:pPr>
            <w:r>
              <w:rPr>
                <w:rFonts w:ascii="Arial" w:cs="Arial" w:eastAsia="Arial" w:hAnsi="Arial"/>
                <w:sz w:val="18"/>
                <w:szCs w:val="18"/>
                <w:color w:val="auto"/>
              </w:rPr>
              <w:t>39%</w:t>
            </w:r>
          </w:p>
        </w:tc>
      </w:tr>
      <w:tr>
        <w:trPr>
          <w:trHeight w:val="190"/>
        </w:trPr>
        <w:tc>
          <w:tcPr>
            <w:tcW w:w="48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shd w:val="clear" w:color="auto" w:fill="CCEEFF"/>
              </w:rPr>
              <w:t>Development margin percentage</w:t>
            </w: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394"/>
              <w:spacing w:after="0" w:line="189" w:lineRule="exact"/>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354"/>
              <w:spacing w:after="0" w:line="189" w:lineRule="exact"/>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1"/>
              <w:spacing w:after="0" w:line="189" w:lineRule="exact"/>
              <w:rPr>
                <w:sz w:val="20"/>
                <w:szCs w:val="20"/>
                <w:color w:val="auto"/>
              </w:rPr>
            </w:pPr>
            <w:r>
              <w:rPr>
                <w:rFonts w:ascii="Arial" w:cs="Arial" w:eastAsia="Arial" w:hAnsi="Arial"/>
                <w:sz w:val="18"/>
                <w:szCs w:val="18"/>
                <w:color w:val="auto"/>
              </w:rPr>
              <w:t>1.0 pts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68"/>
        </w:trPr>
        <w:tc>
          <w:tcPr>
            <w:tcW w:w="48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development margin reflected the following:</w:t>
      </w:r>
    </w:p>
    <w:p>
      <w:pPr>
        <w:spacing w:after="0" w:line="117" w:lineRule="exact"/>
        <w:rPr>
          <w:sz w:val="20"/>
          <w:szCs w:val="20"/>
          <w:color w:val="auto"/>
        </w:rPr>
      </w:pPr>
    </w:p>
    <w:p>
      <w:pPr>
        <w:ind w:left="1300" w:right="520" w:hanging="320"/>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$28.0 million from higher vacation ownership contract sales volume net of the sales reserve and direct variable expenses (i.e., cost of vacation ownership products and marketing and sales);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$17.6 million from a favorable mix of lower cost real estate inventory being sold;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$9.6 million of favorable revenue reportability compared to the 2016 first three quarters;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$0.4 million from lower sales reserve activity in the 2017 first three quarters.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increases in development margin were partially offset by the following:</w:t>
      </w:r>
    </w:p>
    <w:p>
      <w:pPr>
        <w:spacing w:after="0" w:line="117" w:lineRule="exact"/>
        <w:rPr>
          <w:sz w:val="20"/>
          <w:szCs w:val="20"/>
          <w:color w:val="auto"/>
        </w:rPr>
      </w:pPr>
    </w:p>
    <w:p>
      <w:pPr>
        <w:ind w:left="1300" w:hanging="320"/>
        <w:spacing w:after="0"/>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$11.8 million from higher marketing and sales costs (of which $7.3 million was due to the ramp-up of our newest sales distributions);</w:t>
      </w:r>
    </w:p>
    <w:p>
      <w:pPr>
        <w:spacing w:after="0" w:line="128" w:lineRule="exact"/>
        <w:rPr>
          <w:rFonts w:ascii="Arial" w:cs="Arial" w:eastAsia="Arial" w:hAnsi="Arial"/>
          <w:sz w:val="17"/>
          <w:szCs w:val="17"/>
          <w:color w:val="auto"/>
        </w:rPr>
      </w:pPr>
    </w:p>
    <w:p>
      <w:pPr>
        <w:ind w:left="1300" w:right="500" w:hanging="320"/>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$10.7 million of unfavorable changes in product cost true-up activity ($0.7 million of favorable true-up activity in the 2017 first three quarters compared to $11.4 million of favorable true-up activity in the 2016 first three quarters); and</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$1.4 million from higher other development and inventory expenses.</w:t>
      </w:r>
    </w:p>
    <w:p>
      <w:pPr>
        <w:spacing w:after="0" w:line="11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1.0 percentage point increase in the development margin percentage reflected a 3.6 percentage point increase due to a favorable mix of lower cost vacation ownership real estate inventory being sold in the 2017 first three quarters, a 1.5 percentage point increase due to the favorable revenue reportability year-over-year and a 0.1 percentage point increase from the lower sales reserve activity. These increases were partially offset by a 2.2 percentage point decrease due to the unfavorable changes in product cost true-up activity year-over-year and a 1.9 percentage point decline due to higher marketing and sales costs (of which 1.5 percentage points was due to the higher ramp-up expenses associated with our newest sales distributions).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0" w:type="dxa"/>
            <w:vAlign w:val="bottom"/>
            <w:gridSpan w:val="5"/>
          </w:tcPr>
          <w:p>
            <w:pPr>
              <w:ind w:left="114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5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2017</w:t>
            </w:r>
          </w:p>
        </w:tc>
        <w:tc>
          <w:tcPr>
            <w:tcW w:w="16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(92 days)</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Management fee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19,810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2,480</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14%</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Ancillary revenues</w:t>
            </w:r>
          </w:p>
        </w:tc>
        <w:tc>
          <w:tcPr>
            <w:tcW w:w="180" w:type="dxa"/>
            <w:vAlign w:val="bottom"/>
          </w:tcPr>
          <w:p>
            <w:pPr>
              <w:spacing w:after="0"/>
              <w:rPr>
                <w:sz w:val="21"/>
                <w:szCs w:val="21"/>
                <w:color w:val="auto"/>
              </w:rPr>
            </w:pP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25,924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25,992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services revenues</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22,502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19,634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2,868</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15%</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1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68,236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62,956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5,280</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8%</w:t>
            </w: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Resort management and other services expenses</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(33,849)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(11%)</w:t>
            </w: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30,783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29,107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1,676</w:t>
            </w:r>
          </w:p>
        </w:tc>
        <w:tc>
          <w:tcPr>
            <w:tcW w:w="136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2"/>
              </w:rPr>
              <w:t>6%</w:t>
            </w:r>
          </w:p>
        </w:tc>
      </w:tr>
      <w:tr>
        <w:trPr>
          <w:trHeight w:val="190"/>
        </w:trPr>
        <w:tc>
          <w:tcPr>
            <w:tcW w:w="50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shd w:val="clear" w:color="auto" w:fill="CCEEFF"/>
              </w:rPr>
              <w:t>Resort management and other services margin</w:t>
            </w: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6"/>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percentage</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(1.1 pts)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41"/>
        </w:trPr>
        <w:tc>
          <w:tcPr>
            <w:tcW w:w="50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202"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The increase in resort management and other services revenues reflected $2.5 million of higher management fees resulting from the cumulative increase in the number of vacation ownership products sold and higher operating costs across the system, $2.0 million of additional annual club dues and other revenues earned in connection with the MVCD program due to</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cumulative increase in owners enrolled in the program, and $0.9 million of higher resales commissions and other revenues. These increases were partially offset by $0.1 million of lower ancillary revenues. The decrease in ancillary revenues included $1.7 million of lower revenue due to outsourcing multiple operations, partially offset by $1.6 million of higher revenues from food and beverage and golf offerings at our resorts.</w:t>
      </w:r>
    </w:p>
    <w:p>
      <w:pPr>
        <w:spacing w:after="0" w:line="5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increase in the resort management and other services margin reflected the increases in revenue, partially offset by $3.6 million of higher expenses. The higher expenses included $2.5 million of higher customer service expenses and expenses associated with the MVCD program, $2.2 million of higher ancillary expenses from food and beverage and golf offerings at our resorts and $0.7 million of higher resales and other expenses, partially offset by $1.8 million of lower expenses due to outsourcing multiple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0" w:type="dxa"/>
            <w:vAlign w:val="bottom"/>
            <w:gridSpan w:val="5"/>
          </w:tcPr>
          <w:p>
            <w:pPr>
              <w:ind w:left="980"/>
              <w:spacing w:after="0"/>
              <w:rPr>
                <w:sz w:val="20"/>
                <w:szCs w:val="20"/>
                <w:color w:val="auto"/>
              </w:rPr>
            </w:pPr>
            <w:r>
              <w:rPr>
                <w:rFonts w:ascii="Arial" w:cs="Arial" w:eastAsia="Arial" w:hAnsi="Arial"/>
                <w:sz w:val="16"/>
                <w:szCs w:val="16"/>
                <w:b w:val="1"/>
                <w:bCs w:val="1"/>
                <w:color w:val="auto"/>
              </w:rPr>
              <w:t>Year to Date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5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2017</w:t>
            </w:r>
          </w:p>
        </w:tc>
        <w:tc>
          <w:tcPr>
            <w:tcW w:w="16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(274 days)</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(252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Management fee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58,725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51,182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7,543</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15%</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Ancillary revenues</w:t>
            </w:r>
          </w:p>
        </w:tc>
        <w:tc>
          <w:tcPr>
            <w:tcW w:w="180" w:type="dxa"/>
            <w:vAlign w:val="bottom"/>
          </w:tcPr>
          <w:p>
            <w:pPr>
              <w:spacing w:after="0"/>
              <w:rPr>
                <w:sz w:val="21"/>
                <w:szCs w:val="21"/>
                <w:color w:val="auto"/>
              </w:rPr>
            </w:pP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78,522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74,633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3,889</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5%</w:t>
            </w: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services revenues</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69,583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56,850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12,733</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22%</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1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206,830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182,665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24,165</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13%</w:t>
            </w: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Resort management and other services expenses</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(10,342)</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(10%)</w:t>
            </w: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95,166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81,343</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13,823</w:t>
            </w:r>
          </w:p>
        </w:tc>
        <w:tc>
          <w:tcPr>
            <w:tcW w:w="136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88"/>
              </w:rPr>
              <w:t>17%</w:t>
            </w:r>
          </w:p>
        </w:tc>
      </w:tr>
      <w:tr>
        <w:trPr>
          <w:trHeight w:val="190"/>
        </w:trPr>
        <w:tc>
          <w:tcPr>
            <w:tcW w:w="50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shd w:val="clear" w:color="auto" w:fill="CCEEFF"/>
              </w:rPr>
              <w:t>Resort management and other services margin</w:t>
            </w: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6"/>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percentage</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1.5 pts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41"/>
        </w:trPr>
        <w:tc>
          <w:tcPr>
            <w:tcW w:w="50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increase in resort management and other services revenues reflected $7.5 million of higher management fees resulting from the cumulative increase in the number of vacation ownership products sold and higher operating costs across the system, $4.9 million of additional annual club dues and other revenues earned in connection with the MVCD program due to the cumulative increase in owners enrolled in the program, $9.3 million of higher ancillary revenues due to higher revenues from food and beverage and golf offerings at our resorts, $3.1 million of higher resales commissions, brand fees and other revenues, $2.7 million of higher refurbishment revenue due to an increase in the number of refurbishment projects completed in the 2017 first three quarters, and $2.1 million of higher settlement fees due to an increase in the number of closed contracts in the 2017 first three quarters, partially offset by $5.4 million of lower revenue due to outsourcing multiple operations.</w:t>
      </w:r>
    </w:p>
    <w:p>
      <w:pPr>
        <w:spacing w:after="0" w:line="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increase in the resort management and other services margin reflected the increases in revenue, partially offset by $10.3 million of higher expenses, including $5.1 million of higher customer service expenses and expenses associated with the MVCD program, $7.4 million of higher ancillary expenses from food and beverage and golf offerings at our resorts, $2.1 million of higher refurbishment expenses due to an increase in the number of projects being refurbished in the 2017 first three quarters, and $0.7 million of higher resales and other expenses, partially offset by $5.0 million of lower expenses due to outsourcing multiple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2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(92 days)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Interest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31,146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5,039</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19%</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financing revenues</w:t>
            </w:r>
          </w:p>
        </w:tc>
        <w:tc>
          <w:tcPr>
            <w:tcW w:w="180" w:type="dxa"/>
            <w:vAlign w:val="bottom"/>
          </w:tcPr>
          <w:p>
            <w:pPr>
              <w:spacing w:after="0"/>
              <w:rPr>
                <w:sz w:val="21"/>
                <w:szCs w:val="21"/>
                <w:color w:val="auto"/>
              </w:rPr>
            </w:pP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1,331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377</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28%</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Financing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32,854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5,416</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Financing propensity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ind w:right="395"/>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ind w:right="354"/>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increase in financing revenues was due to an increase in the average gross vacation ownership notes receivable balance ($7.2 million) and higher other financing revenues ($0.4 million), partially offset by financing program incentive costs ($1.4 million) and a decrease in the weighted average coupon rate of our vacation ownership notes receivable ($0.8 million). We expect financing propensity for the 2017 fiscal year to approximate 65 percent as we intend to continue to offer financing incentive programs, and that interest income will continue to increase as new originations of vacation ownership notes receivable outpace the decline in principal of existing vacation ownership notes receivable.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040"/>
              <w:spacing w:after="0"/>
              <w:rPr>
                <w:sz w:val="20"/>
                <w:szCs w:val="20"/>
                <w:color w:val="auto"/>
              </w:rPr>
            </w:pPr>
            <w:r>
              <w:rPr>
                <w:rFonts w:ascii="Arial" w:cs="Arial" w:eastAsia="Arial" w:hAnsi="Arial"/>
                <w:sz w:val="16"/>
                <w:szCs w:val="16"/>
                <w:b w:val="1"/>
                <w:bCs w:val="1"/>
                <w:color w:val="auto"/>
              </w:rPr>
              <w:t>Year to Date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(274 days)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(252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Interest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88,698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77,582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11,116</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14%</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financing revenues</w:t>
            </w:r>
          </w:p>
        </w:tc>
        <w:tc>
          <w:tcPr>
            <w:tcW w:w="180" w:type="dxa"/>
            <w:vAlign w:val="bottom"/>
          </w:tcPr>
          <w:p>
            <w:pPr>
              <w:spacing w:after="0"/>
              <w:rPr>
                <w:sz w:val="21"/>
                <w:szCs w:val="21"/>
                <w:color w:val="auto"/>
              </w:rPr>
            </w:pP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5,114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4,117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997</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Financing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93,812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81,699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12,113</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Financing propensity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ind w:right="395"/>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ind w:right="354"/>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The increase in financing revenues was due to an increase in the average gross vacation ownership notes receivable balance ($18.3 million) and higher other financing revenues ($1.0 million), partially offset by financing program incentive costs ($5.2 million) and a decrease in the weighted average coupon rate of our vacation ownership notes receivable ($2.0 million). We expect financing propensity for the 2017 fiscal year to approximate 65 percent as we intend to continue to offer financing incentive programs, and that interest income will continue to increase as new originations of vacation ownership notes receivable outpace the decline in principal of existing vacation ownership notes receivable.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2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 2017</w:t>
            </w:r>
          </w:p>
        </w:tc>
        <w:tc>
          <w:tcPr>
            <w:tcW w:w="200" w:type="dxa"/>
            <w:vAlign w:val="bottom"/>
          </w:tcPr>
          <w:p>
            <w:pPr>
              <w:spacing w:after="0"/>
              <w:rPr>
                <w:sz w:val="20"/>
                <w:szCs w:val="20"/>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20" w:type="dxa"/>
            <w:vAlign w:val="bottom"/>
          </w:tcPr>
          <w:p>
            <w:pPr>
              <w:spacing w:after="0"/>
              <w:rPr>
                <w:sz w:val="24"/>
                <w:szCs w:val="24"/>
                <w:color w:val="auto"/>
              </w:rPr>
            </w:pPr>
          </w:p>
        </w:tc>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(92 days)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2"/>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Rental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69,458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63,387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6,071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10%</w:t>
            </w:r>
          </w:p>
        </w:tc>
      </w:tr>
      <w:tr>
        <w:trPr>
          <w:trHeight w:val="243"/>
        </w:trPr>
        <w:tc>
          <w:tcPr>
            <w:tcW w:w="2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Unsold maintenance fees</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(17,105)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(16,688)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(417)</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(2%)</w:t>
            </w: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Other rental expenses</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(8,688)</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(24%)</w:t>
            </w:r>
          </w:p>
        </w:tc>
      </w:tr>
      <w:tr>
        <w:trPr>
          <w:trHeight w:val="297"/>
        </w:trPr>
        <w:tc>
          <w:tcPr>
            <w:tcW w:w="20" w:type="dxa"/>
            <w:vAlign w:val="bottom"/>
          </w:tcPr>
          <w:p>
            <w:pPr>
              <w:spacing w:after="0"/>
              <w:rPr>
                <w:sz w:val="24"/>
                <w:szCs w:val="24"/>
                <w:color w:val="auto"/>
              </w:rPr>
            </w:pPr>
          </w:p>
        </w:tc>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Rental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7,222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10,256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(3,034)</w:t>
            </w:r>
          </w:p>
        </w:tc>
        <w:tc>
          <w:tcPr>
            <w:tcW w:w="148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1"/>
              </w:rPr>
              <w:t>(30%)</w:t>
            </w:r>
          </w:p>
        </w:tc>
      </w:tr>
      <w:tr>
        <w:trPr>
          <w:trHeight w:val="190"/>
        </w:trPr>
        <w:tc>
          <w:tcPr>
            <w:tcW w:w="20" w:type="dxa"/>
            <w:vAlign w:val="bottom"/>
          </w:tcPr>
          <w:p>
            <w:pPr>
              <w:spacing w:after="0"/>
              <w:rPr>
                <w:sz w:val="16"/>
                <w:szCs w:val="16"/>
                <w:color w:val="auto"/>
              </w:rPr>
            </w:pPr>
          </w:p>
        </w:tc>
        <w:tc>
          <w:tcPr>
            <w:tcW w:w="47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shd w:val="clear" w:color="auto" w:fill="CCEEFF"/>
              </w:rPr>
              <w:t>Rental margin percentage</w:t>
            </w: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395"/>
              <w:spacing w:after="0" w:line="189" w:lineRule="exact"/>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354"/>
              <w:spacing w:after="0" w:line="189" w:lineRule="exact"/>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(5.8 pts)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68"/>
        </w:trPr>
        <w:tc>
          <w:tcPr>
            <w:tcW w:w="20" w:type="dxa"/>
            <w:vAlign w:val="bottom"/>
          </w:tcPr>
          <w:p>
            <w:pPr>
              <w:spacing w:after="0"/>
              <w:rPr>
                <w:sz w:val="5"/>
                <w:szCs w:val="5"/>
                <w:color w:val="auto"/>
              </w:rPr>
            </w:pPr>
          </w:p>
        </w:tc>
        <w:tc>
          <w:tcPr>
            <w:tcW w:w="47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r>
        <w:trPr>
          <w:trHeight w:val="480"/>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20" w:type="dxa"/>
            <w:vAlign w:val="bottom"/>
            <w:gridSpan w:val="5"/>
          </w:tcPr>
          <w:p>
            <w:pPr>
              <w:ind w:left="12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 2017</w:t>
            </w:r>
          </w:p>
        </w:tc>
        <w:tc>
          <w:tcPr>
            <w:tcW w:w="200" w:type="dxa"/>
            <w:vAlign w:val="bottom"/>
          </w:tcPr>
          <w:p>
            <w:pPr>
              <w:spacing w:after="0"/>
              <w:rPr>
                <w:sz w:val="20"/>
                <w:szCs w:val="20"/>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20" w:type="dxa"/>
            <w:vAlign w:val="bottom"/>
          </w:tcPr>
          <w:p>
            <w:pPr>
              <w:spacing w:after="0"/>
              <w:rPr>
                <w:sz w:val="24"/>
                <w:szCs w:val="24"/>
                <w:color w:val="auto"/>
              </w:rPr>
            </w:pPr>
          </w:p>
        </w:tc>
        <w:tc>
          <w:tcPr>
            <w:tcW w:w="47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(92 days)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2"/>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shd w:val="clear" w:color="auto" w:fill="CCEEFF"/>
              </w:rPr>
              <w:t>Transient keys rented</w:t>
            </w:r>
            <w:r>
              <w:rPr>
                <w:rFonts w:ascii="Arial" w:cs="Arial" w:eastAsia="Arial" w:hAnsi="Arial"/>
                <w:sz w:val="21"/>
                <w:szCs w:val="21"/>
                <w:color w:val="auto"/>
                <w:vertAlign w:val="superscript"/>
                <w:shd w:val="clear" w:color="auto" w:fill="CCEEFF"/>
              </w:rPr>
              <w:t>(1)</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296,159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262,038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34,121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13%</w:t>
            </w:r>
          </w:p>
        </w:tc>
      </w:tr>
      <w:tr>
        <w:trPr>
          <w:trHeight w:val="243"/>
        </w:trPr>
        <w:tc>
          <w:tcPr>
            <w:tcW w:w="2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Average transient key rate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198.05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204.89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(6.84)</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(3%)</w:t>
            </w: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Resort occupancy</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5"/>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rPr>
              <w:t>92.3%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(3.3 pts)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5" w:lineRule="exact"/>
        <w:rPr>
          <w:sz w:val="20"/>
          <w:szCs w:val="20"/>
          <w:color w:val="auto"/>
        </w:rPr>
      </w:pPr>
    </w:p>
    <w:p>
      <w:pPr>
        <w:ind w:left="660" w:right="220" w:hanging="652"/>
        <w:spacing w:after="0" w:line="216"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Transient keys rented exclude those obtained through the use of plus points, preview stays and those associated with our operating property in San Diego, California prior to conversion to vacation ownership inventory.</w:t>
      </w:r>
    </w:p>
    <w:p>
      <w:pPr>
        <w:spacing w:after="0" w:line="9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increase in rental revenues was due to a 13 percent increase in transient keys rented ($7.1 million) driven by a 24 percent increase in available keys, a $0.5 million increase in preview keys rented and other revenue and $1.1 million of higher plus points revenue (which is recognized when the points are redeemed or expire), partially offset by a 3 percent decrease in average transient rate ($2.0 million) and $0.6 million of revenue in the 2016 third quarter at our operating property in San Diego, California prior to the conversion of the property to vacation ownership inventory.</w:t>
      </w:r>
    </w:p>
    <w:p>
      <w:pPr>
        <w:spacing w:after="0" w:line="63"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The decrease in rental margin reflected higher expenses incurred due to owners choosing alternative usage options and higher unsold maintenance fees. These higher expenses more than offset the higher rental revenues net of direct variable expenses (such as housekeeping) and the $1.1 million increase in plus points revenue.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040"/>
              <w:spacing w:after="0"/>
              <w:rPr>
                <w:sz w:val="20"/>
                <w:szCs w:val="20"/>
                <w:color w:val="auto"/>
              </w:rPr>
            </w:pPr>
            <w:r>
              <w:rPr>
                <w:rFonts w:ascii="Arial" w:cs="Arial" w:eastAsia="Arial" w:hAnsi="Arial"/>
                <w:sz w:val="16"/>
                <w:szCs w:val="16"/>
                <w:b w:val="1"/>
                <w:bCs w:val="1"/>
                <w:color w:val="auto"/>
              </w:rPr>
              <w:t>Year to Date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 2017</w:t>
            </w:r>
          </w:p>
        </w:tc>
        <w:tc>
          <w:tcPr>
            <w:tcW w:w="200" w:type="dxa"/>
            <w:vAlign w:val="bottom"/>
          </w:tcPr>
          <w:p>
            <w:pPr>
              <w:spacing w:after="0"/>
              <w:rPr>
                <w:sz w:val="20"/>
                <w:szCs w:val="20"/>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20" w:type="dxa"/>
            <w:vAlign w:val="bottom"/>
          </w:tcPr>
          <w:p>
            <w:pPr>
              <w:spacing w:after="0"/>
              <w:rPr>
                <w:sz w:val="24"/>
                <w:szCs w:val="24"/>
                <w:color w:val="auto"/>
              </w:rPr>
            </w:pPr>
          </w:p>
        </w:tc>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0"/>
              </w:rPr>
              <w:t>(274 days)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0"/>
              </w:rPr>
              <w:t>(252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Rental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224,588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201,524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23,064</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11%</w:t>
            </w:r>
          </w:p>
        </w:tc>
      </w:tr>
      <w:tr>
        <w:trPr>
          <w:trHeight w:val="243"/>
        </w:trPr>
        <w:tc>
          <w:tcPr>
            <w:tcW w:w="2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Unsold maintenance fees</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(50,814)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(44,659)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(6,155)</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(14%)</w:t>
            </w: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Other rental expenses</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(16,306)</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(14%)</w:t>
            </w:r>
          </w:p>
        </w:tc>
      </w:tr>
      <w:tr>
        <w:trPr>
          <w:trHeight w:val="297"/>
        </w:trPr>
        <w:tc>
          <w:tcPr>
            <w:tcW w:w="20" w:type="dxa"/>
            <w:vAlign w:val="bottom"/>
          </w:tcPr>
          <w:p>
            <w:pPr>
              <w:spacing w:after="0"/>
              <w:rPr>
                <w:sz w:val="24"/>
                <w:szCs w:val="24"/>
                <w:color w:val="auto"/>
              </w:rPr>
            </w:pPr>
          </w:p>
        </w:tc>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Rental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37,447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36,844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603</w:t>
            </w:r>
          </w:p>
        </w:tc>
        <w:tc>
          <w:tcPr>
            <w:tcW w:w="148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2"/>
              </w:rPr>
              <w:t>2%</w:t>
            </w:r>
          </w:p>
        </w:tc>
      </w:tr>
      <w:tr>
        <w:trPr>
          <w:trHeight w:val="190"/>
        </w:trPr>
        <w:tc>
          <w:tcPr>
            <w:tcW w:w="20" w:type="dxa"/>
            <w:vAlign w:val="bottom"/>
          </w:tcPr>
          <w:p>
            <w:pPr>
              <w:spacing w:after="0"/>
              <w:rPr>
                <w:sz w:val="16"/>
                <w:szCs w:val="16"/>
                <w:color w:val="auto"/>
              </w:rPr>
            </w:pPr>
          </w:p>
        </w:tc>
        <w:tc>
          <w:tcPr>
            <w:tcW w:w="47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shd w:val="clear" w:color="auto" w:fill="CCEEFF"/>
              </w:rPr>
              <w:t>Rental margin percentage</w:t>
            </w: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395"/>
              <w:spacing w:after="0" w:line="189" w:lineRule="exact"/>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354"/>
              <w:spacing w:after="0" w:line="189" w:lineRule="exact"/>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(1.6 pts)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68"/>
        </w:trPr>
        <w:tc>
          <w:tcPr>
            <w:tcW w:w="20" w:type="dxa"/>
            <w:vAlign w:val="bottom"/>
          </w:tcPr>
          <w:p>
            <w:pPr>
              <w:spacing w:after="0"/>
              <w:rPr>
                <w:sz w:val="5"/>
                <w:szCs w:val="5"/>
                <w:color w:val="auto"/>
              </w:rPr>
            </w:pPr>
          </w:p>
        </w:tc>
        <w:tc>
          <w:tcPr>
            <w:tcW w:w="47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r>
        <w:trPr>
          <w:trHeight w:val="480"/>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20" w:type="dxa"/>
            <w:vAlign w:val="bottom"/>
            <w:gridSpan w:val="5"/>
          </w:tcPr>
          <w:p>
            <w:pPr>
              <w:ind w:left="1040"/>
              <w:spacing w:after="0"/>
              <w:rPr>
                <w:sz w:val="20"/>
                <w:szCs w:val="20"/>
                <w:color w:val="auto"/>
              </w:rPr>
            </w:pPr>
            <w:r>
              <w:rPr>
                <w:rFonts w:ascii="Arial" w:cs="Arial" w:eastAsia="Arial" w:hAnsi="Arial"/>
                <w:sz w:val="16"/>
                <w:szCs w:val="16"/>
                <w:b w:val="1"/>
                <w:bCs w:val="1"/>
                <w:color w:val="auto"/>
              </w:rPr>
              <w:t>Year to Date Ended</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 2017</w:t>
            </w:r>
          </w:p>
        </w:tc>
        <w:tc>
          <w:tcPr>
            <w:tcW w:w="200" w:type="dxa"/>
            <w:vAlign w:val="bottom"/>
          </w:tcPr>
          <w:p>
            <w:pPr>
              <w:spacing w:after="0"/>
              <w:rPr>
                <w:sz w:val="20"/>
                <w:szCs w:val="20"/>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20" w:type="dxa"/>
            <w:vAlign w:val="bottom"/>
          </w:tcPr>
          <w:p>
            <w:pPr>
              <w:spacing w:after="0"/>
              <w:rPr>
                <w:sz w:val="24"/>
                <w:szCs w:val="24"/>
                <w:color w:val="auto"/>
              </w:rPr>
            </w:pPr>
          </w:p>
        </w:tc>
        <w:tc>
          <w:tcPr>
            <w:tcW w:w="47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0"/>
              </w:rPr>
              <w:t>(274 days)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0"/>
              </w:rPr>
              <w:t>(252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shd w:val="clear" w:color="auto" w:fill="CCEEFF"/>
              </w:rPr>
              <w:t>Transient keys rented</w:t>
            </w:r>
            <w:r>
              <w:rPr>
                <w:rFonts w:ascii="Arial" w:cs="Arial" w:eastAsia="Arial" w:hAnsi="Arial"/>
                <w:sz w:val="21"/>
                <w:szCs w:val="21"/>
                <w:color w:val="auto"/>
                <w:vertAlign w:val="superscript"/>
                <w:shd w:val="clear" w:color="auto" w:fill="CCEEFF"/>
              </w:rPr>
              <w:t>(1)</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907,935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797,729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110,206</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14%</w:t>
            </w:r>
          </w:p>
        </w:tc>
      </w:tr>
      <w:tr>
        <w:trPr>
          <w:trHeight w:val="243"/>
        </w:trPr>
        <w:tc>
          <w:tcPr>
            <w:tcW w:w="2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Average transient key rate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211.32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214.84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(3.52)</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(2%)</w:t>
            </w: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Resort occupancy</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5"/>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(1.1 pts)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5" w:lineRule="exact"/>
        <w:rPr>
          <w:sz w:val="20"/>
          <w:szCs w:val="20"/>
          <w:color w:val="auto"/>
        </w:rPr>
      </w:pPr>
    </w:p>
    <w:p>
      <w:pPr>
        <w:ind w:left="660" w:right="220" w:hanging="652"/>
        <w:spacing w:after="0" w:line="216" w:lineRule="auto"/>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Transient keys rented exclude those obtained through the use of plus points, preview stays and those associated with our operating property in San Diego, California prior to conversion to vacation ownership inventory.</w:t>
      </w:r>
    </w:p>
    <w:p>
      <w:pPr>
        <w:spacing w:after="0" w:line="9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increase in rental revenues was due to a 14 percent increase in transient keys rented ($23.8 million) driven by a 17 percent increase in available keys, a $3.3 million increase in preview keys rented and other revenue and $2.6 million of higher plus points revenue (which is recognized when the points are redeemed or expire), partially offset by $3.4 million of revenue in the 2017 first three quarters at our operating property in San Diego, California prior to the conversion of the property to vacation ownership inventory and a 2 percent decrease in average transient rate ($3.2 million).</w:t>
      </w:r>
    </w:p>
    <w:p>
      <w:pPr>
        <w:spacing w:after="0" w:line="46"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The increase in rental margin reflected the $2.6 million increase in plus points revenue and higher rental revenues net of direct variable expenses (such as housekeeping), partially offset by higher expenses incurred due to owners choosing alternative usage options and higher unsold maintenance fees.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Asia Pacific</w:t>
      </w:r>
    </w:p>
    <w:p>
      <w:pPr>
        <w:spacing w:after="0" w:line="11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following discussion presents an analysis of our results of operations for the Asia Pacific segment for the 2017 third quarter compared to the 2016 third quarter, and the 2017 first three quarters compared to the 2016 first three quarters.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00" w:type="dxa"/>
            <w:vAlign w:val="bottom"/>
            <w:gridSpan w:val="5"/>
          </w:tcPr>
          <w:p>
            <w:pPr>
              <w:ind w:left="1200"/>
              <w:spacing w:after="0"/>
              <w:rPr>
                <w:sz w:val="20"/>
                <w:szCs w:val="20"/>
                <w:color w:val="auto"/>
              </w:rPr>
            </w:pPr>
            <w:r>
              <w:rPr>
                <w:rFonts w:ascii="Arial" w:cs="Arial" w:eastAsia="Arial" w:hAnsi="Arial"/>
                <w:sz w:val="16"/>
                <w:szCs w:val="16"/>
                <w:b w:val="1"/>
                <w:bCs w:val="1"/>
                <w:color w:val="auto"/>
              </w:rPr>
              <w:t>Quarter Ended</w:t>
            </w:r>
          </w:p>
        </w:tc>
        <w:tc>
          <w:tcPr>
            <w:tcW w:w="180" w:type="dxa"/>
            <w:vAlign w:val="bottom"/>
          </w:tcPr>
          <w:p>
            <w:pPr>
              <w:spacing w:after="0"/>
              <w:rPr>
                <w:sz w:val="18"/>
                <w:szCs w:val="18"/>
                <w:color w:val="auto"/>
              </w:rPr>
            </w:pPr>
          </w:p>
        </w:tc>
        <w:tc>
          <w:tcPr>
            <w:tcW w:w="3580" w:type="dxa"/>
            <w:vAlign w:val="bottom"/>
            <w:gridSpan w:val="4"/>
          </w:tcPr>
          <w:p>
            <w:pPr>
              <w:jc w:val="right"/>
              <w:ind w:right="1091"/>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September 30, 2017</w:t>
            </w:r>
          </w:p>
        </w:tc>
        <w:tc>
          <w:tcPr>
            <w:tcW w:w="200" w:type="dxa"/>
            <w:vAlign w:val="bottom"/>
          </w:tcPr>
          <w:p>
            <w:pPr>
              <w:spacing w:after="0"/>
              <w:rPr>
                <w:sz w:val="20"/>
                <w:szCs w:val="20"/>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September 9, 2016</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September 30, 2017</w:t>
            </w:r>
          </w:p>
        </w:tc>
        <w:tc>
          <w:tcPr>
            <w:tcW w:w="200" w:type="dxa"/>
            <w:vAlign w:val="bottom"/>
          </w:tcPr>
          <w:p>
            <w:pPr>
              <w:spacing w:after="0"/>
              <w:rPr>
                <w:sz w:val="20"/>
                <w:szCs w:val="20"/>
                <w:color w:val="auto"/>
              </w:rPr>
            </w:pPr>
          </w:p>
        </w:tc>
        <w:tc>
          <w:tcPr>
            <w:tcW w:w="1620" w:type="dxa"/>
            <w:vAlign w:val="bottom"/>
          </w:tcPr>
          <w:p>
            <w:pPr>
              <w:jc w:val="right"/>
              <w:ind w:right="191"/>
              <w:spacing w:after="0"/>
              <w:rPr>
                <w:sz w:val="20"/>
                <w:szCs w:val="20"/>
                <w:color w:val="auto"/>
              </w:rPr>
            </w:pPr>
            <w:r>
              <w:rPr>
                <w:rFonts w:ascii="Arial" w:cs="Arial" w:eastAsia="Arial" w:hAnsi="Arial"/>
                <w:sz w:val="16"/>
                <w:szCs w:val="16"/>
                <w:b w:val="1"/>
                <w:bCs w:val="1"/>
                <w:color w:val="auto"/>
                <w:w w:val="93"/>
              </w:rPr>
              <w:t>September 9, 2016</w:t>
            </w:r>
          </w:p>
        </w:tc>
      </w:tr>
      <w:tr>
        <w:trPr>
          <w:trHeight w:val="297"/>
        </w:trPr>
        <w:tc>
          <w:tcPr>
            <w:tcW w:w="3780" w:type="dxa"/>
            <w:vAlign w:val="bottom"/>
            <w:gridSpan w:val="4"/>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4"/>
                <w:szCs w:val="24"/>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(92 days)</w:t>
            </w:r>
          </w:p>
        </w:tc>
        <w:tc>
          <w:tcPr>
            <w:tcW w:w="200" w:type="dxa"/>
            <w:vAlign w:val="bottom"/>
          </w:tcPr>
          <w:p>
            <w:pPr>
              <w:spacing w:after="0"/>
              <w:rPr>
                <w:sz w:val="24"/>
                <w:szCs w:val="24"/>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(84 days)</w:t>
            </w:r>
          </w:p>
        </w:tc>
        <w:tc>
          <w:tcPr>
            <w:tcW w:w="180" w:type="dxa"/>
            <w:vAlign w:val="bottom"/>
          </w:tcPr>
          <w:p>
            <w:pPr>
              <w:spacing w:after="0"/>
              <w:rPr>
                <w:sz w:val="24"/>
                <w:szCs w:val="2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(274 days)</w:t>
            </w:r>
          </w:p>
        </w:tc>
        <w:tc>
          <w:tcPr>
            <w:tcW w:w="200" w:type="dxa"/>
            <w:vAlign w:val="bottom"/>
          </w:tcPr>
          <w:p>
            <w:pPr>
              <w:spacing w:after="0"/>
              <w:rPr>
                <w:sz w:val="24"/>
                <w:szCs w:val="24"/>
                <w:color w:val="auto"/>
              </w:rPr>
            </w:pPr>
          </w:p>
        </w:tc>
        <w:tc>
          <w:tcPr>
            <w:tcW w:w="1620" w:type="dxa"/>
            <w:vAlign w:val="bottom"/>
          </w:tcPr>
          <w:p>
            <w:pPr>
              <w:jc w:val="right"/>
              <w:ind w:right="511"/>
              <w:spacing w:after="0"/>
              <w:rPr>
                <w:sz w:val="20"/>
                <w:szCs w:val="20"/>
                <w:color w:val="auto"/>
              </w:rPr>
            </w:pPr>
            <w:r>
              <w:rPr>
                <w:rFonts w:ascii="Arial" w:cs="Arial" w:eastAsia="Arial" w:hAnsi="Arial"/>
                <w:sz w:val="14"/>
                <w:szCs w:val="14"/>
                <w:b w:val="1"/>
                <w:bCs w:val="1"/>
                <w:color w:val="auto"/>
              </w:rPr>
              <w:t>(252 days)</w:t>
            </w:r>
          </w:p>
        </w:tc>
      </w:tr>
      <w:tr>
        <w:trPr>
          <w:trHeight w:val="250"/>
        </w:trPr>
        <w:tc>
          <w:tcPr>
            <w:tcW w:w="3780" w:type="dxa"/>
            <w:vAlign w:val="bottom"/>
            <w:tcBorders>
              <w:top w:val="single" w:sz="8" w:color="CCEEFF"/>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780" w:type="dxa"/>
            <w:vAlign w:val="bottom"/>
            <w:gridSpan w:val="4"/>
          </w:tcPr>
          <w:p>
            <w:pPr>
              <w:ind w:left="380"/>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11,362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10,010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32,378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26,645</w:t>
            </w: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Resort management and other services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8,594</w:t>
            </w:r>
          </w:p>
        </w:tc>
      </w:tr>
      <w:tr>
        <w:trPr>
          <w:trHeight w:val="243"/>
        </w:trPr>
        <w:tc>
          <w:tcPr>
            <w:tcW w:w="3780" w:type="dxa"/>
            <w:vAlign w:val="bottom"/>
            <w:gridSpan w:val="4"/>
          </w:tcPr>
          <w:p>
            <w:pPr>
              <w:ind w:left="380"/>
              <w:spacing w:after="0"/>
              <w:rPr>
                <w:sz w:val="20"/>
                <w:szCs w:val="20"/>
                <w:color w:val="auto"/>
              </w:rPr>
            </w:pPr>
            <w:r>
              <w:rPr>
                <w:rFonts w:ascii="Arial" w:cs="Arial" w:eastAsia="Arial" w:hAnsi="Arial"/>
                <w:sz w:val="18"/>
                <w:szCs w:val="18"/>
                <w:color w:val="auto"/>
              </w:rPr>
              <w:t>Financing</w:t>
            </w:r>
          </w:p>
        </w:tc>
        <w:tc>
          <w:tcPr>
            <w:tcW w:w="1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3,350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2,906</w:t>
            </w: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Rental</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12,773</w:t>
            </w:r>
          </w:p>
        </w:tc>
      </w:tr>
      <w:tr>
        <w:trPr>
          <w:trHeight w:val="243"/>
        </w:trPr>
        <w:tc>
          <w:tcPr>
            <w:tcW w:w="3780" w:type="dxa"/>
            <w:vAlign w:val="bottom"/>
            <w:gridSpan w:val="4"/>
          </w:tcPr>
          <w:p>
            <w:pPr>
              <w:ind w:left="380"/>
              <w:spacing w:after="0"/>
              <w:rPr>
                <w:sz w:val="20"/>
                <w:szCs w:val="20"/>
                <w:color w:val="auto"/>
              </w:rPr>
            </w:pPr>
            <w:r>
              <w:rPr>
                <w:rFonts w:ascii="Arial" w:cs="Arial" w:eastAsia="Arial" w:hAnsi="Arial"/>
                <w:sz w:val="18"/>
                <w:szCs w:val="18"/>
                <w:color w:val="auto"/>
              </w:rPr>
              <w:t>Cost reimbursements</w:t>
            </w:r>
          </w:p>
        </w:tc>
        <w:tc>
          <w:tcPr>
            <w:tcW w:w="1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2,584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2,250</w:t>
            </w:r>
          </w:p>
        </w:tc>
      </w:tr>
      <w:tr>
        <w:trPr>
          <w:trHeight w:val="27"/>
        </w:trPr>
        <w:tc>
          <w:tcPr>
            <w:tcW w:w="5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5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7"/>
                <w:shd w:val="clear" w:color="auto" w:fill="CCEEFF"/>
              </w:rPr>
              <w:t>TOTAL REVENUES</w:t>
            </w:r>
          </w:p>
        </w:tc>
        <w:tc>
          <w:tcPr>
            <w:tcW w:w="16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16,952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50,482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53,168</w:t>
            </w:r>
          </w:p>
        </w:tc>
      </w:tr>
      <w:tr>
        <w:trPr>
          <w:trHeight w:val="223"/>
        </w:trPr>
        <w:tc>
          <w:tcPr>
            <w:tcW w:w="3780" w:type="dxa"/>
            <w:vAlign w:val="bottom"/>
            <w:gridSpan w:val="4"/>
          </w:tcPr>
          <w:p>
            <w:pPr>
              <w:ind w:left="40"/>
              <w:spacing w:after="0"/>
              <w:rPr>
                <w:sz w:val="20"/>
                <w:szCs w:val="20"/>
                <w:color w:val="auto"/>
              </w:rPr>
            </w:pPr>
            <w:r>
              <w:rPr>
                <w:rFonts w:ascii="Arial" w:cs="Arial" w:eastAsia="Arial" w:hAnsi="Arial"/>
                <w:sz w:val="18"/>
                <w:szCs w:val="18"/>
                <w:b w:val="1"/>
                <w:bCs w:val="1"/>
                <w:color w:val="auto"/>
              </w:rPr>
              <w:t>EXPENSES</w:t>
            </w:r>
          </w:p>
        </w:tc>
        <w:tc>
          <w:tcPr>
            <w:tcW w:w="18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r>
      <w:tr>
        <w:trPr>
          <w:trHeight w:val="41"/>
        </w:trPr>
        <w:tc>
          <w:tcPr>
            <w:tcW w:w="5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250"/>
        </w:trPr>
        <w:tc>
          <w:tcPr>
            <w:tcW w:w="378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5,018</w:t>
            </w:r>
          </w:p>
        </w:tc>
      </w:tr>
      <w:tr>
        <w:trPr>
          <w:trHeight w:val="243"/>
        </w:trPr>
        <w:tc>
          <w:tcPr>
            <w:tcW w:w="3780" w:type="dxa"/>
            <w:vAlign w:val="bottom"/>
            <w:gridSpan w:val="4"/>
          </w:tcPr>
          <w:p>
            <w:pPr>
              <w:ind w:left="380"/>
              <w:spacing w:after="0"/>
              <w:rPr>
                <w:sz w:val="20"/>
                <w:szCs w:val="20"/>
                <w:color w:val="auto"/>
              </w:rPr>
            </w:pPr>
            <w:r>
              <w:rPr>
                <w:rFonts w:ascii="Arial" w:cs="Arial" w:eastAsia="Arial" w:hAnsi="Arial"/>
                <w:sz w:val="18"/>
                <w:szCs w:val="18"/>
                <w:color w:val="auto"/>
              </w:rPr>
              <w:t>Marketing and sales</w:t>
            </w:r>
          </w:p>
        </w:tc>
        <w:tc>
          <w:tcPr>
            <w:tcW w:w="1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8,754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7,166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25,672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20,072</w:t>
            </w: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Resort management and other services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8,546</w:t>
            </w:r>
          </w:p>
        </w:tc>
      </w:tr>
      <w:tr>
        <w:trPr>
          <w:trHeight w:val="243"/>
        </w:trPr>
        <w:tc>
          <w:tcPr>
            <w:tcW w:w="3780" w:type="dxa"/>
            <w:vAlign w:val="bottom"/>
            <w:gridSpan w:val="4"/>
          </w:tcPr>
          <w:p>
            <w:pPr>
              <w:ind w:left="380"/>
              <w:spacing w:after="0"/>
              <w:rPr>
                <w:sz w:val="20"/>
                <w:szCs w:val="20"/>
                <w:color w:val="auto"/>
              </w:rPr>
            </w:pPr>
            <w:r>
              <w:rPr>
                <w:rFonts w:ascii="Arial" w:cs="Arial" w:eastAsia="Arial" w:hAnsi="Arial"/>
                <w:sz w:val="18"/>
                <w:szCs w:val="18"/>
                <w:color w:val="auto"/>
              </w:rPr>
              <w:t>Rental</w:t>
            </w:r>
          </w:p>
        </w:tc>
        <w:tc>
          <w:tcPr>
            <w:tcW w:w="1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3,902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3,330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12,136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15,884</w:t>
            </w: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Royalty fee</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w:t>
            </w:r>
          </w:p>
        </w:tc>
      </w:tr>
      <w:tr>
        <w:trPr>
          <w:trHeight w:val="243"/>
        </w:trPr>
        <w:tc>
          <w:tcPr>
            <w:tcW w:w="3780" w:type="dxa"/>
            <w:vAlign w:val="bottom"/>
            <w:gridSpan w:val="4"/>
          </w:tcPr>
          <w:p>
            <w:pPr>
              <w:ind w:left="380"/>
              <w:spacing w:after="0"/>
              <w:rPr>
                <w:sz w:val="20"/>
                <w:szCs w:val="20"/>
                <w:color w:val="auto"/>
              </w:rPr>
            </w:pPr>
            <w:r>
              <w:rPr>
                <w:rFonts w:ascii="Arial" w:cs="Arial" w:eastAsia="Arial" w:hAnsi="Arial"/>
                <w:sz w:val="18"/>
                <w:szCs w:val="18"/>
                <w:color w:val="auto"/>
              </w:rPr>
              <w:t>Cost reimbursements</w:t>
            </w:r>
          </w:p>
        </w:tc>
        <w:tc>
          <w:tcPr>
            <w:tcW w:w="1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2,584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2,250</w:t>
            </w:r>
          </w:p>
        </w:tc>
      </w:tr>
      <w:tr>
        <w:trPr>
          <w:trHeight w:val="27"/>
        </w:trPr>
        <w:tc>
          <w:tcPr>
            <w:tcW w:w="5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5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6"/>
                <w:shd w:val="clear" w:color="auto" w:fill="CCEEFF"/>
              </w:rPr>
              <w:t>TOTAL EXPENSES</w:t>
            </w:r>
          </w:p>
        </w:tc>
        <w:tc>
          <w:tcPr>
            <w:tcW w:w="170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17,425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51,005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52,334</w:t>
            </w:r>
          </w:p>
        </w:tc>
      </w:tr>
      <w:tr>
        <w:trPr>
          <w:trHeight w:val="237"/>
        </w:trPr>
        <w:tc>
          <w:tcPr>
            <w:tcW w:w="3780" w:type="dxa"/>
            <w:vAlign w:val="bottom"/>
            <w:gridSpan w:val="4"/>
          </w:tcPr>
          <w:p>
            <w:pPr>
              <w:ind w:left="40"/>
              <w:spacing w:after="0"/>
              <w:rPr>
                <w:sz w:val="20"/>
                <w:szCs w:val="20"/>
                <w:color w:val="auto"/>
              </w:rPr>
            </w:pPr>
            <w:r>
              <w:rPr>
                <w:rFonts w:ascii="Arial" w:cs="Arial" w:eastAsia="Arial" w:hAnsi="Arial"/>
                <w:sz w:val="18"/>
                <w:szCs w:val="18"/>
                <w:color w:val="auto"/>
                <w:w w:val="98"/>
              </w:rPr>
              <w:t>Gains (losses) and other income (expense), net</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(1,008)</w:t>
            </w: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37"/>
        </w:trPr>
        <w:tc>
          <w:tcPr>
            <w:tcW w:w="3780" w:type="dxa"/>
            <w:vAlign w:val="bottom"/>
            <w:gridSpan w:val="4"/>
          </w:tcPr>
          <w:p>
            <w:pPr>
              <w:ind w:left="40"/>
              <w:spacing w:after="0"/>
              <w:rPr>
                <w:sz w:val="20"/>
                <w:szCs w:val="20"/>
                <w:color w:val="auto"/>
              </w:rPr>
            </w:pPr>
            <w:r>
              <w:rPr>
                <w:rFonts w:ascii="Arial" w:cs="Arial" w:eastAsia="Arial" w:hAnsi="Arial"/>
                <w:sz w:val="18"/>
                <w:szCs w:val="18"/>
                <w:b w:val="1"/>
                <w:bCs w:val="1"/>
                <w:color w:val="auto"/>
              </w:rPr>
              <w:t>SEGMENT FINANCIAL RESULTS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w:t>
            </w: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662"/>
        <w:spacing w:after="0" w:line="255" w:lineRule="auto"/>
        <w:rPr>
          <w:sz w:val="20"/>
          <w:szCs w:val="20"/>
          <w:color w:val="auto"/>
        </w:rPr>
      </w:pPr>
      <w:r>
        <w:rPr>
          <w:rFonts w:ascii="Arial" w:cs="Arial" w:eastAsia="Arial" w:hAnsi="Arial"/>
          <w:sz w:val="18"/>
          <w:szCs w:val="18"/>
          <w:color w:val="auto"/>
        </w:rPr>
        <w:t>In our Asia Pacific segment, we continue to identify opportunities for development margin growth and improvement. We plan to continue to focus on future inventory acquisitions with strong on-site sales locations. In 2015, we purchased an operating property located in Surfers Paradise, Australia and in 2016, we sold the portion of this operating property that we did not intend to convert to vacation ownership inventory and converted the remaining portion of this operating property to vacation ownership inventory, a portion of which was contributed to our points-based programs within this segment. We began selling from this new location at the end of the 2016 first quarter. During the 2017 third quarter, we completed the purchase of 51 completed vacation ownership units, as well as a sales gallery and related amenities and infrastructure, in Bali, Indonesia. We expect to begin selling from this new location in the coming months.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2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 2017</w:t>
            </w:r>
          </w:p>
        </w:tc>
        <w:tc>
          <w:tcPr>
            <w:tcW w:w="200" w:type="dxa"/>
            <w:vAlign w:val="bottom"/>
          </w:tcPr>
          <w:p>
            <w:pPr>
              <w:spacing w:after="0"/>
              <w:rPr>
                <w:sz w:val="20"/>
                <w:szCs w:val="20"/>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480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4"/>
                <w:szCs w:val="24"/>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(92 days)</w:t>
            </w:r>
          </w:p>
        </w:tc>
        <w:tc>
          <w:tcPr>
            <w:tcW w:w="200" w:type="dxa"/>
            <w:vAlign w:val="bottom"/>
          </w:tcPr>
          <w:p>
            <w:pPr>
              <w:spacing w:after="0"/>
              <w:rPr>
                <w:sz w:val="24"/>
                <w:szCs w:val="2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(84 days)</w:t>
            </w:r>
          </w:p>
        </w:tc>
        <w:tc>
          <w:tcPr>
            <w:tcW w:w="240" w:type="dxa"/>
            <w:vAlign w:val="bottom"/>
          </w:tcPr>
          <w:p>
            <w:pPr>
              <w:spacing w:after="0"/>
              <w:rPr>
                <w:sz w:val="24"/>
                <w:szCs w:val="24"/>
                <w:color w:val="auto"/>
              </w:rPr>
            </w:pPr>
          </w:p>
        </w:tc>
        <w:tc>
          <w:tcPr>
            <w:tcW w:w="1000" w:type="dxa"/>
            <w:vAlign w:val="bottom"/>
          </w:tcPr>
          <w:p>
            <w:pPr>
              <w:jc w:val="right"/>
              <w:ind w:right="273"/>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Contract sales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Vacation ownership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7"/>
              <w:spacing w:after="0"/>
              <w:rPr>
                <w:sz w:val="20"/>
                <w:szCs w:val="20"/>
                <w:color w:val="auto"/>
              </w:rPr>
            </w:pPr>
            <w:r>
              <w:rPr>
                <w:rFonts w:ascii="Arial" w:cs="Arial" w:eastAsia="Arial" w:hAnsi="Arial"/>
                <w:sz w:val="18"/>
                <w:szCs w:val="18"/>
                <w:color w:val="auto"/>
              </w:rPr>
              <w:t>12,569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11,169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1,400</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13%</w:t>
            </w:r>
          </w:p>
        </w:tc>
      </w:tr>
      <w:tr>
        <w:trPr>
          <w:trHeight w:val="27"/>
        </w:trPr>
        <w:tc>
          <w:tcPr>
            <w:tcW w:w="4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shd w:val="clear" w:color="auto" w:fill="CCEEFF"/>
              </w:rPr>
              <w:t>Total contract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12,569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11,169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1,400</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increase in Asia Pacific vacation ownership contract sales was driven by a 37 percent increase in tours, partially offset by an 18 percent decrease in VPG. The increase in tours included an increase of approximately 14 percent due to the change in the financial reporting calendar in 2017, a 15 percent increase from the new sales location in Surfers Paradise, Australia and an 8 percent increase at the existing sales locations. The decrease in VPG was driven by an increase in sales to first time buyers, which generally have a lower VPG than sales to existing owners. Contract sales at the new sales location in Surfers Paradise, Australia are not reported as sale of vacation ownership products until closing.</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5" w:right="2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040"/>
              <w:spacing w:after="0"/>
              <w:rPr>
                <w:sz w:val="20"/>
                <w:szCs w:val="20"/>
                <w:color w:val="auto"/>
              </w:rPr>
            </w:pPr>
            <w:r>
              <w:rPr>
                <w:rFonts w:ascii="Arial" w:cs="Arial" w:eastAsia="Arial" w:hAnsi="Arial"/>
                <w:sz w:val="16"/>
                <w:szCs w:val="16"/>
                <w:b w:val="1"/>
                <w:bCs w:val="1"/>
                <w:color w:val="auto"/>
              </w:rPr>
              <w:t>Year to Date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 2017</w:t>
            </w:r>
          </w:p>
        </w:tc>
        <w:tc>
          <w:tcPr>
            <w:tcW w:w="200" w:type="dxa"/>
            <w:vAlign w:val="bottom"/>
          </w:tcPr>
          <w:p>
            <w:pPr>
              <w:spacing w:after="0"/>
              <w:rPr>
                <w:sz w:val="20"/>
                <w:szCs w:val="20"/>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480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4"/>
                <w:szCs w:val="24"/>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(274 days)</w:t>
            </w:r>
          </w:p>
        </w:tc>
        <w:tc>
          <w:tcPr>
            <w:tcW w:w="200" w:type="dxa"/>
            <w:vAlign w:val="bottom"/>
          </w:tcPr>
          <w:p>
            <w:pPr>
              <w:spacing w:after="0"/>
              <w:rPr>
                <w:sz w:val="24"/>
                <w:szCs w:val="24"/>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(252 days)</w:t>
            </w:r>
          </w:p>
        </w:tc>
        <w:tc>
          <w:tcPr>
            <w:tcW w:w="240" w:type="dxa"/>
            <w:vAlign w:val="bottom"/>
          </w:tcPr>
          <w:p>
            <w:pPr>
              <w:spacing w:after="0"/>
              <w:rPr>
                <w:sz w:val="24"/>
                <w:szCs w:val="24"/>
                <w:color w:val="auto"/>
              </w:rPr>
            </w:pPr>
          </w:p>
        </w:tc>
        <w:tc>
          <w:tcPr>
            <w:tcW w:w="1000" w:type="dxa"/>
            <w:vAlign w:val="bottom"/>
          </w:tcPr>
          <w:p>
            <w:pPr>
              <w:jc w:val="right"/>
              <w:ind w:right="273"/>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Contract sales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Vacation ownership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ind w:left="1060"/>
              <w:spacing w:after="0"/>
              <w:rPr>
                <w:sz w:val="20"/>
                <w:szCs w:val="20"/>
                <w:color w:val="auto"/>
              </w:rPr>
            </w:pPr>
            <w:r>
              <w:rPr>
                <w:rFonts w:ascii="Arial" w:cs="Arial" w:eastAsia="Arial" w:hAnsi="Arial"/>
                <w:sz w:val="18"/>
                <w:szCs w:val="18"/>
                <w:color w:val="auto"/>
              </w:rPr>
              <w:t>36,131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31,049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5,082</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16%</w:t>
            </w:r>
          </w:p>
        </w:tc>
      </w:tr>
      <w:tr>
        <w:trPr>
          <w:trHeight w:val="27"/>
        </w:trPr>
        <w:tc>
          <w:tcPr>
            <w:tcW w:w="4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shd w:val="clear" w:color="auto" w:fill="CCEEFF"/>
              </w:rPr>
              <w:t>Total contract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36,131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31,049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5,082</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increase in Asia Pacific vacation ownership contract sales was driven by a 45 percent increase in tours, partially offset by a 20 percent decrease in VPG. The increase in tours included an increase of approximately 13 percent due to the change in the financial reporting calendar in 2017, a 26 percent increase from the new sales location in Surfers Paradise, Australia and a 6 percent increase at the existing sales locations. The decrease in VPG was driven by an increase in sales to first time buyers, which generally have a lower VPG than sales to existing owners. Contract sales at the new sales location in Surfers Paradise, Australia are not reported as sale of vacation ownership products until closing.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2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(92 days)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Contract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1,400</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13%</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Reportability</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Sales reserve</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80"/>
              <w:spacing w:after="0" w:line="230" w:lineRule="exact"/>
              <w:rPr>
                <w:sz w:val="20"/>
                <w:szCs w:val="20"/>
                <w:color w:val="auto"/>
              </w:rPr>
            </w:pPr>
            <w:r>
              <w:rPr>
                <w:rFonts w:ascii="Arial" w:cs="Arial" w:eastAsia="Arial" w:hAnsi="Arial"/>
                <w:sz w:val="18"/>
                <w:szCs w:val="18"/>
                <w:color w:val="auto"/>
                <w:shd w:val="clear" w:color="auto" w:fill="CCEEFF"/>
              </w:rPr>
              <w:t>Other</w:t>
            </w:r>
            <w:r>
              <w:rPr>
                <w:rFonts w:ascii="Arial" w:cs="Arial" w:eastAsia="Arial" w:hAnsi="Arial"/>
                <w:sz w:val="21"/>
                <w:szCs w:val="21"/>
                <w:color w:val="auto"/>
                <w:vertAlign w:val="superscript"/>
                <w:shd w:val="clear" w:color="auto" w:fill="CCEEFF"/>
              </w:rPr>
              <w:t>(1)</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11,362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10,010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1,352</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14%</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3020" w:hanging="652"/>
        <w:spacing w:after="0" w:line="393" w:lineRule="auto"/>
        <w:tabs>
          <w:tab w:leader="none" w:pos="660"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Adjustment for sales incentives that will not be recognized as Sale of vacation ownership products revenue. The decrease in the sales reserve was due to a favorable sales reserve adjustment in the 2017 third quarter.</w:t>
      </w:r>
    </w:p>
    <w:p>
      <w:pPr>
        <w:spacing w:after="0" w:line="40" w:lineRule="exact"/>
        <w:rPr>
          <w:rFonts w:ascii="Arial" w:cs="Arial" w:eastAsia="Arial" w:hAnsi="Arial"/>
          <w:sz w:val="22"/>
          <w:szCs w:val="22"/>
          <w:color w:val="auto"/>
          <w:vertAlign w:val="superscript"/>
        </w:rPr>
      </w:pPr>
    </w:p>
    <w:p>
      <w:pPr>
        <w:ind w:left="660"/>
        <w:spacing w:after="0"/>
        <w:rPr>
          <w:rFonts w:ascii="Arial" w:cs="Arial" w:eastAsia="Arial" w:hAnsi="Arial"/>
          <w:sz w:val="22"/>
          <w:szCs w:val="22"/>
          <w:color w:val="auto"/>
          <w:vertAlign w:val="superscript"/>
        </w:rPr>
      </w:pPr>
      <w:r>
        <w:rPr>
          <w:rFonts w:ascii="Arial" w:cs="Arial" w:eastAsia="Arial" w:hAnsi="Arial"/>
          <w:sz w:val="18"/>
          <w:szCs w:val="18"/>
          <w:i w:val="1"/>
          <w:iCs w:val="1"/>
          <w:color w:val="auto"/>
        </w:rPr>
        <w:t>2017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060"/>
              <w:spacing w:after="0"/>
              <w:rPr>
                <w:sz w:val="20"/>
                <w:szCs w:val="20"/>
                <w:color w:val="auto"/>
              </w:rPr>
            </w:pPr>
            <w:r>
              <w:rPr>
                <w:rFonts w:ascii="Arial" w:cs="Arial" w:eastAsia="Arial" w:hAnsi="Arial"/>
                <w:sz w:val="16"/>
                <w:szCs w:val="16"/>
                <w:b w:val="1"/>
                <w:bCs w:val="1"/>
                <w:color w:val="auto"/>
              </w:rPr>
              <w:t>Year to Date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(274 days)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(252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Contract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5,082</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Reportability</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Sales reserve</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(2,827)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80"/>
              <w:spacing w:after="0" w:line="230" w:lineRule="exact"/>
              <w:rPr>
                <w:sz w:val="20"/>
                <w:szCs w:val="20"/>
                <w:color w:val="auto"/>
              </w:rPr>
            </w:pPr>
            <w:r>
              <w:rPr>
                <w:rFonts w:ascii="Arial" w:cs="Arial" w:eastAsia="Arial" w:hAnsi="Arial"/>
                <w:sz w:val="18"/>
                <w:szCs w:val="18"/>
                <w:color w:val="auto"/>
                <w:shd w:val="clear" w:color="auto" w:fill="CCEEFF"/>
              </w:rPr>
              <w:t>Other</w:t>
            </w:r>
            <w:r>
              <w:rPr>
                <w:rFonts w:ascii="Arial" w:cs="Arial" w:eastAsia="Arial" w:hAnsi="Arial"/>
                <w:sz w:val="21"/>
                <w:szCs w:val="21"/>
                <w:color w:val="auto"/>
                <w:vertAlign w:val="superscript"/>
                <w:shd w:val="clear" w:color="auto" w:fill="CCEEFF"/>
              </w:rPr>
              <w:t>(1)</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32,378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26,645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5,733</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22%</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9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Revenue reportability had an unfavorable $0.4 million impact in the 2017 first three quarters compared to an unfavorable $0.5 million impact in the 2016 first three quarters. The decrease in the sales reserve was due to an unfavorable sales reserve adjustment made in the 2016 second quarter to correct an immaterial error with respect to historical static pool data and a favorable sales reserve adjustment in the 2017 third quarter, partially offset by the higher vacation ownership contract sales.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2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1"/>
        </w:trPr>
        <w:tc>
          <w:tcPr>
            <w:tcW w:w="4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9, 2016</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97"/>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(92 days)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Sale of vacation ownership products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1,352</w:t>
            </w:r>
          </w:p>
        </w:tc>
        <w:tc>
          <w:tcPr>
            <w:tcW w:w="11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14%</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(975)</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(57%)</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Marketing and sales</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1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(22%)</w:t>
            </w:r>
          </w:p>
        </w:tc>
      </w:tr>
      <w:tr>
        <w:trPr>
          <w:trHeight w:val="297"/>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1,132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114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2"/>
              </w:rPr>
              <w:t>(107%)</w:t>
            </w:r>
          </w:p>
        </w:tc>
      </w:tr>
      <w:tr>
        <w:trPr>
          <w:trHeight w:val="190"/>
        </w:trPr>
        <w:tc>
          <w:tcPr>
            <w:tcW w:w="492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shd w:val="clear" w:color="auto" w:fill="CCEEFF"/>
              </w:rPr>
              <w:t>Development margin percentage</w:t>
            </w: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354"/>
              <w:spacing w:after="0" w:line="189" w:lineRule="exact"/>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354"/>
              <w:spacing w:after="0" w:line="189" w:lineRule="exact"/>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11"/>
              <w:spacing w:after="0" w:line="189" w:lineRule="exact"/>
              <w:rPr>
                <w:sz w:val="20"/>
                <w:szCs w:val="20"/>
                <w:color w:val="auto"/>
              </w:rPr>
            </w:pPr>
            <w:r>
              <w:rPr>
                <w:rFonts w:ascii="Arial" w:cs="Arial" w:eastAsia="Arial" w:hAnsi="Arial"/>
                <w:sz w:val="18"/>
                <w:szCs w:val="18"/>
                <w:color w:val="auto"/>
              </w:rPr>
              <w:t>(12.0 pts)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68"/>
        </w:trPr>
        <w:tc>
          <w:tcPr>
            <w:tcW w:w="49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decrease in development margin reflected higher marketing and sales costs due to the shift to more first time buyer tours and lower favorable product cost true-up activity, partially offset by the higher vacation ownership contract sales volume net of the sales reserve and direct variable expenses (i.e., cost of vacation ownership products and marketing and sales).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060"/>
              <w:spacing w:after="0"/>
              <w:rPr>
                <w:sz w:val="20"/>
                <w:szCs w:val="20"/>
                <w:color w:val="auto"/>
              </w:rPr>
            </w:pPr>
            <w:r>
              <w:rPr>
                <w:rFonts w:ascii="Arial" w:cs="Arial" w:eastAsia="Arial" w:hAnsi="Arial"/>
                <w:sz w:val="16"/>
                <w:szCs w:val="16"/>
                <w:b w:val="1"/>
                <w:bCs w:val="1"/>
                <w:color w:val="auto"/>
              </w:rPr>
              <w:t>Year to Date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4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97"/>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(274 days)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(252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Sale of vacation ownership products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32,378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5,733</w:t>
            </w:r>
          </w:p>
        </w:tc>
        <w:tc>
          <w:tcPr>
            <w:tcW w:w="136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22%</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(6,642)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(5,018)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(1,624)</w:t>
            </w:r>
          </w:p>
        </w:tc>
        <w:tc>
          <w:tcPr>
            <w:tcW w:w="1360" w:type="dxa"/>
            <w:vAlign w:val="bottom"/>
            <w:gridSpan w:val="2"/>
          </w:tcPr>
          <w:p>
            <w:pPr>
              <w:jc w:val="right"/>
              <w:ind w:right="319"/>
              <w:spacing w:after="0"/>
              <w:rPr>
                <w:sz w:val="20"/>
                <w:szCs w:val="20"/>
                <w:color w:val="auto"/>
              </w:rPr>
            </w:pPr>
            <w:r>
              <w:rPr>
                <w:rFonts w:ascii="Arial" w:cs="Arial" w:eastAsia="Arial" w:hAnsi="Arial"/>
                <w:sz w:val="18"/>
                <w:szCs w:val="18"/>
                <w:color w:val="auto"/>
              </w:rPr>
              <w:t>(32%)</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Marketing and sales</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(20,072)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1360" w:type="dxa"/>
            <w:vAlign w:val="bottom"/>
            <w:tcBorders>
              <w:bottom w:val="single" w:sz="8" w:color="CCEEFF"/>
            </w:tcBorders>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(28%)</w:t>
            </w:r>
          </w:p>
        </w:tc>
      </w:tr>
      <w:tr>
        <w:trPr>
          <w:trHeight w:val="297"/>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1,555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1360" w:type="dxa"/>
            <w:vAlign w:val="bottom"/>
            <w:tcBorders>
              <w:bottom w:val="single" w:sz="8" w:color="CCEEFF"/>
            </w:tcBorders>
            <w:gridSpan w:val="2"/>
          </w:tcPr>
          <w:p>
            <w:pPr>
              <w:jc w:val="right"/>
              <w:ind w:right="319"/>
              <w:spacing w:after="0"/>
              <w:rPr>
                <w:sz w:val="20"/>
                <w:szCs w:val="20"/>
                <w:color w:val="auto"/>
              </w:rPr>
            </w:pPr>
            <w:r>
              <w:rPr>
                <w:rFonts w:ascii="Arial" w:cs="Arial" w:eastAsia="Arial" w:hAnsi="Arial"/>
                <w:sz w:val="18"/>
                <w:szCs w:val="18"/>
                <w:color w:val="auto"/>
              </w:rPr>
              <w:t>(96%)</w:t>
            </w:r>
          </w:p>
        </w:tc>
      </w:tr>
      <w:tr>
        <w:trPr>
          <w:trHeight w:val="190"/>
        </w:trPr>
        <w:tc>
          <w:tcPr>
            <w:tcW w:w="492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shd w:val="clear" w:color="auto" w:fill="CCEEFF"/>
              </w:rPr>
              <w:t>Development margin percentage</w:t>
            </w: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374"/>
              <w:spacing w:after="0" w:line="189" w:lineRule="exact"/>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434"/>
              <w:spacing w:after="0" w:line="189" w:lineRule="exact"/>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71"/>
              <w:spacing w:after="0" w:line="189" w:lineRule="exact"/>
              <w:rPr>
                <w:sz w:val="20"/>
                <w:szCs w:val="20"/>
                <w:color w:val="auto"/>
              </w:rPr>
            </w:pPr>
            <w:r>
              <w:rPr>
                <w:rFonts w:ascii="Arial" w:cs="Arial" w:eastAsia="Arial" w:hAnsi="Arial"/>
                <w:sz w:val="18"/>
                <w:szCs w:val="18"/>
                <w:color w:val="auto"/>
              </w:rPr>
              <w:t>(5.6 pts)</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68"/>
        </w:trPr>
        <w:tc>
          <w:tcPr>
            <w:tcW w:w="49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decrease in development margin reflected higher marketing and sales costs due to the shift to more first time buyer tours and lower favorable product cost true-up activity, partially offset by the higher vacation ownership contract sales volume net of the sales reserve and direct variable expenses (i.e., cost of vacation ownership products and marketing and sales).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2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4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97"/>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(92 days)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Management fee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16%</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Ancillary revenues</w:t>
            </w:r>
          </w:p>
        </w:tc>
        <w:tc>
          <w:tcPr>
            <w:tcW w:w="18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(100%)</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services revenues</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54%</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1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25%</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Resort management and other services expenses</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(27%)</w:t>
            </w:r>
          </w:p>
        </w:tc>
      </w:tr>
      <w:tr>
        <w:trPr>
          <w:trHeight w:val="297"/>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36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1"/>
              </w:rPr>
              <w:t>(45%)</w:t>
            </w:r>
          </w:p>
        </w:tc>
      </w:tr>
      <w:tr>
        <w:trPr>
          <w:trHeight w:val="190"/>
        </w:trPr>
        <w:tc>
          <w:tcPr>
            <w:tcW w:w="492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shd w:val="clear" w:color="auto" w:fill="CCEEFF"/>
              </w:rPr>
              <w:t>Resort management and other services margin percentage</w:t>
            </w: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374"/>
              <w:spacing w:after="0" w:line="189" w:lineRule="exact"/>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453"/>
              <w:spacing w:after="0" w:line="189" w:lineRule="exact"/>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71"/>
              <w:spacing w:after="0" w:line="189" w:lineRule="exact"/>
              <w:rPr>
                <w:sz w:val="20"/>
                <w:szCs w:val="20"/>
                <w:color w:val="auto"/>
              </w:rPr>
            </w:pPr>
            <w:r>
              <w:rPr>
                <w:rFonts w:ascii="Arial" w:cs="Arial" w:eastAsia="Arial" w:hAnsi="Arial"/>
                <w:sz w:val="18"/>
                <w:szCs w:val="18"/>
                <w:color w:val="auto"/>
              </w:rPr>
              <w:t>(1.6 pts)</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68"/>
        </w:trPr>
        <w:tc>
          <w:tcPr>
            <w:tcW w:w="49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r>
    </w:tbl>
    <w:p>
      <w:pPr>
        <w:spacing w:after="0" w:line="202"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The increase in resort management and other services revenues reflected $0.1 million of higher management fees and $0.1 million of higher other services revenues. The slight decline in the resort management and other services margin reflected the higher customer service expenses, partially offset by the increase in revenues.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060"/>
              <w:spacing w:after="0"/>
              <w:rPr>
                <w:sz w:val="20"/>
                <w:szCs w:val="20"/>
                <w:color w:val="auto"/>
              </w:rPr>
            </w:pPr>
            <w:r>
              <w:rPr>
                <w:rFonts w:ascii="Arial" w:cs="Arial" w:eastAsia="Arial" w:hAnsi="Arial"/>
                <w:sz w:val="16"/>
                <w:szCs w:val="16"/>
                <w:b w:val="1"/>
                <w:bCs w:val="1"/>
                <w:color w:val="auto"/>
              </w:rPr>
              <w:t>Year to Date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4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97"/>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(274 days)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(252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Management fee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24%</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Ancillary revenues</w:t>
            </w:r>
          </w:p>
        </w:tc>
        <w:tc>
          <w:tcPr>
            <w:tcW w:w="18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6,246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(6,246)</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(100%)</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services revenues</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44%</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1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3,055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8,594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(5,539)</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(64%)</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Resort management and other services expenses</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5,249</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61%</w:t>
            </w:r>
          </w:p>
        </w:tc>
      </w:tr>
      <w:tr>
        <w:trPr>
          <w:trHeight w:val="297"/>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36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2"/>
              </w:rPr>
              <w:t>(604%)</w:t>
            </w:r>
          </w:p>
        </w:tc>
      </w:tr>
      <w:tr>
        <w:trPr>
          <w:trHeight w:val="190"/>
        </w:trPr>
        <w:tc>
          <w:tcPr>
            <w:tcW w:w="492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shd w:val="clear" w:color="auto" w:fill="CCEEFF"/>
              </w:rPr>
              <w:t>Resort management and other services margin percentage</w:t>
            </w: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354"/>
              <w:spacing w:after="0" w:line="189" w:lineRule="exact"/>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433"/>
              <w:spacing w:after="0" w:line="189" w:lineRule="exact"/>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71"/>
              <w:spacing w:after="0" w:line="189" w:lineRule="exact"/>
              <w:rPr>
                <w:sz w:val="20"/>
                <w:szCs w:val="20"/>
                <w:color w:val="auto"/>
              </w:rPr>
            </w:pPr>
            <w:r>
              <w:rPr>
                <w:rFonts w:ascii="Arial" w:cs="Arial" w:eastAsia="Arial" w:hAnsi="Arial"/>
                <w:sz w:val="18"/>
                <w:szCs w:val="18"/>
                <w:color w:val="auto"/>
              </w:rPr>
              <w:t>(8.5 pts)</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68"/>
        </w:trPr>
        <w:tc>
          <w:tcPr>
            <w:tcW w:w="49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r>
    </w:tbl>
    <w:p>
      <w:pPr>
        <w:spacing w:after="0" w:line="202"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decrease in resort management and other services revenues reflected $6.2 million of lower ancillary revenues from the operating property in Surfers Paradise, Australia (a portion of which was disposed of in the second quarter of 2016), partially offset by increases in management fees ($0.4 million) and other services revenues ($0.3 million). The decline in the resort management and other services margin reflected $0.8 million of ancillary profit from the operating property in Surfers Paradise, Australia in the 2016 first three quarters (compared to no ancillary activity in the 2017 first three quarters), partially offset by the higher management fees in the 2017 first three quarters compared to the 2016 first three quarters.</w:t>
      </w:r>
    </w:p>
    <w:p>
      <w:pPr>
        <w:spacing w:after="0" w:line="64"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The ancillary revenue producing portions of the operating property in Surfers Paradise, Australia were included in the portion of the operating property sold in the second quarter of 2016. Therefore, we do not anticipate future ancillary revenues or expenses at this property.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200"/>
              <w:spacing w:after="0"/>
              <w:rPr>
                <w:sz w:val="20"/>
                <w:szCs w:val="20"/>
                <w:color w:val="auto"/>
              </w:rPr>
            </w:pPr>
            <w:r>
              <w:rPr>
                <w:rFonts w:ascii="Arial" w:cs="Arial" w:eastAsia="Arial" w:hAnsi="Arial"/>
                <w:sz w:val="16"/>
                <w:szCs w:val="16"/>
                <w:b w:val="1"/>
                <w:bCs w:val="1"/>
                <w:color w:val="auto"/>
              </w:rPr>
              <w:t>Quarter Ended</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9, 2016</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(92 days)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Rental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w:t>
            </w:r>
          </w:p>
        </w:tc>
        <w:tc>
          <w:tcPr>
            <w:tcW w:w="148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Rental expenses</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(3,902)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(572)</w:t>
            </w:r>
          </w:p>
        </w:tc>
        <w:tc>
          <w:tcPr>
            <w:tcW w:w="1480" w:type="dxa"/>
            <w:vAlign w:val="bottom"/>
            <w:gridSpan w:val="2"/>
          </w:tcPr>
          <w:p>
            <w:pPr>
              <w:jc w:val="right"/>
              <w:ind w:right="379"/>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Rental margin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8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Rental margin percentage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ind w:right="375"/>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ind w:right="434"/>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0.5 pts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increase in rental revenues was due to increases in transient keys rented, preview keys rented and the average transient rate. The higher expenses were due to higher expenses incurred due to owners choosing alternative usage options and higher variable expenses (such as housekeeping) in the 2017 third quarter.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040"/>
              <w:spacing w:after="0"/>
              <w:rPr>
                <w:sz w:val="20"/>
                <w:szCs w:val="20"/>
                <w:color w:val="auto"/>
              </w:rPr>
            </w:pPr>
            <w:r>
              <w:rPr>
                <w:rFonts w:ascii="Arial" w:cs="Arial" w:eastAsia="Arial" w:hAnsi="Arial"/>
                <w:sz w:val="16"/>
                <w:szCs w:val="16"/>
                <w:b w:val="1"/>
                <w:bCs w:val="1"/>
                <w:color w:val="auto"/>
              </w:rPr>
              <w:t>Year to Date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(274 days)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(252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Rental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(29%)</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Rental expenses</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(12,136)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(15,884)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3,748</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Rental margin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Rental margin percentage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ind w:right="375"/>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ind w:right="454"/>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(8.7 pts)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decline in rental revenues was due to $4.9 million of lower revenue from the operating property in Surfers Paradise, Australia (a portion of which was disposed of in the 2016 second quarter), partially offset by $1.2 million of higher revenues at the other resorts in the region due to increases in transient keys rented, preview keys rented and the average transient rate. The lower expenses were due to $4.8 million of lower expenses from the operating property in Surfers Paradise, Australia (a portion of which was disposed of in the 2016 second quarter), partially offset by $1.1 million of higher other rental expenses in the 2017 first three quarters.</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5" w:right="2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1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discussion presents an analysis of our results of operations for the Europe segment for the 2017 third quarter compared to the 2016 third quarter, and the 2017 first three quarters compared to the 2016 first three quarters.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00" w:type="dxa"/>
            <w:vAlign w:val="bottom"/>
            <w:gridSpan w:val="5"/>
          </w:tcPr>
          <w:p>
            <w:pPr>
              <w:ind w:left="1200"/>
              <w:spacing w:after="0"/>
              <w:rPr>
                <w:sz w:val="20"/>
                <w:szCs w:val="20"/>
                <w:color w:val="auto"/>
              </w:rPr>
            </w:pPr>
            <w:r>
              <w:rPr>
                <w:rFonts w:ascii="Arial" w:cs="Arial" w:eastAsia="Arial" w:hAnsi="Arial"/>
                <w:sz w:val="16"/>
                <w:szCs w:val="16"/>
                <w:b w:val="1"/>
                <w:bCs w:val="1"/>
                <w:color w:val="auto"/>
              </w:rPr>
              <w:t>Quarter Ended</w:t>
            </w:r>
          </w:p>
        </w:tc>
        <w:tc>
          <w:tcPr>
            <w:tcW w:w="180" w:type="dxa"/>
            <w:vAlign w:val="bottom"/>
          </w:tcPr>
          <w:p>
            <w:pPr>
              <w:spacing w:after="0"/>
              <w:rPr>
                <w:sz w:val="18"/>
                <w:szCs w:val="18"/>
                <w:color w:val="auto"/>
              </w:rPr>
            </w:pPr>
          </w:p>
        </w:tc>
        <w:tc>
          <w:tcPr>
            <w:tcW w:w="3580" w:type="dxa"/>
            <w:vAlign w:val="bottom"/>
            <w:gridSpan w:val="4"/>
          </w:tcPr>
          <w:p>
            <w:pPr>
              <w:jc w:val="right"/>
              <w:ind w:right="1092"/>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September 30, 2017</w:t>
            </w:r>
          </w:p>
        </w:tc>
        <w:tc>
          <w:tcPr>
            <w:tcW w:w="200" w:type="dxa"/>
            <w:vAlign w:val="bottom"/>
          </w:tcPr>
          <w:p>
            <w:pPr>
              <w:spacing w:after="0"/>
              <w:rPr>
                <w:sz w:val="20"/>
                <w:szCs w:val="20"/>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September 9, 2016</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September 30, 2017</w:t>
            </w:r>
          </w:p>
        </w:tc>
        <w:tc>
          <w:tcPr>
            <w:tcW w:w="200" w:type="dxa"/>
            <w:vAlign w:val="bottom"/>
          </w:tcPr>
          <w:p>
            <w:pPr>
              <w:spacing w:after="0"/>
              <w:rPr>
                <w:sz w:val="20"/>
                <w:szCs w:val="20"/>
                <w:color w:val="auto"/>
              </w:rPr>
            </w:pPr>
          </w:p>
        </w:tc>
        <w:tc>
          <w:tcPr>
            <w:tcW w:w="1620" w:type="dxa"/>
            <w:vAlign w:val="bottom"/>
          </w:tcPr>
          <w:p>
            <w:pPr>
              <w:jc w:val="right"/>
              <w:ind w:right="192"/>
              <w:spacing w:after="0"/>
              <w:rPr>
                <w:sz w:val="20"/>
                <w:szCs w:val="20"/>
                <w:color w:val="auto"/>
              </w:rPr>
            </w:pPr>
            <w:r>
              <w:rPr>
                <w:rFonts w:ascii="Arial" w:cs="Arial" w:eastAsia="Arial" w:hAnsi="Arial"/>
                <w:sz w:val="16"/>
                <w:szCs w:val="16"/>
                <w:b w:val="1"/>
                <w:bCs w:val="1"/>
                <w:color w:val="auto"/>
                <w:w w:val="93"/>
              </w:rPr>
              <w:t>September 9, 2016</w:t>
            </w:r>
          </w:p>
        </w:tc>
      </w:tr>
      <w:tr>
        <w:trPr>
          <w:trHeight w:val="297"/>
        </w:trPr>
        <w:tc>
          <w:tcPr>
            <w:tcW w:w="3780" w:type="dxa"/>
            <w:vAlign w:val="bottom"/>
            <w:gridSpan w:val="4"/>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4"/>
                <w:szCs w:val="24"/>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(92 days)</w:t>
            </w:r>
          </w:p>
        </w:tc>
        <w:tc>
          <w:tcPr>
            <w:tcW w:w="200" w:type="dxa"/>
            <w:vAlign w:val="bottom"/>
          </w:tcPr>
          <w:p>
            <w:pPr>
              <w:spacing w:after="0"/>
              <w:rPr>
                <w:sz w:val="24"/>
                <w:szCs w:val="24"/>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(84 days)</w:t>
            </w:r>
          </w:p>
        </w:tc>
        <w:tc>
          <w:tcPr>
            <w:tcW w:w="180" w:type="dxa"/>
            <w:vAlign w:val="bottom"/>
          </w:tcPr>
          <w:p>
            <w:pPr>
              <w:spacing w:after="0"/>
              <w:rPr>
                <w:sz w:val="24"/>
                <w:szCs w:val="2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(274 days)</w:t>
            </w:r>
          </w:p>
        </w:tc>
        <w:tc>
          <w:tcPr>
            <w:tcW w:w="200" w:type="dxa"/>
            <w:vAlign w:val="bottom"/>
          </w:tcPr>
          <w:p>
            <w:pPr>
              <w:spacing w:after="0"/>
              <w:rPr>
                <w:sz w:val="24"/>
                <w:szCs w:val="24"/>
                <w:color w:val="auto"/>
              </w:rPr>
            </w:pPr>
          </w:p>
        </w:tc>
        <w:tc>
          <w:tcPr>
            <w:tcW w:w="1620" w:type="dxa"/>
            <w:vAlign w:val="bottom"/>
          </w:tcPr>
          <w:p>
            <w:pPr>
              <w:jc w:val="right"/>
              <w:ind w:right="512"/>
              <w:spacing w:after="0"/>
              <w:rPr>
                <w:sz w:val="20"/>
                <w:szCs w:val="20"/>
                <w:color w:val="auto"/>
              </w:rPr>
            </w:pPr>
            <w:r>
              <w:rPr>
                <w:rFonts w:ascii="Arial" w:cs="Arial" w:eastAsia="Arial" w:hAnsi="Arial"/>
                <w:sz w:val="14"/>
                <w:szCs w:val="14"/>
                <w:b w:val="1"/>
                <w:bCs w:val="1"/>
                <w:color w:val="auto"/>
              </w:rPr>
              <w:t>(252 days)</w:t>
            </w:r>
          </w:p>
        </w:tc>
      </w:tr>
      <w:tr>
        <w:trPr>
          <w:trHeight w:val="250"/>
        </w:trPr>
        <w:tc>
          <w:tcPr>
            <w:tcW w:w="3780" w:type="dxa"/>
            <w:vAlign w:val="bottom"/>
            <w:tcBorders>
              <w:top w:val="single" w:sz="8" w:color="CCEEFF"/>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780" w:type="dxa"/>
            <w:vAlign w:val="bottom"/>
            <w:gridSpan w:val="4"/>
          </w:tcPr>
          <w:p>
            <w:pPr>
              <w:ind w:left="280"/>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5,706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4,818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15,351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15,845</w:t>
            </w: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16,790</w:t>
            </w:r>
          </w:p>
        </w:tc>
      </w:tr>
      <w:tr>
        <w:trPr>
          <w:trHeight w:val="243"/>
        </w:trPr>
        <w:tc>
          <w:tcPr>
            <w:tcW w:w="3780" w:type="dxa"/>
            <w:vAlign w:val="bottom"/>
            <w:gridSpan w:val="4"/>
          </w:tcPr>
          <w:p>
            <w:pPr>
              <w:ind w:left="280"/>
              <w:spacing w:after="0"/>
              <w:rPr>
                <w:sz w:val="20"/>
                <w:szCs w:val="20"/>
                <w:color w:val="auto"/>
              </w:rPr>
            </w:pPr>
            <w:r>
              <w:rPr>
                <w:rFonts w:ascii="Arial" w:cs="Arial" w:eastAsia="Arial" w:hAnsi="Arial"/>
                <w:sz w:val="18"/>
                <w:szCs w:val="18"/>
                <w:color w:val="auto"/>
              </w:rPr>
              <w:t>Financing</w:t>
            </w:r>
          </w:p>
        </w:tc>
        <w:tc>
          <w:tcPr>
            <w:tcW w:w="1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2,164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2,339</w:t>
            </w: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14,836</w:t>
            </w:r>
          </w:p>
        </w:tc>
      </w:tr>
      <w:tr>
        <w:trPr>
          <w:trHeight w:val="243"/>
        </w:trPr>
        <w:tc>
          <w:tcPr>
            <w:tcW w:w="3780" w:type="dxa"/>
            <w:vAlign w:val="bottom"/>
            <w:gridSpan w:val="4"/>
          </w:tcPr>
          <w:p>
            <w:pPr>
              <w:ind w:left="280"/>
              <w:spacing w:after="0"/>
              <w:rPr>
                <w:sz w:val="20"/>
                <w:szCs w:val="20"/>
                <w:color w:val="auto"/>
              </w:rPr>
            </w:pPr>
            <w:r>
              <w:rPr>
                <w:rFonts w:ascii="Arial" w:cs="Arial" w:eastAsia="Arial" w:hAnsi="Arial"/>
                <w:sz w:val="18"/>
                <w:szCs w:val="18"/>
                <w:color w:val="auto"/>
              </w:rPr>
              <w:t>Cost reimbursements</w:t>
            </w:r>
          </w:p>
        </w:tc>
        <w:tc>
          <w:tcPr>
            <w:tcW w:w="1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9,212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8,072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25,265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23,533</w:t>
            </w:r>
          </w:p>
        </w:tc>
      </w:tr>
      <w:tr>
        <w:trPr>
          <w:trHeight w:val="27"/>
        </w:trPr>
        <w:tc>
          <w:tcPr>
            <w:tcW w:w="5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5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7"/>
                <w:shd w:val="clear" w:color="auto" w:fill="CCEEFF"/>
              </w:rPr>
              <w:t>TOTAL REVENUES</w:t>
            </w:r>
          </w:p>
        </w:tc>
        <w:tc>
          <w:tcPr>
            <w:tcW w:w="16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32,237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78,817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73,343</w:t>
            </w:r>
          </w:p>
        </w:tc>
      </w:tr>
      <w:tr>
        <w:trPr>
          <w:trHeight w:val="223"/>
        </w:trPr>
        <w:tc>
          <w:tcPr>
            <w:tcW w:w="3780" w:type="dxa"/>
            <w:vAlign w:val="bottom"/>
            <w:gridSpan w:val="4"/>
          </w:tcPr>
          <w:p>
            <w:pPr>
              <w:ind w:left="40"/>
              <w:spacing w:after="0"/>
              <w:rPr>
                <w:sz w:val="20"/>
                <w:szCs w:val="20"/>
                <w:color w:val="auto"/>
              </w:rPr>
            </w:pPr>
            <w:r>
              <w:rPr>
                <w:rFonts w:ascii="Arial" w:cs="Arial" w:eastAsia="Arial" w:hAnsi="Arial"/>
                <w:sz w:val="18"/>
                <w:szCs w:val="18"/>
                <w:b w:val="1"/>
                <w:bCs w:val="1"/>
                <w:color w:val="auto"/>
              </w:rPr>
              <w:t>EXPENSES</w:t>
            </w:r>
          </w:p>
        </w:tc>
        <w:tc>
          <w:tcPr>
            <w:tcW w:w="18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r>
      <w:tr>
        <w:trPr>
          <w:trHeight w:val="41"/>
        </w:trPr>
        <w:tc>
          <w:tcPr>
            <w:tcW w:w="5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250"/>
        </w:trPr>
        <w:tc>
          <w:tcPr>
            <w:tcW w:w="3780" w:type="dxa"/>
            <w:vAlign w:val="bottom"/>
            <w:tcBorders>
              <w:bottom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4,158</w:t>
            </w:r>
          </w:p>
        </w:tc>
      </w:tr>
      <w:tr>
        <w:trPr>
          <w:trHeight w:val="243"/>
        </w:trPr>
        <w:tc>
          <w:tcPr>
            <w:tcW w:w="3780" w:type="dxa"/>
            <w:vAlign w:val="bottom"/>
            <w:gridSpan w:val="4"/>
          </w:tcPr>
          <w:p>
            <w:pPr>
              <w:ind w:left="280"/>
              <w:spacing w:after="0"/>
              <w:rPr>
                <w:sz w:val="20"/>
                <w:szCs w:val="20"/>
                <w:color w:val="auto"/>
              </w:rPr>
            </w:pPr>
            <w:r>
              <w:rPr>
                <w:rFonts w:ascii="Arial" w:cs="Arial" w:eastAsia="Arial" w:hAnsi="Arial"/>
                <w:sz w:val="18"/>
                <w:szCs w:val="18"/>
                <w:color w:val="auto"/>
              </w:rPr>
              <w:t>Marketing and sales</w:t>
            </w:r>
          </w:p>
        </w:tc>
        <w:tc>
          <w:tcPr>
            <w:tcW w:w="1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4,465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4,189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12,583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13,388</w:t>
            </w: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13,827</w:t>
            </w:r>
          </w:p>
        </w:tc>
      </w:tr>
      <w:tr>
        <w:trPr>
          <w:trHeight w:val="243"/>
        </w:trPr>
        <w:tc>
          <w:tcPr>
            <w:tcW w:w="3780" w:type="dxa"/>
            <w:vAlign w:val="bottom"/>
            <w:gridSpan w:val="4"/>
          </w:tcPr>
          <w:p>
            <w:pPr>
              <w:ind w:left="280"/>
              <w:spacing w:after="0"/>
              <w:rPr>
                <w:sz w:val="20"/>
                <w:szCs w:val="20"/>
                <w:color w:val="auto"/>
              </w:rPr>
            </w:pPr>
            <w:r>
              <w:rPr>
                <w:rFonts w:ascii="Arial" w:cs="Arial" w:eastAsia="Arial" w:hAnsi="Arial"/>
                <w:sz w:val="18"/>
                <w:szCs w:val="18"/>
                <w:color w:val="auto"/>
              </w:rPr>
              <w:t>Rental</w:t>
            </w:r>
          </w:p>
        </w:tc>
        <w:tc>
          <w:tcPr>
            <w:tcW w:w="1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4,910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4,509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12,366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11,094</w:t>
            </w: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rPr>
              <w:t>Royalty fee</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w:t>
            </w:r>
          </w:p>
        </w:tc>
      </w:tr>
      <w:tr>
        <w:trPr>
          <w:trHeight w:val="243"/>
        </w:trPr>
        <w:tc>
          <w:tcPr>
            <w:tcW w:w="3780" w:type="dxa"/>
            <w:vAlign w:val="bottom"/>
            <w:gridSpan w:val="4"/>
          </w:tcPr>
          <w:p>
            <w:pPr>
              <w:ind w:left="280"/>
              <w:spacing w:after="0"/>
              <w:rPr>
                <w:sz w:val="20"/>
                <w:szCs w:val="20"/>
                <w:color w:val="auto"/>
              </w:rPr>
            </w:pPr>
            <w:r>
              <w:rPr>
                <w:rFonts w:ascii="Arial" w:cs="Arial" w:eastAsia="Arial" w:hAnsi="Arial"/>
                <w:sz w:val="18"/>
                <w:szCs w:val="18"/>
                <w:color w:val="auto"/>
              </w:rPr>
              <w:t>Cost reimbursements</w:t>
            </w:r>
          </w:p>
        </w:tc>
        <w:tc>
          <w:tcPr>
            <w:tcW w:w="1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9,212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8,072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25,265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23,533</w:t>
            </w:r>
          </w:p>
        </w:tc>
      </w:tr>
      <w:tr>
        <w:trPr>
          <w:trHeight w:val="27"/>
        </w:trPr>
        <w:tc>
          <w:tcPr>
            <w:tcW w:w="5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5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6"/>
                <w:shd w:val="clear" w:color="auto" w:fill="CCEEFF"/>
              </w:rPr>
              <w:t>TOTAL EXPENSES</w:t>
            </w:r>
          </w:p>
        </w:tc>
        <w:tc>
          <w:tcPr>
            <w:tcW w:w="170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25,471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67,878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66,264</w:t>
            </w:r>
          </w:p>
        </w:tc>
      </w:tr>
      <w:tr>
        <w:trPr>
          <w:trHeight w:val="237"/>
        </w:trPr>
        <w:tc>
          <w:tcPr>
            <w:tcW w:w="3780" w:type="dxa"/>
            <w:vAlign w:val="bottom"/>
            <w:gridSpan w:val="4"/>
          </w:tcPr>
          <w:p>
            <w:pPr>
              <w:ind w:left="40"/>
              <w:spacing w:after="0"/>
              <w:rPr>
                <w:sz w:val="20"/>
                <w:szCs w:val="20"/>
                <w:color w:val="auto"/>
              </w:rPr>
            </w:pPr>
            <w:r>
              <w:rPr>
                <w:rFonts w:ascii="Arial" w:cs="Arial" w:eastAsia="Arial" w:hAnsi="Arial"/>
                <w:sz w:val="18"/>
                <w:szCs w:val="18"/>
                <w:b w:val="1"/>
                <w:bCs w:val="1"/>
                <w:color w:val="auto"/>
              </w:rPr>
              <w:t>SEGMENT FINANCIAL RESULTS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6,766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4,536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10,939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7,079</w:t>
            </w: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 our Europe segment, we are focused on selling our existing projects and managing existing resorts. We do not have any current plans for new development in this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2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 2017</w:t>
            </w:r>
          </w:p>
        </w:tc>
        <w:tc>
          <w:tcPr>
            <w:tcW w:w="200" w:type="dxa"/>
            <w:vAlign w:val="bottom"/>
          </w:tcPr>
          <w:p>
            <w:pPr>
              <w:spacing w:after="0"/>
              <w:rPr>
                <w:sz w:val="20"/>
                <w:szCs w:val="20"/>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480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4"/>
                <w:szCs w:val="24"/>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(92 days)</w:t>
            </w:r>
          </w:p>
        </w:tc>
        <w:tc>
          <w:tcPr>
            <w:tcW w:w="200" w:type="dxa"/>
            <w:vAlign w:val="bottom"/>
          </w:tcPr>
          <w:p>
            <w:pPr>
              <w:spacing w:after="0"/>
              <w:rPr>
                <w:sz w:val="24"/>
                <w:szCs w:val="2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(84 days)</w:t>
            </w:r>
          </w:p>
        </w:tc>
        <w:tc>
          <w:tcPr>
            <w:tcW w:w="240" w:type="dxa"/>
            <w:vAlign w:val="bottom"/>
          </w:tcPr>
          <w:p>
            <w:pPr>
              <w:spacing w:after="0"/>
              <w:rPr>
                <w:sz w:val="24"/>
                <w:szCs w:val="24"/>
                <w:color w:val="auto"/>
              </w:rPr>
            </w:pPr>
          </w:p>
        </w:tc>
        <w:tc>
          <w:tcPr>
            <w:tcW w:w="1000" w:type="dxa"/>
            <w:vAlign w:val="bottom"/>
          </w:tcPr>
          <w:p>
            <w:pPr>
              <w:jc w:val="right"/>
              <w:ind w:right="273"/>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Contract sales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Vacation ownership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7"/>
              <w:spacing w:after="0"/>
              <w:rPr>
                <w:sz w:val="20"/>
                <w:szCs w:val="20"/>
                <w:color w:val="auto"/>
              </w:rPr>
            </w:pPr>
            <w:r>
              <w:rPr>
                <w:rFonts w:ascii="Arial" w:cs="Arial" w:eastAsia="Arial" w:hAnsi="Arial"/>
                <w:sz w:val="18"/>
                <w:szCs w:val="18"/>
                <w:color w:val="auto"/>
              </w:rPr>
              <w:t>6,664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7,698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(1,034)</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(13%)</w:t>
            </w:r>
          </w:p>
        </w:tc>
      </w:tr>
      <w:tr>
        <w:trPr>
          <w:trHeight w:val="27"/>
        </w:trPr>
        <w:tc>
          <w:tcPr>
            <w:tcW w:w="4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shd w:val="clear" w:color="auto" w:fill="CCEEFF"/>
              </w:rPr>
              <w:t>Total contract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6,664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7,698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decrease in contract sales was primarily due to lower fractional sales due to limited reacquired inventory available and several large multi-week purchases in the 2016 third quarter.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040"/>
              <w:spacing w:after="0"/>
              <w:rPr>
                <w:sz w:val="20"/>
                <w:szCs w:val="20"/>
                <w:color w:val="auto"/>
              </w:rPr>
            </w:pPr>
            <w:r>
              <w:rPr>
                <w:rFonts w:ascii="Arial" w:cs="Arial" w:eastAsia="Arial" w:hAnsi="Arial"/>
                <w:sz w:val="16"/>
                <w:szCs w:val="16"/>
                <w:b w:val="1"/>
                <w:bCs w:val="1"/>
                <w:color w:val="auto"/>
              </w:rPr>
              <w:t>Year to Date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 2017</w:t>
            </w:r>
          </w:p>
        </w:tc>
        <w:tc>
          <w:tcPr>
            <w:tcW w:w="200" w:type="dxa"/>
            <w:vAlign w:val="bottom"/>
          </w:tcPr>
          <w:p>
            <w:pPr>
              <w:spacing w:after="0"/>
              <w:rPr>
                <w:sz w:val="20"/>
                <w:szCs w:val="20"/>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480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4"/>
                <w:szCs w:val="24"/>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(274 days)</w:t>
            </w:r>
          </w:p>
        </w:tc>
        <w:tc>
          <w:tcPr>
            <w:tcW w:w="200" w:type="dxa"/>
            <w:vAlign w:val="bottom"/>
          </w:tcPr>
          <w:p>
            <w:pPr>
              <w:spacing w:after="0"/>
              <w:rPr>
                <w:sz w:val="24"/>
                <w:szCs w:val="24"/>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(252 days)</w:t>
            </w:r>
          </w:p>
        </w:tc>
        <w:tc>
          <w:tcPr>
            <w:tcW w:w="240" w:type="dxa"/>
            <w:vAlign w:val="bottom"/>
          </w:tcPr>
          <w:p>
            <w:pPr>
              <w:spacing w:after="0"/>
              <w:rPr>
                <w:sz w:val="24"/>
                <w:szCs w:val="24"/>
                <w:color w:val="auto"/>
              </w:rPr>
            </w:pPr>
          </w:p>
        </w:tc>
        <w:tc>
          <w:tcPr>
            <w:tcW w:w="1000" w:type="dxa"/>
            <w:vAlign w:val="bottom"/>
          </w:tcPr>
          <w:p>
            <w:pPr>
              <w:jc w:val="right"/>
              <w:ind w:right="273"/>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Contract sales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Vacation ownership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ind w:left="1060"/>
              <w:spacing w:after="0"/>
              <w:rPr>
                <w:sz w:val="20"/>
                <w:szCs w:val="20"/>
                <w:color w:val="auto"/>
              </w:rPr>
            </w:pPr>
            <w:r>
              <w:rPr>
                <w:rFonts w:ascii="Arial" w:cs="Arial" w:eastAsia="Arial" w:hAnsi="Arial"/>
                <w:sz w:val="18"/>
                <w:szCs w:val="18"/>
                <w:color w:val="auto"/>
              </w:rPr>
              <w:t>18,509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22,054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(3,545)</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(16%)</w:t>
            </w:r>
          </w:p>
        </w:tc>
      </w:tr>
      <w:tr>
        <w:trPr>
          <w:trHeight w:val="27"/>
        </w:trPr>
        <w:tc>
          <w:tcPr>
            <w:tcW w:w="4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shd w:val="clear" w:color="auto" w:fill="CCEEFF"/>
              </w:rPr>
              <w:t>Total contract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18,509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22,054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contract sales was primarily due to several large multi-week purchases in the 2016 first three quarters.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5" w:right="2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2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(92 days)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Contract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48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Reportability</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Sales reserve</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280"/>
              <w:spacing w:after="0" w:line="230" w:lineRule="exact"/>
              <w:rPr>
                <w:sz w:val="20"/>
                <w:szCs w:val="20"/>
                <w:color w:val="auto"/>
              </w:rPr>
            </w:pPr>
            <w:r>
              <w:rPr>
                <w:rFonts w:ascii="Arial" w:cs="Arial" w:eastAsia="Arial" w:hAnsi="Arial"/>
                <w:sz w:val="18"/>
                <w:szCs w:val="18"/>
                <w:color w:val="auto"/>
                <w:shd w:val="clear" w:color="auto" w:fill="CCEEFF"/>
              </w:rPr>
              <w:t>Other</w:t>
            </w:r>
            <w:r>
              <w:rPr>
                <w:rFonts w:ascii="Arial" w:cs="Arial" w:eastAsia="Arial" w:hAnsi="Arial"/>
                <w:sz w:val="21"/>
                <w:szCs w:val="21"/>
                <w:color w:val="auto"/>
                <w:vertAlign w:val="superscript"/>
                <w:shd w:val="clear" w:color="auto" w:fill="CCEEFF"/>
              </w:rPr>
              <w:t>(1)</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80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5,706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4,818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888</w:t>
            </w:r>
          </w:p>
        </w:tc>
        <w:tc>
          <w:tcPr>
            <w:tcW w:w="1480" w:type="dxa"/>
            <w:vAlign w:val="bottom"/>
            <w:gridSpan w:val="2"/>
          </w:tcPr>
          <w:p>
            <w:pPr>
              <w:jc w:val="right"/>
              <w:ind w:right="439"/>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2017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00" w:type="dxa"/>
            <w:vAlign w:val="bottom"/>
            <w:gridSpan w:val="5"/>
          </w:tcPr>
          <w:p>
            <w:pPr>
              <w:ind w:left="1040"/>
              <w:spacing w:after="0"/>
              <w:rPr>
                <w:sz w:val="20"/>
                <w:szCs w:val="20"/>
                <w:color w:val="auto"/>
              </w:rPr>
            </w:pPr>
            <w:r>
              <w:rPr>
                <w:rFonts w:ascii="Arial" w:cs="Arial" w:eastAsia="Arial" w:hAnsi="Arial"/>
                <w:sz w:val="16"/>
                <w:szCs w:val="16"/>
                <w:b w:val="1"/>
                <w:bCs w:val="1"/>
                <w:color w:val="auto"/>
              </w:rPr>
              <w:t>Year to Date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9,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0" w:type="dxa"/>
            <w:vAlign w:val="bottom"/>
          </w:tcPr>
          <w:p>
            <w:pPr>
              <w:spacing w:after="0"/>
              <w:rPr>
                <w:sz w:val="24"/>
                <w:szCs w:val="24"/>
                <w:color w:val="auto"/>
              </w:rPr>
            </w:pPr>
          </w:p>
        </w:tc>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(274 days)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(252 days)</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Contract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22,054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146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Revenue recognition adjustments:</w:t>
            </w:r>
          </w:p>
        </w:tc>
        <w:tc>
          <w:tcPr>
            <w:tcW w:w="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Reportability</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780" w:type="dxa"/>
            <w:vAlign w:val="bottom"/>
          </w:tcPr>
          <w:p>
            <w:pPr>
              <w:ind w:left="280"/>
              <w:spacing w:after="0"/>
              <w:rPr>
                <w:sz w:val="20"/>
                <w:szCs w:val="20"/>
                <w:color w:val="auto"/>
              </w:rPr>
            </w:pPr>
            <w:r>
              <w:rPr>
                <w:rFonts w:ascii="Arial" w:cs="Arial" w:eastAsia="Arial" w:hAnsi="Arial"/>
                <w:sz w:val="18"/>
                <w:szCs w:val="18"/>
                <w:color w:val="auto"/>
              </w:rPr>
              <w:t>Sales reserve</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4780" w:type="dxa"/>
            <w:vAlign w:val="bottom"/>
            <w:tcBorders>
              <w:bottom w:val="single" w:sz="8" w:color="CCEEFF"/>
            </w:tcBorders>
            <w:shd w:val="clear" w:color="auto" w:fill="CCEEFF"/>
          </w:tcPr>
          <w:p>
            <w:pPr>
              <w:ind w:left="280"/>
              <w:spacing w:after="0" w:line="230" w:lineRule="exact"/>
              <w:rPr>
                <w:sz w:val="20"/>
                <w:szCs w:val="20"/>
                <w:color w:val="auto"/>
              </w:rPr>
            </w:pPr>
            <w:r>
              <w:rPr>
                <w:rFonts w:ascii="Arial" w:cs="Arial" w:eastAsia="Arial" w:hAnsi="Arial"/>
                <w:sz w:val="18"/>
                <w:szCs w:val="18"/>
                <w:color w:val="auto"/>
                <w:shd w:val="clear" w:color="auto" w:fill="CCEEFF"/>
              </w:rPr>
              <w:t>Other</w:t>
            </w:r>
            <w:r>
              <w:rPr>
                <w:rFonts w:ascii="Arial" w:cs="Arial" w:eastAsia="Arial" w:hAnsi="Arial"/>
                <w:sz w:val="21"/>
                <w:szCs w:val="21"/>
                <w:color w:val="auto"/>
                <w:vertAlign w:val="superscript"/>
                <w:shd w:val="clear" w:color="auto" w:fill="CCEEFF"/>
              </w:rPr>
              <w:t>(1)</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15,351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15,845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460" w:type="dxa"/>
            <w:vAlign w:val="bottom"/>
            <w:gridSpan w:val="2"/>
          </w:tcPr>
          <w:p>
            <w:pPr>
              <w:jc w:val="right"/>
              <w:ind w:right="41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jc w:val="right"/>
              <w:ind w:right="2493"/>
              <w:spacing w:after="0"/>
              <w:rPr>
                <w:sz w:val="20"/>
                <w:szCs w:val="20"/>
                <w:color w:val="auto"/>
              </w:rPr>
            </w:pPr>
            <w:r>
              <w:rPr>
                <w:rFonts w:ascii="Arial" w:cs="Arial" w:eastAsia="Arial" w:hAnsi="Arial"/>
                <w:sz w:val="18"/>
                <w:szCs w:val="18"/>
                <w:color w:val="auto"/>
                <w:w w:val="89"/>
              </w:rPr>
              <w:t>_________________________</w:t>
            </w: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Third Quarter</w:t>
      </w:r>
    </w:p>
    <w:p>
      <w:pPr>
        <w:spacing w:after="0" w:line="185" w:lineRule="exact"/>
        <w:rPr>
          <w:sz w:val="20"/>
          <w:szCs w:val="20"/>
          <w:color w:val="auto"/>
        </w:rPr>
      </w:pPr>
    </w:p>
    <w:p>
      <w:pPr>
        <w:ind w:left="6300"/>
        <w:spacing w:after="0"/>
        <w:rPr>
          <w:sz w:val="20"/>
          <w:szCs w:val="20"/>
          <w:color w:val="auto"/>
        </w:rPr>
      </w:pPr>
      <w:r>
        <w:rPr>
          <w:rFonts w:ascii="Arial" w:cs="Arial" w:eastAsia="Arial" w:hAnsi="Arial"/>
          <w:sz w:val="16"/>
          <w:szCs w:val="16"/>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37465</wp:posOffset>
            </wp:positionV>
            <wp:extent cx="24009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thousands)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shd w:val="clear" w:color="auto" w:fill="CCEEFF"/>
        </w:rPr>
        <w:t>Sale of vacation ownership products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vacation ownership products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Marketing and sales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Development margin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Development margin percentage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2017 First Three Quarters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9, 2016</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97"/>
        </w:trPr>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(92 days)</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(84 days)</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4"/>
                <w:szCs w:val="24"/>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 Change</w:t>
            </w:r>
          </w:p>
        </w:tc>
      </w:tr>
      <w:tr>
        <w:trPr>
          <w:trHeight w:val="243"/>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5,706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4,818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888</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18%</w:t>
            </w:r>
          </w:p>
        </w:tc>
      </w:tr>
      <w:tr>
        <w:trPr>
          <w:trHeight w:val="270"/>
        </w:trPr>
        <w:tc>
          <w:tcPr>
            <w:tcW w:w="18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(1,599)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884</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55%</w:t>
            </w:r>
          </w:p>
        </w:tc>
      </w:tr>
      <w:tr>
        <w:trPr>
          <w:trHeight w:val="270"/>
        </w:trPr>
        <w:tc>
          <w:tcPr>
            <w:tcW w:w="18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(4,465)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(4,189)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w:t>
            </w:r>
          </w:p>
        </w:tc>
        <w:tc>
          <w:tcPr>
            <w:tcW w:w="11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(7%)</w:t>
            </w:r>
          </w:p>
        </w:tc>
      </w:tr>
      <w:tr>
        <w:trPr>
          <w:trHeight w:val="27"/>
        </w:trPr>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1,496</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154%</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0"/>
        </w:trPr>
        <w:tc>
          <w:tcPr>
            <w:tcW w:w="180" w:type="dxa"/>
            <w:vAlign w:val="bottom"/>
          </w:tcPr>
          <w:p>
            <w:pPr>
              <w:spacing w:after="0"/>
              <w:rPr>
                <w:sz w:val="20"/>
                <w:szCs w:val="20"/>
                <w:color w:val="auto"/>
              </w:rPr>
            </w:pPr>
          </w:p>
        </w:tc>
        <w:tc>
          <w:tcPr>
            <w:tcW w:w="1680" w:type="dxa"/>
            <w:vAlign w:val="bottom"/>
          </w:tcPr>
          <w:p>
            <w:pPr>
              <w:jc w:val="right"/>
              <w:ind w:right="374"/>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454"/>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31"/>
              <w:spacing w:after="0"/>
              <w:rPr>
                <w:sz w:val="20"/>
                <w:szCs w:val="20"/>
                <w:color w:val="auto"/>
              </w:rPr>
            </w:pPr>
            <w:r>
              <w:rPr>
                <w:rFonts w:ascii="Arial" w:cs="Arial" w:eastAsia="Arial" w:hAnsi="Arial"/>
                <w:sz w:val="18"/>
                <w:szCs w:val="18"/>
                <w:color w:val="auto"/>
              </w:rPr>
              <w:t>29.3 pts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-882650</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-530860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-170815</wp:posOffset>
            </wp:positionV>
            <wp:extent cx="72466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Year to Date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37465</wp:posOffset>
            </wp:positionV>
            <wp:extent cx="24009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00" w:lineRule="exact"/>
        <w:rPr>
          <w:sz w:val="20"/>
          <w:szCs w:val="20"/>
          <w:color w:val="auto"/>
        </w:rPr>
      </w:pPr>
    </w:p>
    <w:p>
      <w:pPr>
        <w:sectPr>
          <w:pgSz w:w="11900" w:h="16838" w:orient="portrait"/>
          <w:cols w:equalWidth="0" w:num="2">
            <w:col w:w="4200" w:space="720"/>
            <w:col w:w="6500"/>
          </w:cols>
          <w:pgMar w:left="240" w:top="125" w:right="239" w:bottom="1440" w:gutter="0" w:footer="0" w:header="0"/>
          <w:type w:val="continuous"/>
        </w:sect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thousands)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shd w:val="clear" w:color="auto" w:fill="CCEEFF"/>
        </w:rPr>
        <w:t>Sale of vacation ownership products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vacation ownership products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Marketing and sales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Development margin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Development margin percentage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9, 2016</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97"/>
        </w:trPr>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(274 days)</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(252 days)</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4"/>
                <w:szCs w:val="24"/>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 Change</w:t>
            </w:r>
          </w:p>
        </w:tc>
      </w:tr>
      <w:tr>
        <w:trPr>
          <w:trHeight w:val="243"/>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15,351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15,845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(494)</w:t>
            </w:r>
          </w:p>
        </w:tc>
        <w:tc>
          <w:tcPr>
            <w:tcW w:w="11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w:t>
            </w:r>
          </w:p>
        </w:tc>
      </w:tr>
      <w:tr>
        <w:trPr>
          <w:trHeight w:val="270"/>
        </w:trPr>
        <w:tc>
          <w:tcPr>
            <w:tcW w:w="18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(2,081)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(4,158)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2,077</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50%</w:t>
            </w:r>
          </w:p>
        </w:tc>
      </w:tr>
      <w:tr>
        <w:trPr>
          <w:trHeight w:val="270"/>
        </w:trPr>
        <w:tc>
          <w:tcPr>
            <w:tcW w:w="18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(12,583)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(13,388)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805</w:t>
            </w:r>
          </w:p>
        </w:tc>
        <w:tc>
          <w:tcPr>
            <w:tcW w:w="11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6%</w:t>
            </w:r>
          </w:p>
        </w:tc>
      </w:tr>
      <w:tr>
        <w:trPr>
          <w:trHeight w:val="27"/>
        </w:trPr>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2,388</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140%</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0"/>
        </w:trPr>
        <w:tc>
          <w:tcPr>
            <w:tcW w:w="180" w:type="dxa"/>
            <w:vAlign w:val="bottom"/>
          </w:tcPr>
          <w:p>
            <w:pPr>
              <w:spacing w:after="0"/>
              <w:rPr>
                <w:sz w:val="20"/>
                <w:szCs w:val="20"/>
                <w:color w:val="auto"/>
              </w:rPr>
            </w:pPr>
          </w:p>
        </w:tc>
        <w:tc>
          <w:tcPr>
            <w:tcW w:w="1680" w:type="dxa"/>
            <w:vAlign w:val="bottom"/>
          </w:tcPr>
          <w:p>
            <w:pPr>
              <w:jc w:val="right"/>
              <w:ind w:right="37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454"/>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31"/>
              <w:spacing w:after="0"/>
              <w:rPr>
                <w:sz w:val="20"/>
                <w:szCs w:val="20"/>
                <w:color w:val="auto"/>
              </w:rPr>
            </w:pPr>
            <w:r>
              <w:rPr>
                <w:rFonts w:ascii="Arial" w:cs="Arial" w:eastAsia="Arial" w:hAnsi="Arial"/>
                <w:sz w:val="18"/>
                <w:szCs w:val="18"/>
                <w:color w:val="auto"/>
              </w:rPr>
              <w:t>15.2 pts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-882650</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-530860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-170815</wp:posOffset>
            </wp:positionV>
            <wp:extent cx="72466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0" w:space="720"/>
            <w:col w:w="6500"/>
          </w:cols>
          <w:pgMar w:left="240" w:top="125" w:right="239" w:bottom="1440" w:gutter="0" w:footer="0" w:header="0"/>
          <w:type w:val="continuous"/>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5"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00" w:type="dxa"/>
            <w:vAlign w:val="bottom"/>
            <w:gridSpan w:val="5"/>
          </w:tcPr>
          <w:p>
            <w:pPr>
              <w:ind w:left="1200"/>
              <w:spacing w:after="0"/>
              <w:rPr>
                <w:sz w:val="20"/>
                <w:szCs w:val="20"/>
                <w:color w:val="auto"/>
              </w:rPr>
            </w:pPr>
            <w:r>
              <w:rPr>
                <w:rFonts w:ascii="Arial" w:cs="Arial" w:eastAsia="Arial" w:hAnsi="Arial"/>
                <w:sz w:val="16"/>
                <w:szCs w:val="16"/>
                <w:b w:val="1"/>
                <w:bCs w:val="1"/>
                <w:color w:val="auto"/>
              </w:rPr>
              <w:t>Quarter Ended</w:t>
            </w:r>
          </w:p>
        </w:tc>
        <w:tc>
          <w:tcPr>
            <w:tcW w:w="180" w:type="dxa"/>
            <w:vAlign w:val="bottom"/>
          </w:tcPr>
          <w:p>
            <w:pPr>
              <w:spacing w:after="0"/>
              <w:rPr>
                <w:sz w:val="18"/>
                <w:szCs w:val="18"/>
                <w:color w:val="auto"/>
              </w:rPr>
            </w:pPr>
          </w:p>
        </w:tc>
        <w:tc>
          <w:tcPr>
            <w:tcW w:w="3580" w:type="dxa"/>
            <w:vAlign w:val="bottom"/>
            <w:gridSpan w:val="4"/>
          </w:tcPr>
          <w:p>
            <w:pPr>
              <w:jc w:val="right"/>
              <w:ind w:right="1092"/>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September 30, 2017</w:t>
            </w:r>
          </w:p>
        </w:tc>
        <w:tc>
          <w:tcPr>
            <w:tcW w:w="200" w:type="dxa"/>
            <w:vAlign w:val="bottom"/>
          </w:tcPr>
          <w:p>
            <w:pPr>
              <w:spacing w:after="0"/>
              <w:rPr>
                <w:sz w:val="20"/>
                <w:szCs w:val="20"/>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September 9, 2016</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September 30, 2017</w:t>
            </w:r>
          </w:p>
        </w:tc>
        <w:tc>
          <w:tcPr>
            <w:tcW w:w="200" w:type="dxa"/>
            <w:vAlign w:val="bottom"/>
          </w:tcPr>
          <w:p>
            <w:pPr>
              <w:spacing w:after="0"/>
              <w:rPr>
                <w:sz w:val="20"/>
                <w:szCs w:val="20"/>
                <w:color w:val="auto"/>
              </w:rPr>
            </w:pPr>
          </w:p>
        </w:tc>
        <w:tc>
          <w:tcPr>
            <w:tcW w:w="1620" w:type="dxa"/>
            <w:vAlign w:val="bottom"/>
          </w:tcPr>
          <w:p>
            <w:pPr>
              <w:jc w:val="right"/>
              <w:ind w:right="192"/>
              <w:spacing w:after="0"/>
              <w:rPr>
                <w:sz w:val="20"/>
                <w:szCs w:val="20"/>
                <w:color w:val="auto"/>
              </w:rPr>
            </w:pPr>
            <w:r>
              <w:rPr>
                <w:rFonts w:ascii="Arial" w:cs="Arial" w:eastAsia="Arial" w:hAnsi="Arial"/>
                <w:sz w:val="16"/>
                <w:szCs w:val="16"/>
                <w:b w:val="1"/>
                <w:bCs w:val="1"/>
                <w:color w:val="auto"/>
                <w:w w:val="93"/>
              </w:rPr>
              <w:t>September 9, 2016</w:t>
            </w:r>
          </w:p>
        </w:tc>
      </w:tr>
      <w:tr>
        <w:trPr>
          <w:trHeight w:val="297"/>
        </w:trPr>
        <w:tc>
          <w:tcPr>
            <w:tcW w:w="37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4"/>
                <w:szCs w:val="24"/>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(92 days)</w:t>
            </w:r>
          </w:p>
        </w:tc>
        <w:tc>
          <w:tcPr>
            <w:tcW w:w="200" w:type="dxa"/>
            <w:vAlign w:val="bottom"/>
          </w:tcPr>
          <w:p>
            <w:pPr>
              <w:spacing w:after="0"/>
              <w:rPr>
                <w:sz w:val="24"/>
                <w:szCs w:val="24"/>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(84 days)</w:t>
            </w:r>
          </w:p>
        </w:tc>
        <w:tc>
          <w:tcPr>
            <w:tcW w:w="180" w:type="dxa"/>
            <w:vAlign w:val="bottom"/>
          </w:tcPr>
          <w:p>
            <w:pPr>
              <w:spacing w:after="0"/>
              <w:rPr>
                <w:sz w:val="24"/>
                <w:szCs w:val="2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(274 days)</w:t>
            </w:r>
          </w:p>
        </w:tc>
        <w:tc>
          <w:tcPr>
            <w:tcW w:w="200" w:type="dxa"/>
            <w:vAlign w:val="bottom"/>
          </w:tcPr>
          <w:p>
            <w:pPr>
              <w:spacing w:after="0"/>
              <w:rPr>
                <w:sz w:val="24"/>
                <w:szCs w:val="24"/>
                <w:color w:val="auto"/>
              </w:rPr>
            </w:pPr>
          </w:p>
        </w:tc>
        <w:tc>
          <w:tcPr>
            <w:tcW w:w="1620" w:type="dxa"/>
            <w:vAlign w:val="bottom"/>
          </w:tcPr>
          <w:p>
            <w:pPr>
              <w:jc w:val="right"/>
              <w:ind w:right="512"/>
              <w:spacing w:after="0"/>
              <w:rPr>
                <w:sz w:val="20"/>
                <w:szCs w:val="20"/>
                <w:color w:val="auto"/>
              </w:rPr>
            </w:pPr>
            <w:r>
              <w:rPr>
                <w:rFonts w:ascii="Arial" w:cs="Arial" w:eastAsia="Arial" w:hAnsi="Arial"/>
                <w:sz w:val="14"/>
                <w:szCs w:val="14"/>
                <w:b w:val="1"/>
                <w:bCs w:val="1"/>
                <w:color w:val="auto"/>
              </w:rPr>
              <w:t>(252 days)</w:t>
            </w:r>
          </w:p>
        </w:tc>
      </w:tr>
      <w:tr>
        <w:trPr>
          <w:trHeight w:val="25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6,151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5,097</w:t>
            </w: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11,782</w:t>
            </w: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26,666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22,151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83,739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72,871</w:t>
            </w: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Consumer financing interest</w:t>
            </w:r>
          </w:p>
        </w:tc>
        <w:tc>
          <w:tcPr>
            <w:tcW w:w="18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6,498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5,361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18,090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15,840</w:t>
            </w: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Royalty fee</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39,044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34,426</w:t>
            </w:r>
          </w:p>
        </w:tc>
      </w:tr>
      <w:tr>
        <w:trPr>
          <w:trHeight w:val="237"/>
        </w:trPr>
        <w:tc>
          <w:tcPr>
            <w:tcW w:w="3780" w:type="dxa"/>
            <w:vAlign w:val="bottom"/>
          </w:tcPr>
          <w:p>
            <w:pPr>
              <w:ind w:left="500"/>
              <w:spacing w:after="0"/>
              <w:rPr>
                <w:sz w:val="20"/>
                <w:szCs w:val="20"/>
                <w:color w:val="auto"/>
              </w:rPr>
            </w:pPr>
            <w:r>
              <w:rPr>
                <w:rFonts w:ascii="Arial" w:cs="Arial" w:eastAsia="Arial" w:hAnsi="Arial"/>
                <w:sz w:val="18"/>
                <w:szCs w:val="18"/>
                <w:b w:val="1"/>
                <w:bCs w:val="1"/>
                <w:color w:val="auto"/>
              </w:rPr>
              <w:t>TOTAL EXPENSES</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53,215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44,902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159,735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140,016</w:t>
            </w: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Gains (losses) and other income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(5,180)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(6,331)</w:t>
            </w: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TOTAL FINANCIAL RESULTS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(47,069)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(47,173)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(156,720)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(146,718)</w:t>
            </w:r>
          </w:p>
        </w:tc>
      </w:tr>
      <w:tr>
        <w:trPr>
          <w:trHeight w:val="27"/>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Corporate and Other consists of results not specifically attributable to an individual segment, including expenses in support of our financing operations, non-capitalizable development expenses incurred to support overall company development, company-wide general and administrative costs, corporate interest expense, consumer financing interest expense and the fixed royalty fee payable under the license agreements that we entered into with Marriott International in connection with our spin-off from Marriott International.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Expenses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Third Quarter</w:t>
      </w:r>
    </w:p>
    <w:p>
      <w:pPr>
        <w:spacing w:after="0" w:line="11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Total expenses increased $8.3 million from the 2016 third quarter. The $8.3 million increase resulted from $4.5 million of higher general and administrative expenses, $1.5 million of higher royalty fees due to the change to an end-of-month quarterly reporting cycle in 2017 that resulted in eight additional days in the 2017 third quarter ($1.0 million) and a contractual increase late in 2016 in the fixed portion of the royalty fee owed to Marriott International ($0.5 million), $1.1 million of higher consumer financing interest expense, $0.7 million of higher cost of vacation ownership products expenses due to higher development expenses, $0.5 million of higher financing expenses due to the change to an end-of-month quarterly reporting cycle in 2017 and the increase in the average gross vacation ownership notes receivable balance.</w:t>
      </w:r>
    </w:p>
    <w:p>
      <w:pPr>
        <w:spacing w:after="0" w:line="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General and administrative expenses increased $4.5 million due to approximately $2.0 million from the change to an end-of-month quarterly reporting cycle in 2017 and $2.5 million due to higher personnel related and other expenses. The higher personnel related and other expenses included annual merit, bonus and inflationary cost increases.</w:t>
      </w:r>
    </w:p>
    <w:p>
      <w:pPr>
        <w:spacing w:after="0" w:line="7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$1.1 million increase in consumer financing interest expense was due to a higher average outstanding debt balance and the change to an end-of-month quarterly reporting cycle in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Three Quarters</w:t>
      </w:r>
    </w:p>
    <w:p>
      <w:pPr>
        <w:spacing w:after="0" w:line="11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Total expenses increased $19.7 million from the 2016 first three quarters. The $19.7 million increase resulted from $10.9 million of higher general and administrative expenses, $4.6 million of higher royalty fees due to the change to an end-of-month quarterly reporting cycle in 2017 that resulted in 22 additional days in the 2017 first three quarters ($2.9 million) and a contractual increase late in 2016 in the fixed portion of the royalty fee owed to Marriott International ($1.7 million), $2.3 million of higher consumer financing interest expense, $1.1 million of higher cost of vacation ownership products expenses due to higher development expenses, $0.7 million of higher financing expenses due to the change to an end-of-month quarterly reporting cycle in 2017 and the increase in the average gross vacation ownership notes receivable balance and $0.2 million of litigation settlements in the 2017 first three quarters.</w:t>
      </w:r>
    </w:p>
    <w:p>
      <w:pPr>
        <w:spacing w:after="0" w:line="5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General and administrative expenses increased $10.9 million due to approximately $6.0 million from the change to an end-of-month quarterly reporting cycle in 2017 and $6.4 million due to higher personnel related and other expenses, partially offset by $1.5 million of lower litigation related costs. The higher personnel related and other expenses included annual merit, bonus and inflationary cost increases.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$2.3 million increase in consumer financing interest expense was due to a higher average outstanding debt balance and the change to an end-of-month quarterly reporting cycle in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See Footnote No. 1, “Summary of Significant Accounting Policies,” to our Financial Statements for a discussion of recently issued accounting pronouncements, including information on new accounting standards and the future adoption of such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capital needs are supported by cash on hand ($440.1 million at the end of the 2017 third quarter), cash generated from operations, our ability to raise capital through securitizations in the asset-backed securities market and, to the extent necessary, funds available under the Warehouse Credit Facility and our $250.0 million revolving credit facility (the “Revolving Corporate Credit Facility”). We believe these sources of capital will be adequate to meet our short-term and long-term liquidity requirements, finance our long-term growth plans, satisfy debt service requirements, fulfill other cash requirements and return capital to shareholders. At the end of the 2017 third quarter, we had $1.2 billion of total gross debt outstanding, which included $906.7 million of non-recourse debt associated with vacation ownership notes receivable securitizations, $230.0 million of Convertible Notes and a $63.6 million non-interest bearing note payable issued in connection with the acquisition of completed vacation ownership units located on the Big Island of Hawaii.</w:t>
      </w:r>
    </w:p>
    <w:p>
      <w:pPr>
        <w:spacing w:after="0" w:line="5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In September 2017, we completed a private offering of $230.0 million of Convertible Notes. While we do not have an immediate need for the proceeds, we felt that it was an opportune time for us to capitalize on the current interest rate environment and the strength of our stock price to optimize our capital structure. We evaluated several different debt instruments and believe that the one we chose provided the most flexibility for us in terms of covenants and use of proceeds, while enabling us to take advantage of the strength of our stock price and a very low current rate of interest. In connection with the Convertible Notes, we also entered into Convertible Note Hedges at a cost of $33.2 million, and received proceeds of $20.3 million from the issuance of Warrants. Issuance of the Convertible Notes resulted in the receipt of net proceeds, after adjusting for debt issue costs, including underwriting discount, and the net cash used to purchase the Convertible Note Hedges and sell the Warrants, of $210.8 million. See additional discussion in “Cash from Financing Activities” below and in Footnote No. 9, “Debt,” to our Financial Statements.</w:t>
      </w:r>
    </w:p>
    <w:p>
      <w:pPr>
        <w:spacing w:after="0" w:line="7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At the end of the 2017 third quarter, we had $730.5 million of real estate inventory on hand, comprised of $390.4 million of finished goods, $338.1 million of land and infrastructure and $2.0 million of work-in-progress. In addition, we had $49.1 million of completed vacation ownership units that have been classified as a component of Property and equipment until the time at which they are legally registered for sale as vacation ownership products.</w:t>
      </w:r>
    </w:p>
    <w:p>
      <w:pPr>
        <w:spacing w:after="0" w:line="3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Our vacation ownership product offerings allow us to utilize our real estate inventory efficiently. The majority of our sales are of points-based products, which permits us to sell vacation ownership products at most of our sales locations, including those where little or no weeks-based inventory remains available for sale. Because we no longer need specific resort-based inventory at each sales location, we need to have only a few resorts under construction at any given time and can leverage successful sales locations at completed resorts. This allows us to maintain long-term sales locations and reduces the need to develop and staff on-site sales locations at smaller projects in the future. We believe our points-based programs enable us to align our real estate inventory acquisitions with the pace of sales of vacation ownership products.</w:t>
      </w:r>
    </w:p>
    <w:p>
      <w:pPr>
        <w:spacing w:after="0" w:line="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are selectively pursuing growth opportunities in North America and Asia Pacific by targeting high-quality inventory that allows us to add desirable new destinations to our system with new on-site sales locations through transactions that limit our up-front capital investment and allow us to purchase finished inventory closer to the time it is needed for sale. These capital efficient deal structures may consist of the development of new inventory, or the conversion of previously built units by third parties, just prior to sale.</w:t>
      </w:r>
    </w:p>
    <w:p>
      <w:pPr>
        <w:spacing w:after="0" w:line="7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intend for our capital allocation strategy to strike a balance between enhancing our operations and using our capital to provide returns to our shareholders through programs such as share repurchase programs and payment of dividends.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During the 2017 first three quarters, we had a net increase in cash, cash equivalents and restricted cash of $288.7 million compared to a net increase of $44.1 million during the 2016 first three quarters. The following table summarizes these changes: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620" w:type="dxa"/>
            <w:vAlign w:val="bottom"/>
          </w:tcPr>
          <w:p>
            <w:pPr>
              <w:spacing w:after="0"/>
              <w:rPr>
                <w:sz w:val="18"/>
                <w:szCs w:val="18"/>
                <w:color w:val="auto"/>
              </w:rPr>
            </w:pPr>
          </w:p>
        </w:tc>
        <w:tc>
          <w:tcPr>
            <w:tcW w:w="3760" w:type="dxa"/>
            <w:vAlign w:val="bottom"/>
            <w:gridSpan w:val="2"/>
          </w:tcPr>
          <w:p>
            <w:pPr>
              <w:ind w:left="1220"/>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76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1"/>
        </w:trPr>
        <w:tc>
          <w:tcPr>
            <w:tcW w:w="76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September 30, 2017</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89"/>
              </w:rPr>
              <w:t>September 9, 2016</w:t>
            </w:r>
          </w:p>
        </w:tc>
      </w:tr>
      <w:tr>
        <w:trPr>
          <w:trHeight w:val="291"/>
        </w:trPr>
        <w:tc>
          <w:tcPr>
            <w:tcW w:w="762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(274 days)</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0"/>
              </w:rPr>
              <w:t>(252 days)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cash equivalents and restricted cash provided by (used in):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70,787</w:t>
            </w:r>
          </w:p>
        </w:tc>
        <w:tc>
          <w:tcPr>
            <w:tcW w:w="120" w:type="dxa"/>
            <w:vAlign w:val="bottom"/>
          </w:tcPr>
          <w:p>
            <w:pPr>
              <w:spacing w:after="0"/>
              <w:rPr>
                <w:sz w:val="20"/>
                <w:szCs w:val="20"/>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90,885</w:t>
            </w:r>
          </w:p>
        </w:tc>
      </w:tr>
      <w:tr>
        <w:trPr>
          <w:trHeight w:val="27"/>
        </w:trPr>
        <w:tc>
          <w:tcPr>
            <w:tcW w:w="7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Investing activities</w:t>
            </w: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(33,250)</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46,080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248,105</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(89,627)</w:t>
            </w:r>
          </w:p>
        </w:tc>
      </w:tr>
      <w:tr>
        <w:trPr>
          <w:trHeight w:val="27"/>
        </w:trPr>
        <w:tc>
          <w:tcPr>
            <w:tcW w:w="7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change in exchange rates on cash, cash equivalents and restricted cash</w:t>
            </w:r>
          </w:p>
        </w:tc>
        <w:tc>
          <w:tcPr>
            <w:tcW w:w="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3,031</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(3,247)</w:t>
            </w:r>
          </w:p>
        </w:tc>
      </w:tr>
      <w:tr>
        <w:trPr>
          <w:trHeight w:val="237"/>
        </w:trPr>
        <w:tc>
          <w:tcPr>
            <w:tcW w:w="7660" w:type="dxa"/>
            <w:vAlign w:val="bottom"/>
          </w:tcPr>
          <w:p>
            <w:pPr>
              <w:ind w:left="500"/>
              <w:spacing w:after="0"/>
              <w:rPr>
                <w:sz w:val="20"/>
                <w:szCs w:val="20"/>
                <w:color w:val="auto"/>
              </w:rPr>
            </w:pPr>
            <w:r>
              <w:rPr>
                <w:rFonts w:ascii="Arial" w:cs="Arial" w:eastAsia="Arial" w:hAnsi="Arial"/>
                <w:sz w:val="18"/>
                <w:szCs w:val="18"/>
                <w:color w:val="auto"/>
              </w:rPr>
              <w:t>Net change in cash, cash equivalents and restricted cash</w:t>
            </w: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288,673</w:t>
            </w:r>
          </w:p>
        </w:tc>
        <w:tc>
          <w:tcPr>
            <w:tcW w:w="12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44,091</w:t>
            </w:r>
          </w:p>
        </w:tc>
      </w:tr>
      <w:tr>
        <w:trPr>
          <w:trHeight w:val="27"/>
        </w:trPr>
        <w:tc>
          <w:tcPr>
            <w:tcW w:w="76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Operating Activities</w:t>
      </w:r>
    </w:p>
    <w:p>
      <w:pPr>
        <w:spacing w:after="0" w:line="11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primary sources of funds from operations are (1) cash sales and down payments on financed sales, (2) cash from our financing operations, including principal and interest payments received on outstanding vacation ownership notes receivable and (3) net cash generated from our rental and resort management and other services operations. Outflows include spending for the development of new phases of existing resorts, the acquisition of additional inventory and funding our working capital needs.</w:t>
      </w:r>
    </w:p>
    <w:p>
      <w:pPr>
        <w:spacing w:after="0" w:line="7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compensation-related outflows. In addition, our cash from operations varies due to the timing of our owners’ repayment of vacation ownership notes receivable, the closing of sales contracts for vacation ownership products, financing propensity and cash outlays for real estate inventory acquisition and development.</w:t>
      </w:r>
    </w:p>
    <w:p>
      <w:pPr>
        <w:spacing w:after="0" w:line="8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the 2017 first three quarters, we generated $70.8 million of cash flows from operating activities, compared to $90.9 million in the 2016 first three quarters. Excluding the impact of changes in net income and adjustments for non-cash items, the change in cash flows from operations reflected higher originations driven by higher contract sales and higher financing propensity due to the continued success of the financing incentive programs offered in our North America segment, higher real estate inventory spending and timing of payments related to unsold inventory, partially offset by higher closings on vacation ownership contract sales, higher collections due to an increasing portfolio of outstanding vacation ownership notes receivable and lower payments related to employee benefits programs.</w:t>
      </w:r>
    </w:p>
    <w:p>
      <w:pPr>
        <w:spacing w:after="0" w:line="8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In addition to net income and adjustments for non-cash items, the following operating activities are key drivers of our cash flow from operating activities: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Real Estate Inventory Spending in Excess of Cost of Sales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80" w:type="dxa"/>
            <w:vAlign w:val="bottom"/>
            <w:gridSpan w:val="4"/>
          </w:tcPr>
          <w:p>
            <w:pPr>
              <w:jc w:val="right"/>
              <w:ind w:right="1094"/>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7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September 30, 2017</w:t>
            </w:r>
          </w:p>
        </w:tc>
        <w:tc>
          <w:tcPr>
            <w:tcW w:w="200" w:type="dxa"/>
            <w:vAlign w:val="bottom"/>
          </w:tcPr>
          <w:p>
            <w:pPr>
              <w:spacing w:after="0"/>
              <w:rPr>
                <w:sz w:val="20"/>
                <w:szCs w:val="20"/>
                <w:color w:val="auto"/>
              </w:rPr>
            </w:pPr>
          </w:p>
        </w:tc>
        <w:tc>
          <w:tcPr>
            <w:tcW w:w="1620" w:type="dxa"/>
            <w:vAlign w:val="bottom"/>
          </w:tcPr>
          <w:p>
            <w:pPr>
              <w:jc w:val="right"/>
              <w:ind w:right="194"/>
              <w:spacing w:after="0"/>
              <w:rPr>
                <w:sz w:val="20"/>
                <w:szCs w:val="20"/>
                <w:color w:val="auto"/>
              </w:rPr>
            </w:pPr>
            <w:r>
              <w:rPr>
                <w:rFonts w:ascii="Arial" w:cs="Arial" w:eastAsia="Arial" w:hAnsi="Arial"/>
                <w:sz w:val="16"/>
                <w:szCs w:val="16"/>
                <w:b w:val="1"/>
                <w:bCs w:val="1"/>
                <w:color w:val="auto"/>
                <w:w w:val="93"/>
              </w:rPr>
              <w:t>September 9, 2016</w:t>
            </w:r>
          </w:p>
        </w:tc>
      </w:tr>
      <w:tr>
        <w:trPr>
          <w:trHeight w:val="297"/>
        </w:trPr>
        <w:tc>
          <w:tcPr>
            <w:tcW w:w="76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4"/>
                <w:szCs w:val="2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(274 days)</w:t>
            </w:r>
          </w:p>
        </w:tc>
        <w:tc>
          <w:tcPr>
            <w:tcW w:w="200" w:type="dxa"/>
            <w:vAlign w:val="bottom"/>
          </w:tcPr>
          <w:p>
            <w:pPr>
              <w:spacing w:after="0"/>
              <w:rPr>
                <w:sz w:val="24"/>
                <w:szCs w:val="24"/>
                <w:color w:val="auto"/>
              </w:rPr>
            </w:pPr>
          </w:p>
        </w:tc>
        <w:tc>
          <w:tcPr>
            <w:tcW w:w="1620" w:type="dxa"/>
            <w:vAlign w:val="bottom"/>
          </w:tcPr>
          <w:p>
            <w:pPr>
              <w:jc w:val="right"/>
              <w:ind w:right="514"/>
              <w:spacing w:after="0"/>
              <w:rPr>
                <w:sz w:val="20"/>
                <w:szCs w:val="20"/>
                <w:color w:val="auto"/>
              </w:rPr>
            </w:pPr>
            <w:r>
              <w:rPr>
                <w:rFonts w:ascii="Arial" w:cs="Arial" w:eastAsia="Arial" w:hAnsi="Arial"/>
                <w:sz w:val="14"/>
                <w:szCs w:val="14"/>
                <w:b w:val="1"/>
                <w:bCs w:val="1"/>
                <w:color w:val="auto"/>
              </w:rPr>
              <w:t>(252 days)</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inventory spending</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(102,645)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Purchase of vacation ownership units for future transfer to inventory</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(33,594)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inventory costs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121,582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95,746</w:t>
            </w: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Real estate inventory spending in excess of cost of sales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(6,899)</w:t>
            </w:r>
          </w:p>
        </w:tc>
      </w:tr>
      <w:tr>
        <w:trPr>
          <w:trHeight w:val="27"/>
        </w:trPr>
        <w:tc>
          <w:tcPr>
            <w:tcW w:w="7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We measure our real estate inventory capital efficiency by comparing the cash outflow for real estate inventory spending (a cash item) to the amount of real estate inventory costs charged to expense on our Statements of Income related to sale of vacation ownership products (a non-cash item).</w:t>
      </w:r>
    </w:p>
    <w:p>
      <w:pPr>
        <w:spacing w:after="0" w:line="16"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Our real estate inventory spending exceeded real estate inventory costs in the 2017 first three quarters as we satisfied a portion of our commitments to purchase vacation ownership units in our North America and Asia Pacific segments. However, we expect our inventory spending to be in line with inventory costs throughout the remainder of 2017. Real estate inventory spending included the acquisition of 112 completed vacation ownership units located on the Big Island of Hawaii for $27.3 million, as well as 51 completed vacation ownership units located in Bali, Indonesia for $12.1 million. In connection with the acquisition on the Big Island of Hawaii, we also settled a $0.5 million note receivable from the seller on a non-cash basis,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issued a non-interest bearing note payable for $63.6 million. Purchase of vacation ownership units for future transfer to inventory included the acquisition of 36 completed vacation ownership units located at our resort in Marco Island, Florida, for $33.6 million. We entered into these commitments in prior periods as part of our capital efficiency strategy to limit our up-front capital investment and purchase finished inventory closer to the time it is needed for sale. See Footnote No. 5, “Acquisitions and Dispositions,” and Footnote No. 8, “Contingencies and Commitments,” to our Financial Statements for additional information regarding these transactions.</w:t>
      </w:r>
    </w:p>
    <w:p>
      <w:pPr>
        <w:spacing w:after="0" w:line="80"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Our real estate inventory spending exceeded real estate inventory costs in the 2016 first three quarters, as a result of our opportunistic acquisition efforts. Real estate inventory spending included $23.5 million for the acquisition of an operating property located in the South Beach area of Miami Beach, Florida. We rebranded this property as Marriott Vacation Club Pulse, South Beach and converted it, in its entirety, into vacation ownership inventory. See Footnote No. 5, “Acquisitions and Dispositions,” to our Financial Statements for additional information regarding this transaction.</w:t>
      </w:r>
    </w:p>
    <w:p>
      <w:pPr>
        <w:spacing w:after="0" w:line="4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Through our existing vacation ownership interest repurchase program, we proactively buy back previously sold vacation ownership interests at lower costs than would be required to develop new inventory. By repurchasing inventory in desirable locations, we expect to be able to stabilize the future cost of vacation ownership products.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Vacation Ownership Notes Receivable Collections Less Than Originations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80" w:type="dxa"/>
            <w:vAlign w:val="bottom"/>
            <w:gridSpan w:val="4"/>
          </w:tcPr>
          <w:p>
            <w:pPr>
              <w:jc w:val="right"/>
              <w:ind w:right="1094"/>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7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September 30, 2017</w:t>
            </w:r>
          </w:p>
        </w:tc>
        <w:tc>
          <w:tcPr>
            <w:tcW w:w="200" w:type="dxa"/>
            <w:vAlign w:val="bottom"/>
          </w:tcPr>
          <w:p>
            <w:pPr>
              <w:spacing w:after="0"/>
              <w:rPr>
                <w:sz w:val="20"/>
                <w:szCs w:val="20"/>
                <w:color w:val="auto"/>
              </w:rPr>
            </w:pPr>
          </w:p>
        </w:tc>
        <w:tc>
          <w:tcPr>
            <w:tcW w:w="1620" w:type="dxa"/>
            <w:vAlign w:val="bottom"/>
          </w:tcPr>
          <w:p>
            <w:pPr>
              <w:jc w:val="right"/>
              <w:ind w:right="194"/>
              <w:spacing w:after="0"/>
              <w:rPr>
                <w:sz w:val="20"/>
                <w:szCs w:val="20"/>
                <w:color w:val="auto"/>
              </w:rPr>
            </w:pPr>
            <w:r>
              <w:rPr>
                <w:rFonts w:ascii="Arial" w:cs="Arial" w:eastAsia="Arial" w:hAnsi="Arial"/>
                <w:sz w:val="16"/>
                <w:szCs w:val="16"/>
                <w:b w:val="1"/>
                <w:bCs w:val="1"/>
                <w:color w:val="auto"/>
                <w:w w:val="93"/>
              </w:rPr>
              <w:t>September 9, 2016</w:t>
            </w:r>
          </w:p>
        </w:tc>
      </w:tr>
      <w:tr>
        <w:trPr>
          <w:trHeight w:val="297"/>
        </w:trPr>
        <w:tc>
          <w:tcPr>
            <w:tcW w:w="76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4"/>
                <w:szCs w:val="2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(274 days)</w:t>
            </w:r>
          </w:p>
        </w:tc>
        <w:tc>
          <w:tcPr>
            <w:tcW w:w="200" w:type="dxa"/>
            <w:vAlign w:val="bottom"/>
          </w:tcPr>
          <w:p>
            <w:pPr>
              <w:spacing w:after="0"/>
              <w:rPr>
                <w:sz w:val="24"/>
                <w:szCs w:val="24"/>
                <w:color w:val="auto"/>
              </w:rPr>
            </w:pPr>
          </w:p>
        </w:tc>
        <w:tc>
          <w:tcPr>
            <w:tcW w:w="1620" w:type="dxa"/>
            <w:vAlign w:val="bottom"/>
          </w:tcPr>
          <w:p>
            <w:pPr>
              <w:jc w:val="right"/>
              <w:ind w:right="514"/>
              <w:spacing w:after="0"/>
              <w:rPr>
                <w:sz w:val="20"/>
                <w:szCs w:val="20"/>
                <w:color w:val="auto"/>
              </w:rPr>
            </w:pPr>
            <w:r>
              <w:rPr>
                <w:rFonts w:ascii="Arial" w:cs="Arial" w:eastAsia="Arial" w:hAnsi="Arial"/>
                <w:sz w:val="14"/>
                <w:szCs w:val="14"/>
                <w:b w:val="1"/>
                <w:bCs w:val="1"/>
                <w:color w:val="auto"/>
              </w:rPr>
              <w:t>(252 days)</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Vacation ownership notes receivable collections — non-securitized</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59,115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54,209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Vacation ownership notes receivable collections — securitized</w:t>
            </w:r>
          </w:p>
        </w:tc>
        <w:tc>
          <w:tcPr>
            <w:tcW w:w="180" w:type="dxa"/>
            <w:vAlign w:val="bottom"/>
          </w:tcPr>
          <w:p>
            <w:pPr>
              <w:spacing w:after="0"/>
              <w:rPr>
                <w:sz w:val="21"/>
                <w:szCs w:val="21"/>
                <w:color w:val="auto"/>
              </w:rPr>
            </w:pP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144,725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123,242</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Vacation ownership notes receivable originations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(345,663)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(218,190)</w:t>
            </w: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Vacation ownership notes receivable collections less than originations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(141,823)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(40,739)</w:t>
            </w:r>
          </w:p>
        </w:tc>
      </w:tr>
      <w:tr>
        <w:trPr>
          <w:trHeight w:val="27"/>
        </w:trPr>
        <w:tc>
          <w:tcPr>
            <w:tcW w:w="7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Vacation ownership notes receivable collections include principal from non-securitized and securitized vacation ownership notes receivable. Vacation ownership notes receivable collections increased during the 2017 first three quarters, as compared to the 2016 first three quarters, due to an increase in the portfolio of outstanding vacation ownership notes receivable. Vacation ownership notes receivable originations in the 2017 first three quarters increased due to higher vacation ownership contract sales, including the impact from the change in the quarterly reporting cycle, and an increase in financing propensity to 64.9 percent for the 2017 first three quarters compared to 59.1 percent for the 2016 first three quarters, due to the continued success of the financing incentive programs that we offer in our North America segment. Given the success of these incentives to date, we expect financing propensity levels during the 2017 fiscal year to approximate 65 percent as we intend to continue to offer financing incentive programs.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Investing Activities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80" w:type="dxa"/>
            <w:vAlign w:val="bottom"/>
            <w:gridSpan w:val="4"/>
          </w:tcPr>
          <w:p>
            <w:pPr>
              <w:jc w:val="right"/>
              <w:ind w:right="1094"/>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7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September 30, 2017</w:t>
            </w:r>
          </w:p>
        </w:tc>
        <w:tc>
          <w:tcPr>
            <w:tcW w:w="200" w:type="dxa"/>
            <w:vAlign w:val="bottom"/>
          </w:tcPr>
          <w:p>
            <w:pPr>
              <w:spacing w:after="0"/>
              <w:rPr>
                <w:sz w:val="20"/>
                <w:szCs w:val="20"/>
                <w:color w:val="auto"/>
              </w:rPr>
            </w:pPr>
          </w:p>
        </w:tc>
        <w:tc>
          <w:tcPr>
            <w:tcW w:w="1620" w:type="dxa"/>
            <w:vAlign w:val="bottom"/>
          </w:tcPr>
          <w:p>
            <w:pPr>
              <w:jc w:val="right"/>
              <w:ind w:right="194"/>
              <w:spacing w:after="0"/>
              <w:rPr>
                <w:sz w:val="20"/>
                <w:szCs w:val="20"/>
                <w:color w:val="auto"/>
              </w:rPr>
            </w:pPr>
            <w:r>
              <w:rPr>
                <w:rFonts w:ascii="Arial" w:cs="Arial" w:eastAsia="Arial" w:hAnsi="Arial"/>
                <w:sz w:val="16"/>
                <w:szCs w:val="16"/>
                <w:b w:val="1"/>
                <w:bCs w:val="1"/>
                <w:color w:val="auto"/>
                <w:w w:val="93"/>
              </w:rPr>
              <w:t>September 9, 2016</w:t>
            </w:r>
          </w:p>
        </w:tc>
      </w:tr>
      <w:tr>
        <w:trPr>
          <w:trHeight w:val="297"/>
        </w:trPr>
        <w:tc>
          <w:tcPr>
            <w:tcW w:w="76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4"/>
                <w:szCs w:val="2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(274 days)</w:t>
            </w:r>
          </w:p>
        </w:tc>
        <w:tc>
          <w:tcPr>
            <w:tcW w:w="200" w:type="dxa"/>
            <w:vAlign w:val="bottom"/>
          </w:tcPr>
          <w:p>
            <w:pPr>
              <w:spacing w:after="0"/>
              <w:rPr>
                <w:sz w:val="24"/>
                <w:szCs w:val="24"/>
                <w:color w:val="auto"/>
              </w:rPr>
            </w:pPr>
          </w:p>
        </w:tc>
        <w:tc>
          <w:tcPr>
            <w:tcW w:w="1620" w:type="dxa"/>
            <w:vAlign w:val="bottom"/>
          </w:tcPr>
          <w:p>
            <w:pPr>
              <w:jc w:val="right"/>
              <w:ind w:right="514"/>
              <w:spacing w:after="0"/>
              <w:rPr>
                <w:sz w:val="20"/>
                <w:szCs w:val="20"/>
                <w:color w:val="auto"/>
              </w:rPr>
            </w:pPr>
            <w:r>
              <w:rPr>
                <w:rFonts w:ascii="Arial" w:cs="Arial" w:eastAsia="Arial" w:hAnsi="Arial"/>
                <w:sz w:val="14"/>
                <w:szCs w:val="14"/>
                <w:b w:val="1"/>
                <w:bCs w:val="1"/>
                <w:color w:val="auto"/>
              </w:rPr>
              <w:t>(252 days)</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Capital expenditures for property and equipment (excluding inventory)</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Purchase of company owned life insurance</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(12,100)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Dispositions, net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68,525</w:t>
            </w: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Net cash (used in) provided by investing activities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(33,250)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46,080</w:t>
            </w: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117"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Capital expenditures for property and equipment relate to spending for technology development, buildings and equipment used at sales locations and ancillary offerings, such as food and beverage offerings, at locations where such offerings are provided.</w:t>
      </w:r>
    </w:p>
    <w:p>
      <w:pPr>
        <w:spacing w:after="0" w:line="62"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In the 2017 first three quarters, capital expenditures for property and equipment of $21.2 million included $19.7 million to support business operations (including $11.4 million for ancillary and other operations assets and $8.3 million for sales locations) and $1.5 million for technology spending.</w:t>
      </w:r>
    </w:p>
    <w:p>
      <w:pPr>
        <w:spacing w:after="0" w:line="16"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In the 2016 first three quarters, capital expenditures for property and equipment of $22.4 million included $16.8 million to support business operations (including $13.7 million for sales locations and $3.1 million for ancillary and other operations assets) and $5.6 million for technology spending.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of Company Owned Life Insurance</w:t>
      </w:r>
    </w:p>
    <w:p>
      <w:pPr>
        <w:spacing w:after="0" w:line="11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To support our ability to meet a portion of our obligations under the Marriott Vacations Worldwide Corporation Deferred Compensation Plan (the “Deferred Compensation Plan”), we acquired company owned insurance policies on the lives of certain participants in the Deferred Compensation Plan, the proceeds of which are intended to be aligned with the investment alternatives elected by plan participants as discussed in Footnote No. 1, “Summary of Significant Accounting Policies”, to our Financial Statements. During the 2017 first three quarters, we paid $12.1 million for the acquisition of these policies.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Dispositions, net</w:t>
      </w:r>
    </w:p>
    <w:p>
      <w:pPr>
        <w:spacing w:after="0" w:line="11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Dispositions in the 2016 first three quarters related to the sale of the remaining downsized portion of the operating property in Surfers Paradise, Australia for $49.1 million, the sale of excess inventory at the RCC San Francisco for $19.3 million and the sale of undeveloped land in Absecon, New Jersey for $0.1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Financing Activities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40" w:type="dxa"/>
            <w:vAlign w:val="bottom"/>
            <w:gridSpan w:val="4"/>
          </w:tcPr>
          <w:p>
            <w:pPr>
              <w:jc w:val="right"/>
              <w:ind w:right="1192"/>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7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7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September 30, 2017</w:t>
            </w:r>
          </w:p>
        </w:tc>
        <w:tc>
          <w:tcPr>
            <w:tcW w:w="220" w:type="dxa"/>
            <w:vAlign w:val="bottom"/>
          </w:tcPr>
          <w:p>
            <w:pPr>
              <w:spacing w:after="0"/>
              <w:rPr>
                <w:sz w:val="20"/>
                <w:szCs w:val="20"/>
                <w:color w:val="auto"/>
              </w:rPr>
            </w:pPr>
          </w:p>
        </w:tc>
        <w:tc>
          <w:tcPr>
            <w:tcW w:w="1700" w:type="dxa"/>
            <w:vAlign w:val="bottom"/>
          </w:tcPr>
          <w:p>
            <w:pPr>
              <w:jc w:val="right"/>
              <w:ind w:right="232"/>
              <w:spacing w:after="0"/>
              <w:rPr>
                <w:sz w:val="20"/>
                <w:szCs w:val="20"/>
                <w:color w:val="auto"/>
              </w:rPr>
            </w:pPr>
            <w:r>
              <w:rPr>
                <w:rFonts w:ascii="Arial" w:cs="Arial" w:eastAsia="Arial" w:hAnsi="Arial"/>
                <w:sz w:val="16"/>
                <w:szCs w:val="16"/>
                <w:b w:val="1"/>
                <w:bCs w:val="1"/>
                <w:color w:val="auto"/>
                <w:w w:val="96"/>
              </w:rPr>
              <w:t>September 9, 2016</w:t>
            </w:r>
          </w:p>
        </w:tc>
      </w:tr>
      <w:tr>
        <w:trPr>
          <w:trHeight w:val="297"/>
        </w:trPr>
        <w:tc>
          <w:tcPr>
            <w:tcW w:w="73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4"/>
                <w:szCs w:val="2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(274 days)</w:t>
            </w:r>
          </w:p>
        </w:tc>
        <w:tc>
          <w:tcPr>
            <w:tcW w:w="220" w:type="dxa"/>
            <w:vAlign w:val="bottom"/>
          </w:tcPr>
          <w:p>
            <w:pPr>
              <w:spacing w:after="0"/>
              <w:rPr>
                <w:sz w:val="24"/>
                <w:szCs w:val="24"/>
                <w:color w:val="auto"/>
              </w:rPr>
            </w:pPr>
          </w:p>
        </w:tc>
        <w:tc>
          <w:tcPr>
            <w:tcW w:w="1700" w:type="dxa"/>
            <w:vAlign w:val="bottom"/>
          </w:tcPr>
          <w:p>
            <w:pPr>
              <w:jc w:val="right"/>
              <w:ind w:right="552"/>
              <w:spacing w:after="0"/>
              <w:rPr>
                <w:sz w:val="20"/>
                <w:szCs w:val="20"/>
                <w:color w:val="auto"/>
              </w:rPr>
            </w:pPr>
            <w:r>
              <w:rPr>
                <w:rFonts w:ascii="Arial" w:cs="Arial" w:eastAsia="Arial" w:hAnsi="Arial"/>
                <w:sz w:val="14"/>
                <w:szCs w:val="14"/>
                <w:b w:val="1"/>
                <w:bCs w:val="1"/>
                <w:color w:val="auto"/>
              </w:rPr>
              <w:t>(252 days)</w:t>
            </w:r>
          </w:p>
        </w:tc>
      </w:tr>
      <w:tr>
        <w:trPr>
          <w:trHeight w:val="250"/>
        </w:trPr>
        <w:tc>
          <w:tcPr>
            <w:tcW w:w="7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Borrowings from securitization transactions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376,622</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Repayment of debt related to securitization transactions</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(231,921)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(254,510)</w:t>
            </w:r>
          </w:p>
        </w:tc>
      </w:tr>
      <w:tr>
        <w:trPr>
          <w:trHeight w:val="27"/>
        </w:trPr>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Borrowings from Revolving Corporate Credit Facility</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85,000</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Repayment of Revolving Corporate Credit Facility</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(87,500)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(85,000)</w:t>
            </w:r>
          </w:p>
        </w:tc>
      </w:tr>
      <w:tr>
        <w:trPr>
          <w:trHeight w:val="27"/>
        </w:trPr>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Proceeds from issuance of Convertible Notes</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Purchase of Convertible Note Hedges</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(33,235)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Proceeds from issuance of Warrants</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(14,459)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(4,065)</w:t>
            </w:r>
          </w:p>
        </w:tc>
      </w:tr>
      <w:tr>
        <w:trPr>
          <w:trHeight w:val="27"/>
        </w:trPr>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Repurchase of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(163,359)</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Accelerated stock repurchase forward contract</w:t>
            </w:r>
          </w:p>
        </w:tc>
        <w:tc>
          <w:tcPr>
            <w:tcW w:w="20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(14,470)</w:t>
            </w:r>
          </w:p>
        </w:tc>
      </w:tr>
      <w:tr>
        <w:trPr>
          <w:trHeight w:val="27"/>
        </w:trPr>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Payment of dividends</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(26,067)</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(10,713)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(3,972)</w:t>
            </w:r>
          </w:p>
        </w:tc>
      </w:tr>
      <w:tr>
        <w:trPr>
          <w:trHeight w:val="27"/>
        </w:trPr>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net</w:t>
            </w: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w:t>
            </w:r>
          </w:p>
        </w:tc>
      </w:tr>
      <w:tr>
        <w:trPr>
          <w:trHeight w:val="257"/>
        </w:trPr>
        <w:tc>
          <w:tcPr>
            <w:tcW w:w="7360" w:type="dxa"/>
            <w:vAlign w:val="bottom"/>
          </w:tcPr>
          <w:p>
            <w:pPr>
              <w:ind w:left="28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248,105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(89,627)</w:t>
            </w:r>
          </w:p>
        </w:tc>
      </w:tr>
      <w:tr>
        <w:trPr>
          <w:trHeight w:val="20"/>
        </w:trPr>
        <w:tc>
          <w:tcPr>
            <w:tcW w:w="7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Borrowings from / Repayment of Debt Related to Securitization Transactions</w:t>
      </w:r>
    </w:p>
    <w:p>
      <w:pPr>
        <w:spacing w:after="0" w:line="117"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We reflect proceeds from securitizations of vacation ownership notes receivable, including draw downs on the Warehouse Credit Facility, as “Borrowings from securitization transactions.” We reflect repayments of bonds associated with vacation ownership notes receivable securitizations and repayments on the Warehouse Credit Facility (including vacation ownership notes receivable repurchases) as “Repayment of debt related to securitization transactions.”</w:t>
      </w:r>
    </w:p>
    <w:p>
      <w:pPr>
        <w:spacing w:after="0" w:line="7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the 2017 third quarter, we completed the securitization of a pool of $360.8 million of vacation ownership notes receivable generating gross cash proceeds of $349.9 million. In connection with the securitization, investors purchased in a private placement $350.0 million in vacation ownership loan backed notes from the MVW Owner Trust 2017-1 (the “2017-1 Trust”). Three classes of vacation ownership loan backed notes were issued by the 2017-1 Trust: $276.0 million of Class A Notes, $46.9 million of Class B Notes and $27.1 million of Class C Notes. The Class A Notes have an interest rate of 2.42 percent, the Class B Notes have an interest rate of 2.75 percent and the Class C Notes have an interest rate of 2.99 percent, for an overall weighted average interest rate of 2.51 percent.</w:t>
      </w:r>
    </w:p>
    <w:p>
      <w:pPr>
        <w:spacing w:after="0" w:line="8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During the 2017 second quarter, we securitized vacation ownership notes receivable under our Warehouse Credit Facility. The carrying amount of the vacation ownership notes receivable securitized was $59.1 million. The advance rate was 85 percent, which resulted in gross proceeds of $50.3 million. Net proceeds were $50.0 million due to the funding of reserve accounts in the amount of $0.3 million. There were no amounts outstanding under this facility as of September 30, 2017.</w:t>
      </w:r>
    </w:p>
    <w:p>
      <w:pPr>
        <w:spacing w:after="0" w:line="7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At September 30, 2017, $47.6 million of gross vacation ownership notes receivable were eligible for securitization. See Footnote No. 9, “Debt,” to our Financial Statements for additional information regarding our Warehouse Credit Facility.</w:t>
      </w:r>
    </w:p>
    <w:p>
      <w:pPr>
        <w:spacing w:after="0" w:line="62" w:lineRule="exact"/>
        <w:rPr>
          <w:sz w:val="20"/>
          <w:szCs w:val="20"/>
          <w:color w:val="auto"/>
        </w:rPr>
      </w:pPr>
    </w:p>
    <w:p>
      <w:pPr>
        <w:ind w:right="160" w:firstLine="662"/>
        <w:spacing w:after="0" w:line="264" w:lineRule="auto"/>
        <w:rPr>
          <w:sz w:val="20"/>
          <w:szCs w:val="20"/>
          <w:color w:val="auto"/>
        </w:rPr>
      </w:pPr>
      <w:r>
        <w:rPr>
          <w:rFonts w:ascii="Arial" w:cs="Arial" w:eastAsia="Arial" w:hAnsi="Arial"/>
          <w:sz w:val="18"/>
          <w:szCs w:val="18"/>
          <w:color w:val="auto"/>
        </w:rPr>
        <w:t>In the 2016 third quarter, we completed the securitization of a pool of $259.1 million of vacation ownership notes receivable generating gross cash proceeds of $250.0 million. In connection with the securitization, investors purchased in a private placement $250.0 million in vacation ownership loan backed notes from the MVW Owner Trust 2016-1 (the “2016-1</w:t>
      </w:r>
    </w:p>
    <w:p>
      <w:pPr>
        <w:sectPr>
          <w:pgSz w:w="11900" w:h="16838" w:orient="portrait"/>
          <w:cols w:equalWidth="0" w:num="1">
            <w:col w:w="11380"/>
          </w:cols>
          <w:pgMar w:left="240" w:top="125" w:right="279" w:bottom="1440" w:gutter="0" w:footer="0" w:header="0"/>
        </w:sect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380"/>
          </w:cols>
          <w:pgMar w:left="240" w:top="125" w:right="27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Trust”). Two classes of vacation ownership loan backed notes were issued by the 2016-1 Trust: $230.6 million of Class A Notes and $19.4 million of Class B Notes. The Class A Notes have an interest rate of 2.25 percent and the Class B Notes have an interest rate of 2.64 percent, for an overall weighted average interest rate of 2.28 percent.</w:t>
      </w:r>
    </w:p>
    <w:p>
      <w:pPr>
        <w:spacing w:after="0" w:line="73" w:lineRule="exact"/>
        <w:rPr>
          <w:sz w:val="20"/>
          <w:szCs w:val="20"/>
          <w:color w:val="auto"/>
        </w:rPr>
      </w:pPr>
    </w:p>
    <w:p>
      <w:pPr>
        <w:jc w:val="both"/>
        <w:ind w:right="620" w:firstLine="648"/>
        <w:spacing w:after="0" w:line="264" w:lineRule="auto"/>
        <w:rPr>
          <w:sz w:val="20"/>
          <w:szCs w:val="20"/>
          <w:color w:val="auto"/>
        </w:rPr>
      </w:pPr>
      <w:r>
        <w:rPr>
          <w:rFonts w:ascii="Arial" w:cs="Arial" w:eastAsia="Arial" w:hAnsi="Arial"/>
          <w:sz w:val="18"/>
          <w:szCs w:val="18"/>
          <w:color w:val="auto"/>
        </w:rPr>
        <w:t>During 2016, we securitized vacation ownership notes receivable under our Warehouse Credit Facility. The carrying amount of the vacation ownership notes receivable securitized was $149.5 million. The advance rate was 85 percent, which resulted in gross proceeds of $126.6 million. Net proceeds were $125.7 million due to the funding of reserve accounts in the amount of $0.9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Borrowings from / Repayment of Revolving Corporate Credit Facility</w:t>
      </w:r>
    </w:p>
    <w:p>
      <w:pPr>
        <w:spacing w:after="0" w:line="11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During the 2017 first three quarters, we borrowed $87.5 million under our Previous Revolving Corporate Credit Facility to facilitate the funding of our short-term working capital needs, all of which was repaid as of September 30, 2017. See Footnote No. 9, “Debt,” to our Financial Statements for additional information regarding our Revolving Corporate Credit Facility.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Proceeds from Issuance of Convertible Notes</w:t>
      </w:r>
    </w:p>
    <w:p>
      <w:pPr>
        <w:spacing w:after="0" w:line="11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During the 2017 third quarter, we issued $230.0 million of Convertible Notes, which included the exercise in full of the $30.0 million over-allotment option we granted to the initial purchasers of the Convertible Notes. We received net proceeds from the offering of approximately $223.7 million after adjusting for debt issuance costs, including the discount to the initial purchasers. We used $40.1 million of the net proceeds to repurchase shares of our common stock from purchasers of the Convertible Notes in privately negotiated repurchase transactions, which is included as a Financing Activity in Repurchase of Common Stock as discussed below, and approximately $12.9 million of the net proceeds to pay the cost of the Convertible Note Hedges, after such cost was partially offset by the proceeds from the issuance of the Warrants, as discussed below. See Footnote No. 9, “Debt,” to our Financial Statements for additional information on our Convertible Notes transaction.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of Convertible Note Hedges / Proceeds from Issuance of Warrants</w:t>
      </w:r>
    </w:p>
    <w:p>
      <w:pPr>
        <w:spacing w:after="0" w:line="11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connection with the offering of the Convertible Notes, we entered into Convertible Note Hedges with respect to our common stock, covering approximately 1.55 million shares of our common stock at a cost of $33.2 million. Concurrently, we sold Warrants to acquire approximately 1.55 million shares of our common stock at an initial strike price of $176.68 per share and received aggregate proceeds of $20.3 million. Taken together, the Convertible Note Hedges and the Warrants are generally expected to reduce the potential dilution to our common stock (or, in the event the conversion is settled in cash, to reduce our cash payment obligation) in the event that at the time of conversion our stock price exceeds the conversion price under the Convertible Notes and to effectively increase the overall conversion price from $148.19 (or a conversion premium of 30 percent) to $176.68 per share (or a conversion premium of 55 percent). See Footnote No. 9, “Debt,” to our Financial Statements for additional information on our Convertible Notes transaction.</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In the 2017 first three quarters, we paid $14.5 million of debt issuance costs, which included $6.3 million associated with the initial purchaser discounts related to the Convertible Notes, $4.8 million associated with the 2017 vacation ownership notes receivable securitization, $2.2 million related to the new $250.0 million Revolving Corporate Credit Facility and $1.2 million associated with the amendment and extension of the Warehouse Credit Facility.</w:t>
      </w:r>
    </w:p>
    <w:p>
      <w:pPr>
        <w:spacing w:after="0" w:line="39"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In the 2016 first three quarters, we incurred $4.1 million of debt issuance costs, which included $3.8 million associated with the 2016 vacation ownership notes receivable securitization and $0.2 million related to the amendment of the Previous Revolving Corporate Credit Facility.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700" w:type="dxa"/>
            <w:vAlign w:val="bottom"/>
            <w:gridSpan w:val="2"/>
          </w:tcPr>
          <w:p>
            <w:pPr>
              <w:ind w:left="160"/>
              <w:spacing w:after="0"/>
              <w:rPr>
                <w:sz w:val="20"/>
                <w:szCs w:val="20"/>
                <w:color w:val="auto"/>
              </w:rPr>
            </w:pPr>
            <w:r>
              <w:rPr>
                <w:rFonts w:ascii="Arial" w:cs="Arial" w:eastAsia="Arial" w:hAnsi="Arial"/>
                <w:sz w:val="16"/>
                <w:szCs w:val="16"/>
                <w:b w:val="1"/>
                <w:bCs w:val="1"/>
                <w:color w:val="auto"/>
              </w:rPr>
              <w:t>Number of Shares</w:t>
            </w:r>
          </w:p>
        </w:tc>
        <w:tc>
          <w:tcPr>
            <w:tcW w:w="20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b w:val="1"/>
                <w:bCs w:val="1"/>
                <w:color w:val="auto"/>
              </w:rPr>
              <w:t>Cost of Shares</w:t>
            </w:r>
          </w:p>
        </w:tc>
        <w:tc>
          <w:tcPr>
            <w:tcW w:w="120" w:type="dxa"/>
            <w:vAlign w:val="bottom"/>
          </w:tcPr>
          <w:p>
            <w:pPr>
              <w:spacing w:after="0"/>
              <w:rPr>
                <w:sz w:val="17"/>
                <w:szCs w:val="17"/>
                <w:color w:val="auto"/>
              </w:rPr>
            </w:pPr>
          </w:p>
        </w:tc>
        <w:tc>
          <w:tcPr>
            <w:tcW w:w="1460" w:type="dxa"/>
            <w:vAlign w:val="bottom"/>
          </w:tcPr>
          <w:p>
            <w:pPr>
              <w:jc w:val="right"/>
              <w:ind w:right="54"/>
              <w:spacing w:after="0"/>
              <w:rPr>
                <w:sz w:val="20"/>
                <w:szCs w:val="20"/>
                <w:color w:val="auto"/>
              </w:rPr>
            </w:pPr>
            <w:r>
              <w:rPr>
                <w:rFonts w:ascii="Arial" w:cs="Arial" w:eastAsia="Arial" w:hAnsi="Arial"/>
                <w:sz w:val="16"/>
                <w:szCs w:val="16"/>
                <w:b w:val="1"/>
                <w:bCs w:val="1"/>
                <w:color w:val="auto"/>
                <w:w w:val="89"/>
              </w:rPr>
              <w:t>Average Price Paid</w:t>
            </w:r>
          </w:p>
        </w:tc>
        <w:tc>
          <w:tcPr>
            <w:tcW w:w="0" w:type="dxa"/>
            <w:vAlign w:val="bottom"/>
          </w:tcPr>
          <w:p>
            <w:pPr>
              <w:spacing w:after="0"/>
              <w:rPr>
                <w:sz w:val="1"/>
                <w:szCs w:val="1"/>
                <w:color w:val="auto"/>
              </w:rPr>
            </w:pPr>
          </w:p>
        </w:tc>
      </w:tr>
      <w:tr>
        <w:trPr>
          <w:trHeight w:val="237"/>
        </w:trPr>
        <w:tc>
          <w:tcPr>
            <w:tcW w:w="4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 except per share amounts)</w:t>
            </w:r>
          </w:p>
        </w:tc>
        <w:tc>
          <w:tcPr>
            <w:tcW w:w="224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Repurchased</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Repurchased</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30, 2016</w:t>
            </w:r>
          </w:p>
        </w:tc>
        <w:tc>
          <w:tcPr>
            <w:tcW w:w="38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9,672,629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608,439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62.90</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For the 2017 first three quarters</w:t>
            </w:r>
          </w:p>
        </w:tc>
        <w:tc>
          <w:tcPr>
            <w:tcW w:w="3820" w:type="dxa"/>
            <w:vAlign w:val="bottom"/>
            <w:gridSpan w:val="2"/>
          </w:tcPr>
          <w:p>
            <w:pPr>
              <w:jc w:val="right"/>
              <w:ind w:right="19"/>
              <w:spacing w:after="0"/>
              <w:rPr>
                <w:sz w:val="20"/>
                <w:szCs w:val="20"/>
                <w:color w:val="auto"/>
              </w:rPr>
            </w:pPr>
            <w:r>
              <w:rPr>
                <w:rFonts w:ascii="Arial" w:cs="Arial" w:eastAsia="Arial" w:hAnsi="Arial"/>
                <w:sz w:val="18"/>
                <w:szCs w:val="18"/>
                <w:color w:val="auto"/>
              </w:rPr>
              <w:t>728,385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83,067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114.04</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September 30, 2017</w:t>
            </w:r>
          </w:p>
        </w:tc>
        <w:tc>
          <w:tcPr>
            <w:tcW w:w="38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10,401,014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691,506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66.48</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CCEEFF"/>
            </w:tcBorders>
            <w:vMerge w:val="restart"/>
          </w:tcPr>
          <w:p>
            <w:pPr>
              <w:jc w:val="right"/>
              <w:ind w:right="450"/>
              <w:spacing w:after="0"/>
              <w:rPr>
                <w:sz w:val="20"/>
                <w:szCs w:val="20"/>
                <w:color w:val="auto"/>
              </w:rPr>
            </w:pPr>
            <w:r>
              <w:rPr>
                <w:rFonts w:ascii="Arial" w:cs="Arial" w:eastAsia="Arial" w:hAnsi="Arial"/>
                <w:sz w:val="18"/>
                <w:szCs w:val="18"/>
                <w:color w:val="auto"/>
              </w:rPr>
              <w:t>63</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5"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0" w:right="120" w:firstLine="648"/>
        <w:spacing w:after="0" w:line="312" w:lineRule="auto"/>
        <w:rPr>
          <w:sz w:val="20"/>
          <w:szCs w:val="20"/>
          <w:color w:val="auto"/>
        </w:rPr>
      </w:pPr>
      <w:r>
        <w:rPr>
          <w:rFonts w:ascii="Arial" w:cs="Arial" w:eastAsia="Arial" w:hAnsi="Arial"/>
          <w:sz w:val="16"/>
          <w:szCs w:val="16"/>
          <w:color w:val="auto"/>
        </w:rPr>
        <w:t>As discussed above, we used $40.1 million of the proceeds from the sale of the Convertible Notes to repurchase 351,900 shares of our common stock under our existing share repurchase program. See Footnote No. 9, “Debt,” to our Financial Statements for additional information on our Convertible Notes transaction and Footnote No. 10, “Shareholders’ Equity,” to our Financial Statements for further information related to our share repurchase program.</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distributed cash dividends to holders of common stock during the 2017 first three quarters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Declaration Date</w:t>
            </w:r>
          </w:p>
        </w:tc>
        <w:tc>
          <w:tcPr>
            <w:tcW w:w="28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Shareholder Record Date</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Distribution Date</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91"/>
              </w:rPr>
              <w:t>Dividend per Share</w:t>
            </w:r>
          </w:p>
        </w:tc>
      </w:tr>
      <w:tr>
        <w:trPr>
          <w:trHeight w:val="33"/>
        </w:trPr>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9, 2016</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22, 2016</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January 4, 2017</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$0.35</w:t>
            </w:r>
          </w:p>
        </w:tc>
      </w:tr>
      <w:tr>
        <w:trPr>
          <w:trHeight w:val="243"/>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February 9, 2017</w:t>
            </w: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February 23, 2017</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March 9, 2017</w:t>
            </w:r>
          </w:p>
        </w:tc>
        <w:tc>
          <w:tcPr>
            <w:tcW w:w="2720" w:type="dxa"/>
            <w:vAlign w:val="bottom"/>
          </w:tcPr>
          <w:p>
            <w:pPr>
              <w:jc w:val="center"/>
              <w:spacing w:after="0"/>
              <w:rPr>
                <w:sz w:val="20"/>
                <w:szCs w:val="20"/>
                <w:color w:val="auto"/>
              </w:rPr>
            </w:pPr>
            <w:r>
              <w:rPr>
                <w:rFonts w:ascii="Arial" w:cs="Arial" w:eastAsia="Arial" w:hAnsi="Arial"/>
                <w:sz w:val="18"/>
                <w:szCs w:val="18"/>
                <w:color w:val="auto"/>
                <w:w w:val="88"/>
              </w:rPr>
              <w:t>$0.35</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43"/>
        </w:trPr>
        <w:tc>
          <w:tcPr>
            <w:tcW w:w="3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May 11, 2017</w:t>
            </w:r>
          </w:p>
        </w:tc>
        <w:tc>
          <w:tcPr>
            <w:tcW w:w="2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May 25, 2017</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June 8, 2017</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$0.35</w:t>
            </w:r>
          </w:p>
        </w:tc>
      </w:tr>
      <w:tr>
        <w:trPr>
          <w:trHeight w:val="27"/>
        </w:trPr>
        <w:tc>
          <w:tcPr>
            <w:tcW w:w="2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currently expect to pay quarterly cash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Revolving Corporate Credit Facility contains restrictions on our ability to pay dividends, and the terms of agreements governing debt that we may incur in the future may also limit or prohibit dividend payments. Accordingly, there can be no assurance that we will pay dividends in the future at the same rate or at all.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17"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There have been no significant changes to our “Contractual Obligations and Off-Balance Sheet Arrangements” as presented in Part II, Item 7, “Management’s Discussion and Analysis of Financial Condition and Results of Operations,” of our Annual Report on Form 10-K for the year ended December 30, 2016, other than as set forth below.</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September 30,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ind w:left="440"/>
              <w:spacing w:after="0"/>
              <w:rPr>
                <w:sz w:val="20"/>
                <w:szCs w:val="20"/>
                <w:color w:val="auto"/>
              </w:rPr>
            </w:pPr>
            <w:r>
              <w:rPr>
                <w:rFonts w:ascii="Arial" w:cs="Arial" w:eastAsia="Arial" w:hAnsi="Arial"/>
                <w:sz w:val="16"/>
                <w:szCs w:val="16"/>
                <w:b w:val="1"/>
                <w:bCs w:val="1"/>
                <w:color w:val="auto"/>
              </w:rPr>
              <w:t>Payments Due by Period</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Remainder</w:t>
            </w:r>
          </w:p>
        </w:tc>
        <w:tc>
          <w:tcPr>
            <w:tcW w:w="240" w:type="dxa"/>
            <w:vAlign w:val="bottom"/>
          </w:tcPr>
          <w:p>
            <w:pPr>
              <w:spacing w:after="0"/>
              <w:rPr>
                <w:sz w:val="18"/>
                <w:szCs w:val="18"/>
                <w:color w:val="auto"/>
              </w:rPr>
            </w:pPr>
          </w:p>
        </w:tc>
        <w:tc>
          <w:tcPr>
            <w:tcW w:w="1340" w:type="dxa"/>
            <w:vAlign w:val="bottom"/>
            <w:gridSpan w:val="2"/>
          </w:tcPr>
          <w:p>
            <w:pPr>
              <w:ind w:left="320"/>
              <w:spacing w:after="0"/>
              <w:rPr>
                <w:sz w:val="20"/>
                <w:szCs w:val="20"/>
                <w:color w:val="auto"/>
              </w:rPr>
            </w:pPr>
            <w:r>
              <w:rPr>
                <w:rFonts w:ascii="Arial" w:cs="Arial" w:eastAsia="Arial" w:hAnsi="Arial"/>
                <w:sz w:val="16"/>
                <w:szCs w:val="16"/>
                <w:b w:val="1"/>
                <w:bCs w:val="1"/>
                <w:color w:val="auto"/>
              </w:rPr>
              <w:t>Years</w:t>
            </w:r>
          </w:p>
        </w:tc>
        <w:tc>
          <w:tcPr>
            <w:tcW w:w="240" w:type="dxa"/>
            <w:vAlign w:val="bottom"/>
          </w:tcPr>
          <w:p>
            <w:pPr>
              <w:spacing w:after="0"/>
              <w:rPr>
                <w:sz w:val="18"/>
                <w:szCs w:val="18"/>
                <w:color w:val="auto"/>
              </w:rPr>
            </w:pPr>
          </w:p>
        </w:tc>
        <w:tc>
          <w:tcPr>
            <w:tcW w:w="1340" w:type="dxa"/>
            <w:vAlign w:val="bottom"/>
            <w:gridSpan w:val="2"/>
          </w:tcPr>
          <w:p>
            <w:pPr>
              <w:ind w:left="320"/>
              <w:spacing w:after="0"/>
              <w:rPr>
                <w:sz w:val="20"/>
                <w:szCs w:val="20"/>
                <w:color w:val="auto"/>
              </w:rPr>
            </w:pPr>
            <w:r>
              <w:rPr>
                <w:rFonts w:ascii="Arial" w:cs="Arial" w:eastAsia="Arial" w:hAnsi="Arial"/>
                <w:sz w:val="16"/>
                <w:szCs w:val="16"/>
                <w:b w:val="1"/>
                <w:bCs w:val="1"/>
                <w:color w:val="auto"/>
              </w:rPr>
              <w:t>Years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Pr>
          <w:p>
            <w:pPr>
              <w:spacing w:after="0"/>
              <w:rPr>
                <w:sz w:val="20"/>
                <w:szCs w:val="20"/>
                <w:color w:val="auto"/>
              </w:rPr>
            </w:pPr>
          </w:p>
        </w:tc>
        <w:tc>
          <w:tcPr>
            <w:tcW w:w="130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of 2017</w:t>
            </w:r>
          </w:p>
        </w:tc>
        <w:tc>
          <w:tcPr>
            <w:tcW w:w="240" w:type="dxa"/>
            <w:vAlign w:val="bottom"/>
          </w:tcPr>
          <w:p>
            <w:pPr>
              <w:spacing w:after="0"/>
              <w:rPr>
                <w:sz w:val="20"/>
                <w:szCs w:val="20"/>
                <w:color w:val="auto"/>
              </w:rPr>
            </w:pPr>
          </w:p>
        </w:tc>
        <w:tc>
          <w:tcPr>
            <w:tcW w:w="1240" w:type="dxa"/>
            <w:vAlign w:val="bottom"/>
          </w:tcPr>
          <w:p>
            <w:pPr>
              <w:jc w:val="right"/>
              <w:ind w:right="253"/>
              <w:spacing w:after="0"/>
              <w:rPr>
                <w:sz w:val="20"/>
                <w:szCs w:val="20"/>
                <w:color w:val="auto"/>
              </w:rPr>
            </w:pPr>
            <w:r>
              <w:rPr>
                <w:rFonts w:ascii="Arial" w:cs="Arial" w:eastAsia="Arial" w:hAnsi="Arial"/>
                <w:sz w:val="16"/>
                <w:szCs w:val="16"/>
                <w:b w:val="1"/>
                <w:bCs w:val="1"/>
                <w:color w:val="auto"/>
              </w:rPr>
              <w:t>2018 - 2019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52"/>
              <w:spacing w:after="0"/>
              <w:rPr>
                <w:sz w:val="20"/>
                <w:szCs w:val="20"/>
                <w:color w:val="auto"/>
              </w:rPr>
            </w:pPr>
            <w:r>
              <w:rPr>
                <w:rFonts w:ascii="Arial" w:cs="Arial" w:eastAsia="Arial" w:hAnsi="Arial"/>
                <w:sz w:val="16"/>
                <w:szCs w:val="16"/>
                <w:b w:val="1"/>
                <w:bCs w:val="1"/>
                <w:color w:val="auto"/>
              </w:rPr>
              <w:t>2020 - 2021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71"/>
              <w:spacing w:after="0"/>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250"/>
        </w:trPr>
        <w:tc>
          <w:tcPr>
            <w:tcW w:w="3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560" w:type="dxa"/>
            <w:vAlign w:val="bottom"/>
          </w:tcPr>
          <w:p>
            <w:pPr>
              <w:ind w:left="280"/>
              <w:spacing w:after="0"/>
              <w:rPr>
                <w:sz w:val="20"/>
                <w:szCs w:val="20"/>
                <w:color w:val="auto"/>
              </w:rPr>
            </w:pPr>
            <w:r>
              <w:rPr>
                <w:rFonts w:ascii="Arial" w:cs="Arial" w:eastAsia="Arial" w:hAnsi="Arial"/>
                <w:sz w:val="18"/>
                <w:szCs w:val="18"/>
                <w:color w:val="auto"/>
              </w:rPr>
              <w:t>Debt</w:t>
            </w:r>
            <w:r>
              <w:rPr>
                <w:rFonts w:ascii="Arial" w:cs="Arial" w:eastAsia="Arial" w:hAnsi="Arial"/>
                <w:sz w:val="18"/>
                <w:szCs w:val="18"/>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1,332,995</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32,256</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306,787</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234,069</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759,883</w:t>
            </w:r>
          </w:p>
        </w:tc>
        <w:tc>
          <w:tcPr>
            <w:tcW w:w="0" w:type="dxa"/>
            <w:vAlign w:val="bottom"/>
          </w:tcPr>
          <w:p>
            <w:pPr>
              <w:spacing w:after="0"/>
              <w:rPr>
                <w:sz w:val="1"/>
                <w:szCs w:val="1"/>
                <w:color w:val="auto"/>
              </w:rPr>
            </w:pPr>
          </w:p>
        </w:tc>
      </w:tr>
      <w:tr>
        <w:trPr>
          <w:trHeight w:val="258"/>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leases</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87,116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36,341</w:t>
            </w:r>
          </w:p>
        </w:tc>
        <w:tc>
          <w:tcPr>
            <w:tcW w:w="0" w:type="dxa"/>
            <w:vAlign w:val="bottom"/>
          </w:tcPr>
          <w:p>
            <w:pPr>
              <w:spacing w:after="0"/>
              <w:rPr>
                <w:sz w:val="1"/>
                <w:szCs w:val="1"/>
                <w:color w:val="auto"/>
              </w:rPr>
            </w:pPr>
          </w:p>
        </w:tc>
      </w:tr>
      <w:tr>
        <w:trPr>
          <w:trHeight w:val="262"/>
        </w:trPr>
        <w:tc>
          <w:tcPr>
            <w:tcW w:w="3560" w:type="dxa"/>
            <w:vAlign w:val="bottom"/>
          </w:tcPr>
          <w:p>
            <w:pPr>
              <w:ind w:left="28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8"/>
                <w:szCs w:val="18"/>
                <w:color w:val="auto"/>
                <w:vertAlign w:val="superscript"/>
              </w:rPr>
              <w:t>(2)</w:t>
            </w:r>
          </w:p>
        </w:tc>
        <w:tc>
          <w:tcPr>
            <w:tcW w:w="340" w:type="dxa"/>
            <w:vAlign w:val="bottom"/>
          </w:tcPr>
          <w:p>
            <w:pPr>
              <w:spacing w:after="0"/>
              <w:rPr>
                <w:sz w:val="22"/>
                <w:szCs w:val="22"/>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336,416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15,463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316,386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3,134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78"/>
        </w:trPr>
        <w:tc>
          <w:tcPr>
            <w:tcW w:w="3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Capital lease obligations</w:t>
            </w:r>
            <w:r>
              <w:rPr>
                <w:rFonts w:ascii="Arial" w:cs="Arial" w:eastAsia="Arial" w:hAnsi="Arial"/>
                <w:sz w:val="18"/>
                <w:szCs w:val="18"/>
                <w:color w:val="auto"/>
                <w:vertAlign w:val="superscript"/>
              </w:rPr>
              <w:t>(3)</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7,582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7,221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Other long-term obligations</w:t>
            </w:r>
          </w:p>
        </w:tc>
        <w:tc>
          <w:tcPr>
            <w:tcW w:w="3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1,764,656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52,895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656,891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257,213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797,657</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Includes principal as well as interest payments and excludes unamortized debt discount and issuance costs.</w:t>
      </w:r>
    </w:p>
    <w:p>
      <w:pPr>
        <w:spacing w:after="0" w:line="56" w:lineRule="exact"/>
        <w:rPr>
          <w:rFonts w:ascii="Arial" w:cs="Arial" w:eastAsia="Arial" w:hAnsi="Arial"/>
          <w:sz w:val="25"/>
          <w:szCs w:val="25"/>
          <w:color w:val="auto"/>
          <w:vertAlign w:val="superscript"/>
        </w:rPr>
      </w:pPr>
    </w:p>
    <w:p>
      <w:pPr>
        <w:ind w:left="660" w:right="40" w:hanging="652"/>
        <w:spacing w:after="0" w:line="232" w:lineRule="auto"/>
        <w:tabs>
          <w:tab w:leader="none" w:pos="660" w:val="left"/>
        </w:tabs>
        <w:numPr>
          <w:ilvl w:val="0"/>
          <w:numId w:val="38"/>
        </w:numPr>
        <w:rPr>
          <w:rFonts w:ascii="Arial" w:cs="Arial" w:eastAsia="Arial" w:hAnsi="Arial"/>
          <w:sz w:val="24"/>
          <w:szCs w:val="24"/>
          <w:color w:val="auto"/>
          <w:vertAlign w:val="superscript"/>
        </w:rPr>
      </w:pPr>
      <w:r>
        <w:rPr>
          <w:rFonts w:ascii="Arial" w:cs="Arial" w:eastAsia="Arial" w:hAnsi="Arial"/>
          <w:sz w:val="17"/>
          <w:szCs w:val="17"/>
          <w:color w:val="auto"/>
        </w:rPr>
        <w:t>Arrangements are considered purchase obligations if a contract specifies all significant terms, including fixed or minimum quantities to be purchased, a pricing structure, and approximate timing of the transaction. Amounts reflected herein represent expected funding under such contracts. Amounts reflected on the consolidated balance sheet as accounts payable and accrued liabilities are excluded from the table above.</w:t>
      </w:r>
    </w:p>
    <w:p>
      <w:pPr>
        <w:spacing w:after="0" w:line="1" w:lineRule="exact"/>
        <w:rPr>
          <w:rFonts w:ascii="Arial" w:cs="Arial" w:eastAsia="Arial" w:hAnsi="Arial"/>
          <w:sz w:val="24"/>
          <w:szCs w:val="24"/>
          <w:color w:val="auto"/>
          <w:vertAlign w:val="superscript"/>
        </w:rPr>
      </w:pPr>
    </w:p>
    <w:p>
      <w:pPr>
        <w:ind w:left="660" w:hanging="652"/>
        <w:spacing w:after="0" w:line="225" w:lineRule="auto"/>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Includes interest.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consolidated results of operations or financial condition.</w:t>
      </w:r>
    </w:p>
    <w:p>
      <w:pPr>
        <w:spacing w:after="0" w:line="7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consolidated financial position or results of operations. We have discussed those estimates that we believe are critical and require the use of complex judgment in their application in our most recent Annual Report on Form 10-K. Since the date of our most recent Annual Report on Form 10-K,</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or the methodologies or assumptions we apply under them.</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exposure to market risk has not changed materially from that disclosed in Part I, Item 7A of our Annual Report on Form 10-K for the year ended December 30, 2016, other than as set forth below.</w:t>
      </w:r>
    </w:p>
    <w:p>
      <w:pPr>
        <w:spacing w:after="0" w:line="6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September 2017, we issued $230 million of Convertible Notes. Holders may convert the Convertible Notes prior to maturity upon the occurrence of certain circumstances. Upon conversion, holders of the Convertible Notes will receive cash, shares of our common stock or a combination of cash and shares of our common stock, at our election.</w:t>
      </w:r>
    </w:p>
    <w:p>
      <w:pPr>
        <w:spacing w:after="0" w:line="7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Concurrently with the issuance of the Convertible Notes, we entered into Convertible Note Hedges and Warrants. These separate transactions were intended to reduce the potential economic dilution from the conversion of the Convertible Notes.</w:t>
      </w:r>
    </w:p>
    <w:p>
      <w:pPr>
        <w:spacing w:after="0" w:line="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Convertible Notes have fixed annual interest rates at 1.50 percent and, therefore, we do not have economic interest rate exposure on our Convertible Notes. However, the value of the Convertible Notes is exposed to interest rate risk. Generally, the fair market value of the Convertible Notes will increase as interest rates fall and decrease as interest rates rise. In addition, the fair value of the Convertible Notes is affected by our stock price. The net carrying value of the Convertible Notes was $190.7 million as of September 30, 2017. This represents the liability component of the principal balance of the Convertible Notes, net of unamortized debt discount and issuance costs, as of September 30, 2017. The total estimated fair value of the Convertible Notes at September 30, 2017 was $241.6 million, and the fair value was determined based on the quoted market price of the Convertible Notes in an over-the-counter market as of the last day of trading for the quarter ended September 30, 2017. For further information, see Footnote No. 4, “Financial Instruments” and Footnote No. 9, “Debt,” to our Financial Statements.</w:t>
      </w:r>
    </w:p>
    <w:p>
      <w:pPr>
        <w:spacing w:after="0" w:line="1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Currently, and from time to time, we are subject to claims in legal proceedings arising in the normal course of business, including, among others, the legal actions discussed in Footnote No. 8,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There have been no material changes to the risk factors disclosed in Part I, Item 1A of our Annual Report on Form 10-K for the fiscal year ended December 30, 2016, other than as set forth below.</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The degree to which we are leveraged may have a material adverse effect on our financial position, results of operations and cash flows.</w:t>
      </w:r>
    </w:p>
    <w:p>
      <w:pPr>
        <w:spacing w:after="0" w:line="14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can borrow up to $250 million under the Revolving Corporate Credit Facility and could also incur additional debt to the extent permitted under the Revolving Corporate Credit Facility. Our ability to make dividend payments to holders of our common stock and to make payments on and refinance our indebtedness, including debt under the Revolving Corporate Credit Facility, the Convertible Notes or any future debt that we may incur, will depend on our ability to generate cash in the future from operations, financings or asset sales. Our ability to generate cash is subject to general economic, financial, competitive, legislative, regulatory and other factors that we cannot control. If we cannot repay or refinance our debt on commercially reasonable terms as it becomes due, we may be forced to sell assets or take other disadvantageous actions, including (1) reducing or delaying capital expenditures, (2) limiting financing offered to customers, which could result in reduced sales, and (3) dedicating an unsustainable level of our cash flow from operations to the payment of principal and interest on our indebtedness. In addition, our ability to withstand competitive pressures and to react to changes in the vacation ownership industry could be impaired. If we cannot make scheduled payments on our debt, we will be in default and holders of the Convertible Notes could declare all outstanding principal and interest to be due and payable, the lenders under the Revolving Corporate Credit Facility could terminate their commitments to loan money, lenders under our secured debt (including any borrowings outstanding under the Revolving Corporate Credit Facility) could foreclose against the assets securing their borrowings and we could be forced into bankruptcy or liquidation. If lenders of any of our debt are able to accelerate amounts due to them, a default or acceleration of our other debt could be triggered.</w:t>
      </w:r>
    </w:p>
    <w:p>
      <w:pPr>
        <w:spacing w:after="0" w:line="18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b w:val="1"/>
          <w:bCs w:val="1"/>
          <w:i w:val="1"/>
          <w:iCs w:val="1"/>
          <w:color w:val="auto"/>
        </w:rPr>
        <w:t>A lowering or withdrawal of the ratings assigned to our company or any of our debt securities by rating agencies may increase our future borrowing costs and reduce our access to capital.</w:t>
      </w:r>
    </w:p>
    <w:p>
      <w:pPr>
        <w:spacing w:after="0" w:line="6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Any rating assigned to our company or our debt, including the Convertible Notes, could be lowered or withdrawn entirely by a rating agency if, in that rating agency’s judgment, future circumstances relating to the basis of the rating, such as adverse changes, so warrant. Any future lowering of our ratings likely would make it more difficult or more expensive for us to obtain additional debt financing.</w:t>
      </w:r>
    </w:p>
    <w:p>
      <w:pPr>
        <w:spacing w:after="0" w:line="18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b w:val="1"/>
          <w:bCs w:val="1"/>
          <w:i w:val="1"/>
          <w:iCs w:val="1"/>
          <w:color w:val="auto"/>
        </w:rPr>
        <w:t>The fundamental change repurchase feature of the Convertible Notes may delay or prevent an otherwise beneficial attempt to take over our company.</w:t>
      </w:r>
    </w:p>
    <w:p>
      <w:pPr>
        <w:spacing w:after="0" w:line="6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terms of the Convertible Notes require us to repurchase the Convertible Notes in the event of certain fundamental changes with respect to our company. A takeover of our company would trigger an option of the holders of the Convertible Notes to require us to repurchase the Convertible Notes. This may have the effect of delaying or preventing a takeover of our company that would otherwise be beneficial to holders of our common stock and holders of the Convertible Notes.</w:t>
      </w:r>
    </w:p>
    <w:p>
      <w:pPr>
        <w:spacing w:after="0" w:line="187"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b w:val="1"/>
          <w:bCs w:val="1"/>
          <w:i w:val="1"/>
          <w:iCs w:val="1"/>
          <w:color w:val="auto"/>
        </w:rPr>
        <w:t>The terms of any future preferred equity or debt financing may give holders of any preferred equity or debt securities rights that are senior to rights of our common shareholders or dilute the ownership percentage of existing shareholders or impose more stringent operating restrictions on our company.</w:t>
      </w:r>
    </w:p>
    <w:p>
      <w:pPr>
        <w:spacing w:after="0" w:line="7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Debt or equity financing may not be available to us on acceptable terms. If we incur additional debt or raise equity through the issuance of preferred stock or convertible securities such as the Convertible Notes, the terms of the debt or the preferred stock issued may give the holders rights, preferences and privileges senior to those of holders of our common stock, particularly in the event of liquidation. The terms of the debt may also impose additional and more stringent restrictions on our operations. If we raise funds through the issuance of additional equity, the ownership percentage of our existing shareholders would be diluted.</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125" w:right="2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The conditional conversion feature of the Convertible Notes, if triggered, may adversely affect our financial condition and operating results.</w:t>
      </w:r>
    </w:p>
    <w:p>
      <w:pPr>
        <w:spacing w:after="0" w:line="140"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Although holders of the Convertible Notes are generally not permitted to convert the Convertible Notes until June 15, 2022, in the event the conditional conversion feature of the Convertible Notes is triggered due to the trading price of the Convertible Notes or our common stock, holders of the Convertible Notes will be entitled to convert the Convertible Notes at any time during specified periods at their option. See Footnote No. 9, “Debt,” to our Financial Statements for additional information. If one or more holders elect to convert their Convertible Notes, we may elect to settle all or a portion of our conversion obligation through the payment of cash, which could adversely affect our liquidity.</w:t>
      </w:r>
    </w:p>
    <w:p>
      <w:pPr>
        <w:spacing w:after="0" w:line="17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b w:val="1"/>
          <w:bCs w:val="1"/>
          <w:i w:val="1"/>
          <w:iCs w:val="1"/>
          <w:color w:val="auto"/>
        </w:rPr>
        <w:t>We may not have the ability to raise the funds necessary to settle conversions of the Convertible Notes or to repurchase the Convertible Notes upon a fundamental change.</w:t>
      </w:r>
    </w:p>
    <w:p>
      <w:pPr>
        <w:spacing w:after="0" w:line="62" w:lineRule="exact"/>
        <w:rPr>
          <w:sz w:val="20"/>
          <w:szCs w:val="20"/>
          <w:color w:val="auto"/>
        </w:rPr>
      </w:pPr>
    </w:p>
    <w:p>
      <w:pPr>
        <w:ind w:right="140" w:firstLine="648"/>
        <w:spacing w:after="0" w:line="268" w:lineRule="auto"/>
        <w:rPr>
          <w:sz w:val="20"/>
          <w:szCs w:val="20"/>
          <w:color w:val="auto"/>
        </w:rPr>
      </w:pPr>
      <w:r>
        <w:rPr>
          <w:rFonts w:ascii="Arial" w:cs="Arial" w:eastAsia="Arial" w:hAnsi="Arial"/>
          <w:sz w:val="17"/>
          <w:szCs w:val="17"/>
          <w:color w:val="auto"/>
        </w:rPr>
        <w:t>Upon the occurrence of certain fundamental changes with respect to our company, holders of the Convertible Notes have the right to require us to repurchase their Convertible Notes at a purchase price equal to 100 percent of the principal amount of the Convertible Notes to be repurchased, plus accrued and unpaid interest, if any, to, but not including, the repurchase date. In addition, unless we elect to deliver solely shares of our common stock, we will be required to make cash payments in respect of the Convertible Notes being converted. However, we may not have enough available cash or be able to obtain financing at the time we are required to make purchases of Convertible Notes surrendered therefor or Convertible Notes being converted. In addition, our ability to repurchase the Convertible Notes or to pay cash upon conversions of the Convertible Notes is limited by the agreements governing our existing indebtedness (including the credit agreement governing the Revolving Corporate Credit Facility) and may also be limited by law, by regulatory authority or by agreements that will govern our future indebtedness. Our failure to repurchase Convertible Notes at a time when the repurchase is required by the Indenture or to pay cash payable on future conversions of the Convertible Notes as required by the Indenture would constitute a default under the Indenture. A default under the Indenture or the fundamental change itself could also lead to a default under agreements governing our existing or future indebtedness (including the credit agreement governing the Revolving Corporate Credit Facility). If the repayment of the related indebtedness were to be accelerated after any applicable notice or grace periods, we may not have sufficient funds to repay the indebtedness and repurchase the Convertible Notes or make cash payments upon conversions thereof.</w:t>
      </w:r>
    </w:p>
    <w:p>
      <w:pPr>
        <w:spacing w:after="0" w:line="18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Convertible Notes, may have a material effect on our reported financial results.</w:t>
      </w:r>
    </w:p>
    <w:p>
      <w:pPr>
        <w:spacing w:after="0" w:line="6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Under Accounting Standards Codification 470-20, Debt with Conversion and Other Options (“ASC 470-20”), an entity must separately account for the liability and equity components of certain convertible debt instruments (such as the Convertible Notes) that may be settled entirely or partially in cash upon conversion in a manner that reflects the issuer’s economic interest cost. The effect of ASC 470-20 on the accounting for the Convertible Notes is that the equity component is required to be included in the additional paid-in capital section of stockholders’ equity on our consolidated balance sheet, and the value of the equity component has been treated as original issue discount for purposes of accounting for the debt component of the Convertible Notes. As a result, we will be required to record a greater amount of non-cash interest expense in current periods presented as a result of the amortization of the discounted carrying value of the Convertible Notes to their face amount over the term of the Convertible Notes. We will report lower net income (or greater net loss) in our financial results because ASC 470-20 requires interest to include both the current period’s amortization of the debt discount and the instrument’s coupon interest, which could adversely affect our reported or future financial results, the market price of our common stock and the trading price of the Convertible Notes.</w:t>
      </w:r>
    </w:p>
    <w:p>
      <w:pPr>
        <w:spacing w:after="0" w:line="7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addition, under certain circumstances, convertible debt instruments (such as the Convertible Notes) that may be settled entirely or partly in cash are currently accounted for utilizing the treasury stock method if we have the ability and intent to settle in cash, the effect of which is that the shares issuable upon conversion of the Convertible Notes are not included in the calculation of diluted earnings per share except to the extent that the conversion value of the Convertible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 We cannot be sure that we will be able to continue to demonstrate the ability or intent to settle in cash or that the accounting standards in the future will continue to permit the use of the treasury stock method. If we are unable to use the treasury stock method in accounting for the shares issuable upon conversion of the Convertible Notes, then our diluted earnings per share would be adversely affected.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Convertible Note Hedges and Warrants may affect the value of our common stock.</w:t>
      </w:r>
    </w:p>
    <w:p>
      <w:pPr>
        <w:spacing w:after="0" w:line="11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connection with the Convertible Notes, we entered into privately negotiated Convertible Note Hedges with affiliates of two of the initial purchasers. The Convertible Note Hedges cover, subject to customary anti-dilution adjustments substantially similar to those applicable to the Convertible Notes, the same number of shares of common stock that will initially underlie the Convertible Notes. The Convertible Note Hedges are expected generally to reduce potential dilution to our common stock and/or offset cash payments we are required to make in excess of the principal amount, in each case, upon any conversion of Convertible Notes. Concurrently with our entry into the Convertible Note Hedges, we entered into Warrant transactions with the hedge counterparties relating to the same number of shares of common stock. The Warrants could separately have a dilutive effect on our shares of common stock to the extent that the market price per share exceeds the applicable strike price of the Warrants on one or more of the applicable expiration dates.</w:t>
      </w:r>
    </w:p>
    <w:p>
      <w:pPr>
        <w:spacing w:after="0" w:line="5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In connection with establishing their initial hedges of the convertible note hedge transactions and warrant transactions, the hedge counterparties and/or their respective affiliates advised us that they expected to purchase shares of our common stock in secondary market transactions and/or enter into various derivative transactions with respect to our common stock concurrently with or shortly after the pricing of the Convertible Notes. The hedge counterparties and/or their respective affiliates may modify their hedge positions by entering into or unwinding various derivatives with respect to our common stock and/or purchasing or selling our common stock in secondary market. The effect, if any, of these activities on the market price of our common stock or the Convertible Notes will depend in part on market conditions and cannot be ascertained at this time, but any of these activities could cause or prevent an increase or a decline in the market price of our common stock or the Convertible Notes.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Convertible Note Hedges.</w:t>
      </w:r>
    </w:p>
    <w:p>
      <w:pPr>
        <w:spacing w:after="0" w:line="117"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counterparties to the Convertible Note Hedges are financial institutions, and we are subject to the risk that one or more of the hedge counterparties may default under the Convertible Note Hedges. Our exposure to the credit risk of the hedge counterparties is not secured by any collateral. If any of the hedge counterparties become subject to insolvency proceedings, we will become an unsecured creditor in those proceedings with a claim equal to our exposure at that time under our transactions with such counterparties. Our exposure will depend on many factors but, generally, the increase in our exposure will be correlated to the increase in the market price and in the volatility of our common stock. In addition, upon a default by a hedge counterparty, we may suffer adverse tax consequences and more dilution than we currently anticipate with respect to our common stock. We can provide no assurances as to the financial stability or viability of the hedge counterparties.</w:t>
      </w:r>
    </w:p>
    <w:p>
      <w:pPr>
        <w:spacing w:after="0" w:line="1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4"/>
              </w:rPr>
              <w:t>Maximum Number of</w:t>
            </w: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as Part of</w:t>
            </w: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2"/>
              </w:rPr>
              <w:t>Shares That May Yet Be</w:t>
            </w: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1380" w:type="dxa"/>
            <w:vAlign w:val="bottom"/>
          </w:tcPr>
          <w:p>
            <w:pPr>
              <w:jc w:val="right"/>
              <w:ind w:right="33"/>
              <w:spacing w:after="0"/>
              <w:rPr>
                <w:sz w:val="20"/>
                <w:szCs w:val="20"/>
                <w:color w:val="auto"/>
              </w:rPr>
            </w:pPr>
            <w:r>
              <w:rPr>
                <w:rFonts w:ascii="Arial" w:cs="Arial" w:eastAsia="Arial" w:hAnsi="Arial"/>
                <w:sz w:val="16"/>
                <w:szCs w:val="16"/>
                <w:b w:val="1"/>
                <w:bCs w:val="1"/>
                <w:color w:val="auto"/>
              </w:rPr>
              <w:t>Total Number of</w:t>
            </w:r>
          </w:p>
        </w:tc>
        <w:tc>
          <w:tcPr>
            <w:tcW w:w="1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 Plans</w:t>
            </w: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Under the</w:t>
            </w:r>
          </w:p>
        </w:tc>
        <w:tc>
          <w:tcPr>
            <w:tcW w:w="0" w:type="dxa"/>
            <w:vAlign w:val="bottom"/>
          </w:tcPr>
          <w:p>
            <w:pPr>
              <w:spacing w:after="0"/>
              <w:rPr>
                <w:sz w:val="1"/>
                <w:szCs w:val="1"/>
                <w:color w:val="auto"/>
              </w:rPr>
            </w:pPr>
          </w:p>
        </w:tc>
      </w:tr>
      <w:tr>
        <w:trPr>
          <w:trHeight w:val="243"/>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1"/>
              </w:rPr>
              <w:t>Shares Purchased</w:t>
            </w: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 per Share</w:t>
            </w:r>
          </w:p>
        </w:tc>
        <w:tc>
          <w:tcPr>
            <w:tcW w:w="10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or Programs</w:t>
            </w:r>
            <w:r>
              <w:rPr>
                <w:rFonts w:ascii="Arial" w:cs="Arial" w:eastAsia="Arial" w:hAnsi="Arial"/>
                <w:sz w:val="21"/>
                <w:szCs w:val="21"/>
                <w:b w:val="1"/>
                <w:bCs w:val="1"/>
                <w:color w:val="auto"/>
                <w:w w:val="89"/>
                <w:vertAlign w:val="superscript"/>
              </w:rPr>
              <w:t>(1)</w:t>
            </w:r>
          </w:p>
        </w:tc>
        <w:tc>
          <w:tcPr>
            <w:tcW w:w="10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Plans or Programs</w:t>
            </w:r>
            <w:r>
              <w:rPr>
                <w:rFonts w:ascii="Arial" w:cs="Arial" w:eastAsia="Arial" w:hAnsi="Arial"/>
                <w:sz w:val="21"/>
                <w:szCs w:val="21"/>
                <w:b w:val="1"/>
                <w:bCs w:val="1"/>
                <w:color w:val="auto"/>
                <w:w w:val="89"/>
                <w:vertAlign w:val="superscript"/>
              </w:rPr>
              <w:t>(1)</w:t>
            </w: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2017 – July 31, 2017</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147,500</w:t>
            </w:r>
          </w:p>
        </w:tc>
        <w:tc>
          <w:tcPr>
            <w:tcW w:w="14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$116.00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147,500</w:t>
            </w:r>
          </w:p>
        </w:tc>
        <w:tc>
          <w:tcPr>
            <w:tcW w:w="20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1,047,371</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August 1, 2017 – August 31, 2017</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196,282</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6"/>
              </w:rPr>
              <w:t>$111.84</w:t>
            </w:r>
          </w:p>
        </w:tc>
        <w:tc>
          <w:tcPr>
            <w:tcW w:w="10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196,282</w:t>
            </w:r>
          </w:p>
        </w:tc>
        <w:tc>
          <w:tcPr>
            <w:tcW w:w="20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1,851,089</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1, 2017 – September 30, 2017</w:t>
            </w:r>
            <w:r>
              <w:rPr>
                <w:rFonts w:ascii="Arial" w:cs="Arial" w:eastAsia="Arial" w:hAnsi="Arial"/>
                <w:sz w:val="18"/>
                <w:szCs w:val="18"/>
                <w:color w:val="auto"/>
                <w:vertAlign w:val="superscript"/>
              </w:rPr>
              <w:t>(2)</w:t>
            </w:r>
          </w:p>
        </w:tc>
        <w:tc>
          <w:tcPr>
            <w:tcW w:w="13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352,103</w:t>
            </w:r>
          </w:p>
        </w:tc>
        <w:tc>
          <w:tcPr>
            <w:tcW w:w="1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$114.00</w:t>
            </w:r>
          </w:p>
        </w:tc>
        <w:tc>
          <w:tcPr>
            <w:tcW w:w="100" w:type="dxa"/>
            <w:vAlign w:val="bottom"/>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352,103</w:t>
            </w:r>
          </w:p>
        </w:tc>
        <w:tc>
          <w:tcPr>
            <w:tcW w:w="20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1,498,986</w:t>
            </w:r>
          </w:p>
        </w:tc>
        <w:tc>
          <w:tcPr>
            <w:tcW w:w="0" w:type="dxa"/>
            <w:vAlign w:val="bottom"/>
          </w:tcPr>
          <w:p>
            <w:pPr>
              <w:spacing w:after="0"/>
              <w:rPr>
                <w:sz w:val="1"/>
                <w:szCs w:val="1"/>
                <w:color w:val="auto"/>
              </w:rPr>
            </w:pPr>
          </w:p>
        </w:tc>
      </w:tr>
      <w:tr>
        <w:trPr>
          <w:trHeight w:val="257"/>
        </w:trPr>
        <w:tc>
          <w:tcPr>
            <w:tcW w:w="442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695,885</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$113.81</w:t>
            </w:r>
          </w:p>
        </w:tc>
        <w:tc>
          <w:tcPr>
            <w:tcW w:w="100" w:type="dxa"/>
            <w:vAlign w:val="bottom"/>
          </w:tcPr>
          <w:p>
            <w:pPr>
              <w:spacing w:after="0"/>
              <w:rPr>
                <w:sz w:val="22"/>
                <w:szCs w:val="22"/>
                <w:color w:val="auto"/>
              </w:rPr>
            </w:pPr>
          </w:p>
        </w:tc>
        <w:tc>
          <w:tcPr>
            <w:tcW w:w="1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695,885</w:t>
            </w:r>
          </w:p>
        </w:tc>
        <w:tc>
          <w:tcPr>
            <w:tcW w:w="20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1,498,986</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00" w:hanging="652"/>
        <w:spacing w:after="0" w:line="232" w:lineRule="auto"/>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On August 1, 2017, our Board of Directors authorized the repurchase of up to 1.0 million additional shares of our common stock under our existing share repurchase program and extended the duration of the program through May 31, 2018. Prior to that authorization, our Board of Directors had authorized the repurchase of an aggregate of up to 10.9 million shares of our common stock under the share repurchase program since the initiation of the program in October 2013.</w:t>
      </w:r>
    </w:p>
    <w:p>
      <w:pPr>
        <w:spacing w:after="0" w:line="40" w:lineRule="exact"/>
        <w:rPr>
          <w:rFonts w:ascii="Arial" w:cs="Arial" w:eastAsia="Arial" w:hAnsi="Arial"/>
          <w:sz w:val="25"/>
          <w:szCs w:val="25"/>
          <w:color w:val="auto"/>
          <w:vertAlign w:val="superscript"/>
        </w:rPr>
      </w:pPr>
    </w:p>
    <w:p>
      <w:pPr>
        <w:ind w:left="660" w:right="80" w:hanging="652"/>
        <w:spacing w:after="0" w:line="216" w:lineRule="auto"/>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On September 25, 2017, we used $40.1 million of the proceeds from the sale of the Convertible Notes to repurchase 351,900 shares of our common stock under our existing share repurchase program.</w:t>
      </w:r>
    </w:p>
    <w:p>
      <w:pPr>
        <w:spacing w:after="0" w:line="1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125" w:right="2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documents referenced below are being filed as a part of this Quarterly Report on Form 10-Q, unless otherwise noted.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Exhibit</w:t>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5829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58" w:lineRule="exact"/>
        <w:rPr>
          <w:sz w:val="20"/>
          <w:szCs w:val="20"/>
          <w:color w:val="auto"/>
        </w:rPr>
      </w:pPr>
    </w:p>
    <w:p>
      <w:pPr>
        <w:ind w:left="360"/>
        <w:spacing w:after="0"/>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3.1</w:t>
        </w:r>
      </w:hyperlink>
    </w:p>
    <w:p>
      <w:pPr>
        <w:spacing w:after="0" w:line="63" w:lineRule="exact"/>
        <w:rPr>
          <w:sz w:val="20"/>
          <w:szCs w:val="20"/>
          <w:color w:val="auto"/>
        </w:rPr>
      </w:pPr>
    </w:p>
    <w:p>
      <w:pPr>
        <w:ind w:left="360"/>
        <w:spacing w:after="0"/>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3.2</w:t>
        </w:r>
      </w:hyperlink>
    </w:p>
    <w:p>
      <w:pPr>
        <w:spacing w:after="0" w:line="171" w:lineRule="exact"/>
        <w:rPr>
          <w:sz w:val="20"/>
          <w:szCs w:val="20"/>
          <w:color w:val="auto"/>
        </w:rPr>
      </w:pPr>
    </w:p>
    <w:p>
      <w:pPr>
        <w:ind w:left="36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4.1</w:t>
        </w:r>
      </w:hyperlink>
    </w:p>
    <w:p>
      <w:pPr>
        <w:spacing w:after="0" w:line="171" w:lineRule="exact"/>
        <w:rPr>
          <w:sz w:val="20"/>
          <w:szCs w:val="20"/>
          <w:color w:val="auto"/>
        </w:rPr>
      </w:pPr>
    </w:p>
    <w:p>
      <w:pPr>
        <w:ind w:left="36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4.2</w:t>
        </w:r>
      </w:hyperlink>
    </w:p>
    <w:p>
      <w:pPr>
        <w:spacing w:after="0" w:line="63" w:lineRule="exact"/>
        <w:rPr>
          <w:sz w:val="20"/>
          <w:szCs w:val="20"/>
          <w:color w:val="auto"/>
        </w:rPr>
      </w:pPr>
    </w:p>
    <w:p>
      <w:pPr>
        <w:ind w:left="300"/>
        <w:spacing w:after="0"/>
        <w:rPr>
          <w:rFonts w:ascii="Arial" w:cs="Arial" w:eastAsia="Arial" w:hAnsi="Arial"/>
          <w:sz w:val="18"/>
          <w:szCs w:val="18"/>
          <w:u w:val="single" w:color="auto"/>
          <w:color w:val="0000FF"/>
        </w:rPr>
      </w:pPr>
      <w:hyperlink w:anchor="page185">
        <w:r>
          <w:rPr>
            <w:rFonts w:ascii="Arial" w:cs="Arial" w:eastAsia="Arial" w:hAnsi="Arial"/>
            <w:sz w:val="18"/>
            <w:szCs w:val="18"/>
            <w:u w:val="single" w:color="auto"/>
            <w:color w:val="0000FF"/>
          </w:rPr>
          <w:t>10.1</w:t>
        </w:r>
      </w:hyperlink>
    </w:p>
    <w:p>
      <w:pPr>
        <w:spacing w:after="0" w:line="63" w:lineRule="exact"/>
        <w:rPr>
          <w:sz w:val="20"/>
          <w:szCs w:val="20"/>
          <w:color w:val="auto"/>
        </w:rPr>
      </w:pPr>
    </w:p>
    <w:p>
      <w:pPr>
        <w:ind w:left="300"/>
        <w:spacing w:after="0"/>
        <w:rPr>
          <w:rFonts w:ascii="Arial" w:cs="Arial" w:eastAsia="Arial" w:hAnsi="Arial"/>
          <w:sz w:val="18"/>
          <w:szCs w:val="18"/>
          <w:u w:val="single" w:color="auto"/>
          <w:color w:val="0000FF"/>
        </w:rPr>
      </w:pPr>
      <w:hyperlink w:anchor="page212">
        <w:r>
          <w:rPr>
            <w:rFonts w:ascii="Arial" w:cs="Arial" w:eastAsia="Arial" w:hAnsi="Arial"/>
            <w:sz w:val="18"/>
            <w:szCs w:val="18"/>
            <w:u w:val="single" w:color="auto"/>
            <w:color w:val="0000FF"/>
          </w:rPr>
          <w:t>10.2</w:t>
        </w:r>
      </w:hyperlink>
    </w:p>
    <w:p>
      <w:pPr>
        <w:spacing w:after="0" w:line="279" w:lineRule="exact"/>
        <w:rPr>
          <w:sz w:val="20"/>
          <w:szCs w:val="20"/>
          <w:color w:val="auto"/>
        </w:rPr>
      </w:pPr>
    </w:p>
    <w:p>
      <w:pPr>
        <w:ind w:left="300"/>
        <w:spacing w:after="0"/>
        <w:rPr>
          <w:rFonts w:ascii="Arial" w:cs="Arial" w:eastAsia="Arial" w:hAnsi="Arial"/>
          <w:sz w:val="18"/>
          <w:szCs w:val="18"/>
          <w:u w:val="single" w:color="auto"/>
          <w:color w:val="0000FF"/>
        </w:rPr>
      </w:pPr>
      <w:hyperlink r:id="rId32">
        <w:r>
          <w:rPr>
            <w:rFonts w:ascii="Arial" w:cs="Arial" w:eastAsia="Arial" w:hAnsi="Arial"/>
            <w:sz w:val="18"/>
            <w:szCs w:val="18"/>
            <w:u w:val="single" w:color="auto"/>
            <w:color w:val="0000FF"/>
          </w:rPr>
          <w:t>10.3</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00"/>
        <w:spacing w:after="0"/>
        <w:rPr>
          <w:rFonts w:ascii="Arial" w:cs="Arial" w:eastAsia="Arial" w:hAnsi="Arial"/>
          <w:sz w:val="18"/>
          <w:szCs w:val="18"/>
          <w:u w:val="single" w:color="auto"/>
          <w:color w:val="0000FF"/>
        </w:rPr>
      </w:pPr>
      <w:hyperlink r:id="rId33">
        <w:r>
          <w:rPr>
            <w:rFonts w:ascii="Arial" w:cs="Arial" w:eastAsia="Arial" w:hAnsi="Arial"/>
            <w:sz w:val="18"/>
            <w:szCs w:val="18"/>
            <w:u w:val="single" w:color="auto"/>
            <w:color w:val="0000FF"/>
          </w:rPr>
          <w:t>10.4</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0"/>
        <w:spacing w:after="0"/>
        <w:rPr>
          <w:rFonts w:ascii="Arial" w:cs="Arial" w:eastAsia="Arial" w:hAnsi="Arial"/>
          <w:sz w:val="18"/>
          <w:szCs w:val="18"/>
          <w:u w:val="single" w:color="auto"/>
          <w:color w:val="0000FF"/>
        </w:rPr>
      </w:pPr>
      <w:hyperlink r:id="rId34">
        <w:r>
          <w:rPr>
            <w:rFonts w:ascii="Arial" w:cs="Arial" w:eastAsia="Arial" w:hAnsi="Arial"/>
            <w:sz w:val="18"/>
            <w:szCs w:val="18"/>
            <w:u w:val="single" w:color="auto"/>
            <w:color w:val="0000FF"/>
          </w:rPr>
          <w:t>10.5</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00"/>
        <w:spacing w:after="0"/>
        <w:rPr>
          <w:rFonts w:ascii="Arial" w:cs="Arial" w:eastAsia="Arial" w:hAnsi="Arial"/>
          <w:sz w:val="18"/>
          <w:szCs w:val="18"/>
          <w:u w:val="single" w:color="auto"/>
          <w:color w:val="0000FF"/>
        </w:rPr>
      </w:pPr>
      <w:hyperlink w:anchor="page238">
        <w:r>
          <w:rPr>
            <w:rFonts w:ascii="Arial" w:cs="Arial" w:eastAsia="Arial" w:hAnsi="Arial"/>
            <w:sz w:val="18"/>
            <w:szCs w:val="18"/>
            <w:u w:val="single" w:color="auto"/>
            <w:color w:val="0000FF"/>
          </w:rPr>
          <w:t>31.1</w:t>
        </w:r>
      </w:hyperlink>
    </w:p>
    <w:p>
      <w:pPr>
        <w:spacing w:after="0" w:line="279" w:lineRule="exact"/>
        <w:rPr>
          <w:sz w:val="20"/>
          <w:szCs w:val="20"/>
          <w:color w:val="auto"/>
        </w:rPr>
      </w:pPr>
    </w:p>
    <w:p>
      <w:pPr>
        <w:ind w:left="300"/>
        <w:spacing w:after="0"/>
        <w:rPr>
          <w:rFonts w:ascii="Arial" w:cs="Arial" w:eastAsia="Arial" w:hAnsi="Arial"/>
          <w:sz w:val="18"/>
          <w:szCs w:val="18"/>
          <w:u w:val="single" w:color="auto"/>
          <w:color w:val="0000FF"/>
        </w:rPr>
      </w:pPr>
      <w:hyperlink w:anchor="page239">
        <w:r>
          <w:rPr>
            <w:rFonts w:ascii="Arial" w:cs="Arial" w:eastAsia="Arial" w:hAnsi="Arial"/>
            <w:sz w:val="18"/>
            <w:szCs w:val="18"/>
            <w:u w:val="single" w:color="auto"/>
            <w:color w:val="0000FF"/>
          </w:rPr>
          <w:t>31.2</w:t>
        </w:r>
      </w:hyperlink>
    </w:p>
    <w:p>
      <w:pPr>
        <w:spacing w:after="0" w:line="279" w:lineRule="exact"/>
        <w:rPr>
          <w:sz w:val="20"/>
          <w:szCs w:val="20"/>
          <w:color w:val="auto"/>
        </w:rPr>
      </w:pPr>
    </w:p>
    <w:p>
      <w:pPr>
        <w:ind w:left="300"/>
        <w:spacing w:after="0"/>
        <w:rPr>
          <w:rFonts w:ascii="Arial" w:cs="Arial" w:eastAsia="Arial" w:hAnsi="Arial"/>
          <w:sz w:val="18"/>
          <w:szCs w:val="18"/>
          <w:u w:val="single" w:color="auto"/>
          <w:color w:val="0000FF"/>
        </w:rPr>
      </w:pPr>
      <w:hyperlink w:anchor="page240">
        <w:r>
          <w:rPr>
            <w:rFonts w:ascii="Arial" w:cs="Arial" w:eastAsia="Arial" w:hAnsi="Arial"/>
            <w:sz w:val="18"/>
            <w:szCs w:val="18"/>
            <w:u w:val="single" w:color="auto"/>
            <w:color w:val="0000FF"/>
          </w:rPr>
          <w:t>32.1</w:t>
        </w:r>
      </w:hyperlink>
    </w:p>
    <w:p>
      <w:pPr>
        <w:spacing w:after="0" w:line="279" w:lineRule="exact"/>
        <w:rPr>
          <w:sz w:val="20"/>
          <w:szCs w:val="20"/>
          <w:color w:val="auto"/>
        </w:rPr>
      </w:pPr>
    </w:p>
    <w:p>
      <w:pPr>
        <w:ind w:left="300"/>
        <w:spacing w:after="0"/>
        <w:rPr>
          <w:rFonts w:ascii="Arial" w:cs="Arial" w:eastAsia="Arial" w:hAnsi="Arial"/>
          <w:sz w:val="18"/>
          <w:szCs w:val="18"/>
          <w:u w:val="single" w:color="auto"/>
          <w:color w:val="0000FF"/>
        </w:rPr>
      </w:pPr>
      <w:hyperlink w:anchor="page241">
        <w:r>
          <w:rPr>
            <w:rFonts w:ascii="Arial" w:cs="Arial" w:eastAsia="Arial" w:hAnsi="Arial"/>
            <w:sz w:val="18"/>
            <w:szCs w:val="18"/>
            <w:u w:val="single" w:color="auto"/>
            <w:color w:val="0000FF"/>
          </w:rPr>
          <w:t>32.2</w:t>
        </w:r>
      </w:hyperlink>
    </w:p>
    <w:p>
      <w:pPr>
        <w:spacing w:after="0" w:line="27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101.INS</w:t>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101.SCH</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101.CAL</w:t>
      </w:r>
    </w:p>
    <w:p>
      <w:pPr>
        <w:spacing w:after="0" w:line="7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101.DEF</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101.LAB</w:t>
      </w:r>
    </w:p>
    <w:p>
      <w:pPr>
        <w:spacing w:after="0" w:line="7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19"/>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37465</wp:posOffset>
            </wp:positionV>
            <wp:extent cx="46393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4639310" cy="8890"/>
                    </a:xfrm>
                    <a:prstGeom prst="rect">
                      <a:avLst/>
                    </a:prstGeom>
                    <a:noFill/>
                  </pic:spPr>
                </pic:pic>
              </a:graphicData>
            </a:graphic>
          </wp:anchor>
        </w:drawing>
      </w:r>
    </w:p>
    <w:p>
      <w:pPr>
        <w:spacing w:after="0" w:line="66" w:lineRule="exact"/>
        <w:rPr>
          <w:sz w:val="20"/>
          <w:szCs w:val="20"/>
          <w:color w:val="auto"/>
        </w:rPr>
      </w:pPr>
    </w:p>
    <w:p>
      <w:pPr>
        <w:ind w:right="1240"/>
        <w:spacing w:after="0" w:line="313" w:lineRule="auto"/>
        <w:rPr>
          <w:sz w:val="20"/>
          <w:szCs w:val="20"/>
          <w:color w:val="auto"/>
        </w:rPr>
      </w:pPr>
      <w:r>
        <w:rPr>
          <w:rFonts w:ascii="Arial" w:cs="Arial" w:eastAsia="Arial" w:hAnsi="Arial"/>
          <w:sz w:val="18"/>
          <w:szCs w:val="18"/>
          <w:color w:val="auto"/>
        </w:rPr>
        <w:t>Restated Certificate of Incorporation of Marriott Vacations Worldwide Corporation Restated Bylaws of Marriott Vacations Worldwide Corporation</w:t>
      </w:r>
    </w:p>
    <w:p>
      <w:pPr>
        <w:ind w:right="140"/>
        <w:spacing w:after="0" w:line="277" w:lineRule="auto"/>
        <w:rPr>
          <w:sz w:val="20"/>
          <w:szCs w:val="20"/>
          <w:color w:val="auto"/>
        </w:rPr>
      </w:pPr>
      <w:r>
        <w:rPr>
          <w:rFonts w:ascii="Arial" w:cs="Arial" w:eastAsia="Arial" w:hAnsi="Arial"/>
          <w:sz w:val="18"/>
          <w:szCs w:val="18"/>
          <w:color w:val="auto"/>
        </w:rPr>
        <w:t>Indenture between Marriott Vacations Worldwide Corporation and The Bank of New York Mellon Trust Company, N.A., as trustee, dated September 25, 2017</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Form of 1.50% Convertible Senior Note due 2022 (included in Exhibit 4.1)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Call Option Transaction Confirmation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Warrant Confirmation</w:t>
      </w:r>
    </w:p>
    <w:p>
      <w:pPr>
        <w:spacing w:after="0" w:line="63" w:lineRule="exact"/>
        <w:rPr>
          <w:sz w:val="20"/>
          <w:szCs w:val="20"/>
          <w:color w:val="auto"/>
        </w:rPr>
      </w:pPr>
    </w:p>
    <w:p>
      <w:pPr>
        <w:jc w:val="both"/>
        <w:ind w:right="60"/>
        <w:spacing w:after="0" w:line="305" w:lineRule="auto"/>
        <w:rPr>
          <w:sz w:val="20"/>
          <w:szCs w:val="20"/>
          <w:color w:val="auto"/>
        </w:rPr>
      </w:pPr>
      <w:r>
        <w:rPr>
          <w:rFonts w:ascii="Arial" w:cs="Arial" w:eastAsia="Arial" w:hAnsi="Arial"/>
          <w:sz w:val="16"/>
          <w:szCs w:val="16"/>
          <w:color w:val="auto"/>
        </w:rPr>
        <w:t>Credit Agreement, dated as of August 16, 2017, among Marriott Vacations Worldwide Corporation, Marriott Ownership Resorts, Inc., the several banks and other financial institutions or entities from time to time parties thereto and JPMorgan Chase Bank, N.A., as administrative agent</w:t>
      </w:r>
    </w:p>
    <w:p>
      <w:pPr>
        <w:spacing w:after="0" w:line="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Guarantee and Collateral Agreement, dated as of August 16, 2017, made by Marriott Vacations Worldwide Corporation, Marriott Ownership Resorts, Inc. and certain other subsidiaries of Marriott Vacations Worldwide Corporation, in favor or JPMorgan Chase Bank, N.A., as Administrative Agent for the banks and other financial institutions or entities from time to time parties to the Credit Agreement</w:t>
      </w:r>
    </w:p>
    <w:p>
      <w:pPr>
        <w:spacing w:after="0" w:line="2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Omnibus Agreement No. 6, dated August 17, 2017, relating to, among other agreements, the Third Amended and Restated Indenture and the Second Amended and Restated Sale Agreement, by and among Marriott Vacations Worldwide Owner Trust 2011-1, Marriott Ownership Resorts, Inc., Wells Fargo Bank, National Association, MORI SPC Series Corp., Marriott Vacations Worldwide Corporation, the Purchasers signatory thereto, Deutsche Bank AG, New York Branch, Wilmington Trust, National Association, and MVCO Series LLC</w:t>
      </w:r>
    </w:p>
    <w:p>
      <w:pPr>
        <w:spacing w:after="0" w:line="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p>
      <w:pPr>
        <w:spacing w:after="0" w:line="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p>
      <w:pPr>
        <w:spacing w:after="0" w:line="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Certification of Chief Executive Officer pursuant to Rule 13a-14(b) and Section 906 of the Sarbanes-Oxley Act of 2002</w:t>
      </w:r>
    </w:p>
    <w:p>
      <w:pPr>
        <w:spacing w:after="0" w:line="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Certification of Chief Financial Officer pursuant to Rule 13a-14(b) and Section 906 of the Sarbanes-Oxley Act of 2002</w:t>
      </w:r>
    </w:p>
    <w:p>
      <w:pPr>
        <w:spacing w:after="0" w:line="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63" w:lineRule="exact"/>
        <w:rPr>
          <w:sz w:val="20"/>
          <w:szCs w:val="20"/>
          <w:color w:val="auto"/>
        </w:rPr>
      </w:pPr>
    </w:p>
    <w:p>
      <w:pPr>
        <w:ind w:right="2740"/>
        <w:spacing w:after="0" w:line="372" w:lineRule="auto"/>
        <w:rPr>
          <w:sz w:val="20"/>
          <w:szCs w:val="20"/>
          <w:color w:val="auto"/>
        </w:rPr>
      </w:pPr>
      <w:r>
        <w:rPr>
          <w:rFonts w:ascii="Arial" w:cs="Arial" w:eastAsia="Arial" w:hAnsi="Arial"/>
          <w:sz w:val="16"/>
          <w:szCs w:val="16"/>
          <w:color w:val="auto"/>
        </w:rPr>
        <w:t>XBRL Taxonomy Extension Calculation Linkbase Document XBRL Taxonomy Extension Definition Linkbase Document XBRL Taxonomy Extension Label Linkbase Document XBRL Taxonomy Extension Presentation Linkbase Document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Incorporation By</w:t>
            </w:r>
          </w:p>
        </w:tc>
        <w:tc>
          <w:tcPr>
            <w:tcW w:w="0" w:type="dxa"/>
            <w:vAlign w:val="bottom"/>
          </w:tcPr>
          <w:p>
            <w:pPr>
              <w:spacing w:after="0"/>
              <w:rPr>
                <w:sz w:val="1"/>
                <w:szCs w:val="1"/>
                <w:color w:val="auto"/>
              </w:rPr>
            </w:pPr>
          </w:p>
        </w:tc>
      </w:tr>
      <w:tr>
        <w:trPr>
          <w:trHeight w:val="210"/>
        </w:trPr>
        <w:tc>
          <w:tcPr>
            <w:tcW w:w="10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6"/>
              </w:rPr>
              <w:t>Filed</w:t>
            </w:r>
          </w:p>
        </w:tc>
        <w:tc>
          <w:tcPr>
            <w:tcW w:w="1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Reference From</w:t>
            </w:r>
          </w:p>
        </w:tc>
        <w:tc>
          <w:tcPr>
            <w:tcW w:w="0" w:type="dxa"/>
            <w:vAlign w:val="bottom"/>
          </w:tcPr>
          <w:p>
            <w:pPr>
              <w:spacing w:after="0"/>
              <w:rPr>
                <w:sz w:val="1"/>
                <w:szCs w:val="1"/>
                <w:color w:val="auto"/>
              </w:rPr>
            </w:pPr>
          </w:p>
        </w:tc>
      </w:tr>
      <w:tr>
        <w:trPr>
          <w:trHeight w:val="33"/>
        </w:trPr>
        <w:tc>
          <w:tcPr>
            <w:tcW w:w="1020" w:type="dxa"/>
            <w:vAlign w:val="bottom"/>
            <w:gridSpan w:val="2"/>
            <w:vMerge w:val="continue"/>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Herewith</w:t>
            </w:r>
          </w:p>
        </w:tc>
        <w:tc>
          <w:tcPr>
            <w:tcW w:w="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Form</w:t>
            </w:r>
          </w:p>
        </w:tc>
        <w:tc>
          <w:tcPr>
            <w:tcW w:w="1140" w:type="dxa"/>
            <w:vAlign w:val="bottom"/>
          </w:tcPr>
          <w:p>
            <w:pPr>
              <w:ind w:left="220"/>
              <w:spacing w:after="0"/>
              <w:rPr>
                <w:sz w:val="20"/>
                <w:szCs w:val="20"/>
                <w:color w:val="auto"/>
              </w:rPr>
            </w:pPr>
            <w:r>
              <w:rPr>
                <w:rFonts w:ascii="Arial" w:cs="Arial" w:eastAsia="Arial" w:hAnsi="Arial"/>
                <w:sz w:val="16"/>
                <w:szCs w:val="16"/>
                <w:b w:val="1"/>
                <w:bCs w:val="1"/>
                <w:color w:val="auto"/>
              </w:rPr>
              <w:t>Date Filed</w:t>
            </w:r>
          </w:p>
        </w:tc>
        <w:tc>
          <w:tcPr>
            <w:tcW w:w="0" w:type="dxa"/>
            <w:vAlign w:val="bottom"/>
          </w:tcPr>
          <w:p>
            <w:pPr>
              <w:spacing w:after="0"/>
              <w:rPr>
                <w:sz w:val="1"/>
                <w:szCs w:val="1"/>
                <w:color w:val="auto"/>
              </w:rPr>
            </w:pPr>
          </w:p>
        </w:tc>
      </w:tr>
      <w:tr>
        <w:trPr>
          <w:trHeight w:val="33"/>
        </w:trPr>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11/22/2011</w:t>
            </w: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11/22/2011</w:t>
            </w:r>
          </w:p>
        </w:tc>
        <w:tc>
          <w:tcPr>
            <w:tcW w:w="0" w:type="dxa"/>
            <w:vAlign w:val="bottom"/>
          </w:tcPr>
          <w:p>
            <w:pPr>
              <w:spacing w:after="0"/>
              <w:rPr>
                <w:sz w:val="1"/>
                <w:szCs w:val="1"/>
                <w:color w:val="auto"/>
              </w:rPr>
            </w:pPr>
          </w:p>
        </w:tc>
      </w:tr>
      <w:tr>
        <w:trPr>
          <w:trHeight w:val="378"/>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8/21/2017</w:t>
            </w:r>
          </w:p>
        </w:tc>
        <w:tc>
          <w:tcPr>
            <w:tcW w:w="0" w:type="dxa"/>
            <w:vAlign w:val="bottom"/>
          </w:tcPr>
          <w:p>
            <w:pPr>
              <w:spacing w:after="0"/>
              <w:rPr>
                <w:sz w:val="1"/>
                <w:szCs w:val="1"/>
                <w:color w:val="auto"/>
              </w:rPr>
            </w:pPr>
          </w:p>
        </w:tc>
      </w:tr>
      <w:tr>
        <w:trPr>
          <w:trHeight w:val="918"/>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8/21/2017</w:t>
            </w:r>
          </w:p>
        </w:tc>
        <w:tc>
          <w:tcPr>
            <w:tcW w:w="0" w:type="dxa"/>
            <w:vAlign w:val="bottom"/>
          </w:tcPr>
          <w:p>
            <w:pPr>
              <w:spacing w:after="0"/>
              <w:rPr>
                <w:sz w:val="1"/>
                <w:szCs w:val="1"/>
                <w:color w:val="auto"/>
              </w:rPr>
            </w:pPr>
          </w:p>
        </w:tc>
      </w:tr>
      <w:tr>
        <w:trPr>
          <w:trHeight w:val="1242"/>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8/21/2017</w:t>
            </w:r>
          </w:p>
        </w:tc>
        <w:tc>
          <w:tcPr>
            <w:tcW w:w="0" w:type="dxa"/>
            <w:vAlign w:val="bottom"/>
          </w:tcPr>
          <w:p>
            <w:pPr>
              <w:spacing w:after="0"/>
              <w:rPr>
                <w:sz w:val="1"/>
                <w:szCs w:val="1"/>
                <w:color w:val="auto"/>
              </w:rPr>
            </w:pPr>
          </w:p>
        </w:tc>
      </w:tr>
      <w:tr>
        <w:trPr>
          <w:trHeight w:val="918"/>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Furnished</w:t>
      </w:r>
    </w:p>
    <w:p>
      <w:pPr>
        <w:spacing w:after="0" w:line="27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Furnished</w:t>
      </w:r>
    </w:p>
    <w:p>
      <w:pPr>
        <w:spacing w:after="0" w:line="2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Electronically Submitted</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Electronically Submitted</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Electronically Submitted</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Electronically Submitted</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Electronically Submitted</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Electronically Submitted</w:t>
      </w:r>
    </w:p>
    <w:p>
      <w:pPr>
        <w:spacing w:after="0" w:line="144" w:lineRule="exact"/>
        <w:rPr>
          <w:sz w:val="20"/>
          <w:szCs w:val="20"/>
          <w:color w:val="auto"/>
        </w:rPr>
      </w:pPr>
    </w:p>
    <w:p>
      <w:pPr>
        <w:sectPr>
          <w:pgSz w:w="11900" w:h="16838" w:orient="portrait"/>
          <w:cols w:equalWidth="0" w:num="3">
            <w:col w:w="800" w:space="280"/>
            <w:col w:w="7220" w:space="180"/>
            <w:col w:w="2940"/>
          </w:cols>
          <w:pgMar w:left="240" w:top="125" w:right="239"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We have submitted electronically the following documents formatted in XBRL (Extensible Business Reporting Language) as Exhibit 101 to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report: (i) the Interim Consolidated Statements of Income for the 92 days ended September 30, 2017 and the 84 days ended September 9, 2016, as well 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274 days ended September 30, 2017 and the 252 days ended September 9, 2016; (ii) the Interim Consolidated Statements of Comprehensive Income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92 days ended September 30,</w:t>
      </w:r>
    </w:p>
    <w:p>
      <w:pPr>
        <w:sectPr>
          <w:pgSz w:w="11900" w:h="16838" w:orient="portrait"/>
          <w:cols w:equalWidth="0" w:num="1">
            <w:col w:w="11420"/>
          </w:cols>
          <w:pgMar w:left="240" w:top="125" w:right="239" w:bottom="1440" w:gutter="0" w:footer="0" w:header="0"/>
          <w:type w:val="continuous"/>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5"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2017 and the 84 days ended September 9, 2016, as well as the 274 days ended September 30, 2017 and the 252 days ended September 9, 2016; (iii) the Interim Consolidated Balance Sheets at September 30, 2017 and December 30, 2016; and (iv) the Interim Consolidated Statements of Cash Flows for the 274 days ended September 30, 2017 and the 252 days ended September 9, 2016.</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125" w:right="29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60" w:firstLine="87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MARRIOTT VACATIONS WORLDWIDE CORPORATION</w:t>
            </w:r>
          </w:p>
        </w:tc>
      </w:tr>
      <w:tr>
        <w:trPr>
          <w:trHeight w:val="594"/>
        </w:trPr>
        <w:tc>
          <w:tcPr>
            <w:tcW w:w="3460" w:type="dxa"/>
            <w:vAlign w:val="bottom"/>
          </w:tcPr>
          <w:p>
            <w:pPr>
              <w:spacing w:after="0"/>
              <w:rPr>
                <w:sz w:val="20"/>
                <w:szCs w:val="20"/>
                <w:color w:val="auto"/>
              </w:rPr>
            </w:pPr>
            <w:r>
              <w:rPr>
                <w:rFonts w:ascii="Arial" w:cs="Arial" w:eastAsia="Arial" w:hAnsi="Arial"/>
                <w:sz w:val="18"/>
                <w:szCs w:val="18"/>
                <w:color w:val="auto"/>
              </w:rPr>
              <w:t>November 2, 2017</w:t>
            </w:r>
          </w:p>
        </w:tc>
        <w:tc>
          <w:tcPr>
            <w:tcW w:w="222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 Stephen P. Weisz</w:t>
            </w:r>
          </w:p>
        </w:tc>
      </w:tr>
      <w:tr>
        <w:trPr>
          <w:trHeight w:val="27"/>
        </w:trPr>
        <w:tc>
          <w:tcPr>
            <w:tcW w:w="34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Stephen P. Weisz</w:t>
            </w:r>
          </w:p>
        </w:tc>
      </w:tr>
      <w:tr>
        <w:trPr>
          <w:trHeight w:val="270"/>
        </w:trPr>
        <w:tc>
          <w:tcPr>
            <w:tcW w:w="34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594"/>
        </w:trPr>
        <w:tc>
          <w:tcPr>
            <w:tcW w:w="3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 John E. Geller, Jr.</w:t>
            </w:r>
          </w:p>
        </w:tc>
      </w:tr>
      <w:tr>
        <w:trPr>
          <w:trHeight w:val="27"/>
        </w:trPr>
        <w:tc>
          <w:tcPr>
            <w:tcW w:w="34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John E. Geller, Jr.</w:t>
            </w:r>
          </w:p>
        </w:tc>
      </w:tr>
      <w:tr>
        <w:trPr>
          <w:trHeight w:val="270"/>
        </w:trPr>
        <w:tc>
          <w:tcPr>
            <w:tcW w:w="34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486"/>
        </w:trPr>
        <w:tc>
          <w:tcPr>
            <w:tcW w:w="3460" w:type="dxa"/>
            <w:vAlign w:val="bottom"/>
          </w:tcPr>
          <w:p>
            <w:pPr>
              <w:spacing w:after="0"/>
              <w:rPr>
                <w:sz w:val="24"/>
                <w:szCs w:val="24"/>
                <w:color w:val="auto"/>
              </w:rPr>
            </w:pPr>
          </w:p>
        </w:tc>
        <w:tc>
          <w:tcPr>
            <w:tcW w:w="7920" w:type="dxa"/>
            <w:vAlign w:val="bottom"/>
            <w:gridSpan w:val="2"/>
          </w:tcPr>
          <w:p>
            <w:pPr>
              <w:jc w:val="right"/>
              <w:ind w:right="5530"/>
              <w:spacing w:after="0"/>
              <w:rPr>
                <w:sz w:val="20"/>
                <w:szCs w:val="20"/>
                <w:color w:val="auto"/>
              </w:rPr>
            </w:pPr>
            <w:r>
              <w:rPr>
                <w:rFonts w:ascii="Arial" w:cs="Arial" w:eastAsia="Arial" w:hAnsi="Arial"/>
                <w:sz w:val="18"/>
                <w:szCs w:val="18"/>
                <w:color w:val="auto"/>
              </w:rPr>
              <w:t>71</w:t>
            </w:r>
          </w:p>
        </w:tc>
      </w:tr>
    </w:tbl>
    <w:p>
      <w:pPr>
        <w:sectPr>
          <w:pgSz w:w="11900" w:h="16838" w:orient="portrait"/>
          <w:cols w:equalWidth="0" w:num="1">
            <w:col w:w="11420"/>
          </w:cols>
          <w:pgMar w:left="240" w:top="125"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22"/>
          <w:szCs w:val="22"/>
          <w:b w:val="1"/>
          <w:bCs w:val="1"/>
          <w:color w:val="auto"/>
        </w:rPr>
        <w:t>Exhibit 4.1</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1160780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MARRIOTT VACATIONS WORLDWIDE CORPORATION</w:t>
      </w:r>
    </w:p>
    <w:p>
      <w:pPr>
        <w:spacing w:after="0" w:line="22"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as Issuer</w:t>
      </w:r>
    </w:p>
    <w:p>
      <w:pPr>
        <w:spacing w:after="0" w:line="200" w:lineRule="exact"/>
        <w:rPr>
          <w:sz w:val="20"/>
          <w:szCs w:val="20"/>
          <w:color w:val="auto"/>
        </w:rPr>
      </w:pPr>
    </w:p>
    <w:p>
      <w:pPr>
        <w:spacing w:after="0" w:line="312"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330" w:lineRule="exact"/>
        <w:rPr>
          <w:sz w:val="20"/>
          <w:szCs w:val="20"/>
          <w:color w:val="auto"/>
        </w:rPr>
      </w:pPr>
    </w:p>
    <w:p>
      <w:pPr>
        <w:jc w:val="center"/>
        <w:ind w:right="1240"/>
        <w:spacing w:after="0"/>
        <w:rPr>
          <w:sz w:val="20"/>
          <w:szCs w:val="20"/>
          <w:color w:val="auto"/>
        </w:rPr>
      </w:pPr>
      <w:r>
        <w:rPr>
          <w:rFonts w:ascii="Arial" w:cs="Arial" w:eastAsia="Arial" w:hAnsi="Arial"/>
          <w:sz w:val="21"/>
          <w:szCs w:val="21"/>
          <w:color w:val="auto"/>
        </w:rPr>
        <w:t>THE BANK OF NEW YORK MELLON TRUST COMPANY, N.A.</w:t>
      </w:r>
    </w:p>
    <w:p>
      <w:pPr>
        <w:spacing w:after="0" w:line="33"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31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INDENTURE</w:t>
      </w:r>
    </w:p>
    <w:p>
      <w:pPr>
        <w:spacing w:after="0" w:line="200" w:lineRule="exact"/>
        <w:rPr>
          <w:sz w:val="20"/>
          <w:szCs w:val="20"/>
          <w:color w:val="auto"/>
        </w:rPr>
      </w:pPr>
    </w:p>
    <w:p>
      <w:pPr>
        <w:spacing w:after="0" w:line="330"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Dated as of September 25, 2017</w:t>
      </w:r>
    </w:p>
    <w:p>
      <w:pPr>
        <w:spacing w:after="0" w:line="200" w:lineRule="exact"/>
        <w:rPr>
          <w:sz w:val="20"/>
          <w:szCs w:val="20"/>
          <w:color w:val="auto"/>
        </w:rPr>
      </w:pPr>
    </w:p>
    <w:p>
      <w:pPr>
        <w:spacing w:after="0" w:line="303"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1.50% Convertible Senior Notes due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380365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369"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81"/>
        </w:trPr>
        <w:tc>
          <w:tcPr>
            <w:tcW w:w="1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480" w:type="dxa"/>
            <w:vAlign w:val="bottom"/>
            <w:gridSpan w:val="2"/>
          </w:tcPr>
          <w:p>
            <w:pPr>
              <w:jc w:val="center"/>
              <w:ind w:right="2840"/>
              <w:spacing w:after="0"/>
              <w:rPr>
                <w:sz w:val="20"/>
                <w:szCs w:val="20"/>
                <w:color w:val="auto"/>
              </w:rPr>
            </w:pPr>
            <w:r>
              <w:rPr>
                <w:rFonts w:ascii="Arial" w:cs="Arial" w:eastAsia="Arial" w:hAnsi="Arial"/>
                <w:sz w:val="22"/>
                <w:szCs w:val="22"/>
                <w:b w:val="1"/>
                <w:bCs w:val="1"/>
                <w:color w:val="auto"/>
                <w:w w:val="97"/>
              </w:rPr>
              <w:t>TABLE OF CONTENTS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4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4640" w:type="dxa"/>
            <w:vAlign w:val="bottom"/>
            <w:tcBorders>
              <w:bottom w:val="single" w:sz="8" w:color="auto"/>
            </w:tcBorders>
          </w:tcPr>
          <w:p>
            <w:pPr>
              <w:spacing w:after="0"/>
              <w:rPr>
                <w:sz w:val="21"/>
                <w:szCs w:val="21"/>
                <w:color w:val="auto"/>
              </w:rPr>
            </w:pPr>
          </w:p>
        </w:tc>
        <w:tc>
          <w:tcPr>
            <w:tcW w:w="2840" w:type="dxa"/>
            <w:vAlign w:val="bottom"/>
          </w:tcPr>
          <w:p>
            <w:pPr>
              <w:spacing w:after="0"/>
              <w:rPr>
                <w:sz w:val="21"/>
                <w:szCs w:val="21"/>
                <w:color w:val="auto"/>
              </w:rPr>
            </w:pPr>
          </w:p>
        </w:tc>
        <w:tc>
          <w:tcPr>
            <w:tcW w:w="540" w:type="dxa"/>
            <w:vAlign w:val="bottom"/>
            <w:vMerge w:val="restart"/>
          </w:tcPr>
          <w:p>
            <w:pPr>
              <w:jc w:val="right"/>
              <w:spacing w:after="0"/>
              <w:rPr>
                <w:sz w:val="20"/>
                <w:szCs w:val="20"/>
                <w:color w:val="auto"/>
              </w:rPr>
            </w:pPr>
            <w:r>
              <w:rPr>
                <w:rFonts w:ascii="Arial" w:cs="Arial" w:eastAsia="Arial" w:hAnsi="Arial"/>
                <w:sz w:val="22"/>
                <w:szCs w:val="22"/>
                <w:color w:val="auto"/>
                <w:w w:val="84"/>
              </w:rPr>
              <w:t>PAGE</w:t>
            </w:r>
          </w:p>
        </w:tc>
        <w:tc>
          <w:tcPr>
            <w:tcW w:w="0" w:type="dxa"/>
            <w:vAlign w:val="bottom"/>
          </w:tcPr>
          <w:p>
            <w:pPr>
              <w:spacing w:after="0"/>
              <w:rPr>
                <w:sz w:val="1"/>
                <w:szCs w:val="1"/>
                <w:color w:val="auto"/>
              </w:rPr>
            </w:pPr>
          </w:p>
        </w:tc>
      </w:tr>
      <w:tr>
        <w:trPr>
          <w:trHeight w:val="471"/>
        </w:trPr>
        <w:tc>
          <w:tcPr>
            <w:tcW w:w="1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480" w:type="dxa"/>
            <w:vAlign w:val="bottom"/>
            <w:gridSpan w:val="2"/>
          </w:tcPr>
          <w:p>
            <w:pPr>
              <w:jc w:val="center"/>
              <w:ind w:right="2900"/>
              <w:spacing w:after="0"/>
              <w:rPr>
                <w:sz w:val="20"/>
                <w:szCs w:val="20"/>
                <w:color w:val="auto"/>
              </w:rPr>
            </w:pPr>
            <w:r>
              <w:rPr>
                <w:rFonts w:ascii="Arial" w:cs="Arial" w:eastAsia="Arial" w:hAnsi="Arial"/>
                <w:sz w:val="22"/>
                <w:szCs w:val="22"/>
                <w:color w:val="auto"/>
                <w:w w:val="95"/>
              </w:rPr>
              <w:t>ARTICLE 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4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480" w:type="dxa"/>
            <w:vAlign w:val="bottom"/>
            <w:gridSpan w:val="2"/>
          </w:tcPr>
          <w:p>
            <w:pPr>
              <w:jc w:val="center"/>
              <w:ind w:right="2860"/>
              <w:spacing w:after="0"/>
              <w:rPr>
                <w:sz w:val="20"/>
                <w:szCs w:val="20"/>
                <w:color w:val="auto"/>
              </w:rPr>
            </w:pPr>
            <w:r>
              <w:rPr>
                <w:rFonts w:ascii="Arial" w:cs="Arial" w:eastAsia="Arial" w:hAnsi="Arial"/>
                <w:sz w:val="22"/>
                <w:szCs w:val="22"/>
                <w:color w:val="auto"/>
                <w:w w:val="96"/>
              </w:rPr>
              <w:t>DEFINITIONS</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1420" w:type="dxa"/>
            <w:vAlign w:val="bottom"/>
          </w:tcPr>
          <w:p>
            <w:pPr>
              <w:spacing w:after="0"/>
              <w:rPr>
                <w:sz w:val="20"/>
                <w:szCs w:val="20"/>
                <w:color w:val="auto"/>
              </w:rPr>
            </w:pPr>
            <w:r>
              <w:rPr>
                <w:rFonts w:ascii="Arial" w:cs="Arial" w:eastAsia="Arial" w:hAnsi="Arial"/>
                <w:sz w:val="22"/>
                <w:szCs w:val="22"/>
                <w:color w:val="auto"/>
              </w:rPr>
              <w:t>Section 1.01 .</w:t>
            </w:r>
          </w:p>
        </w:tc>
        <w:tc>
          <w:tcPr>
            <w:tcW w:w="9380" w:type="dxa"/>
            <w:vAlign w:val="bottom"/>
            <w:gridSpan w:val="3"/>
          </w:tcPr>
          <w:p>
            <w:pPr>
              <w:ind w:left="400"/>
              <w:spacing w:after="0"/>
              <w:rPr>
                <w:sz w:val="20"/>
                <w:szCs w:val="20"/>
                <w:color w:val="auto"/>
              </w:rPr>
            </w:pPr>
            <w:r>
              <w:rPr>
                <w:rFonts w:ascii="Arial" w:cs="Arial" w:eastAsia="Arial" w:hAnsi="Arial"/>
                <w:sz w:val="22"/>
                <w:szCs w:val="22"/>
                <w:i w:val="1"/>
                <w:iCs w:val="1"/>
                <w:color w:val="auto"/>
              </w:rPr>
              <w:t>Definitions</w:t>
            </w:r>
          </w:p>
        </w:tc>
        <w:tc>
          <w:tcPr>
            <w:tcW w:w="540" w:type="dxa"/>
            <w:vAlign w:val="bottom"/>
          </w:tcPr>
          <w:p>
            <w:pPr>
              <w:jc w:val="right"/>
              <w:spacing w:after="0"/>
              <w:rPr>
                <w:rFonts w:ascii="Arial" w:cs="Arial" w:eastAsia="Arial" w:hAnsi="Arial"/>
                <w:sz w:val="22"/>
                <w:szCs w:val="22"/>
                <w:color w:val="auto"/>
              </w:rPr>
            </w:pPr>
            <w:hyperlink w:anchor="page79">
              <w:r>
                <w:rPr>
                  <w:rFonts w:ascii="Arial" w:cs="Arial" w:eastAsia="Arial" w:hAnsi="Arial"/>
                  <w:sz w:val="22"/>
                  <w:szCs w:val="22"/>
                  <w:color w:val="auto"/>
                </w:rPr>
                <w:t>5</w:t>
              </w:r>
            </w:hyperlink>
          </w:p>
        </w:tc>
        <w:tc>
          <w:tcPr>
            <w:tcW w:w="0" w:type="dxa"/>
            <w:vAlign w:val="bottom"/>
          </w:tcPr>
          <w:p>
            <w:pPr>
              <w:spacing w:after="0"/>
              <w:rPr>
                <w:sz w:val="1"/>
                <w:szCs w:val="1"/>
                <w:color w:val="auto"/>
              </w:rPr>
            </w:pPr>
          </w:p>
        </w:tc>
      </w:tr>
      <w:tr>
        <w:trPr>
          <w:trHeight w:val="297"/>
        </w:trPr>
        <w:tc>
          <w:tcPr>
            <w:tcW w:w="1420" w:type="dxa"/>
            <w:vAlign w:val="bottom"/>
          </w:tcPr>
          <w:p>
            <w:pPr>
              <w:spacing w:after="0"/>
              <w:rPr>
                <w:sz w:val="20"/>
                <w:szCs w:val="20"/>
                <w:color w:val="auto"/>
              </w:rPr>
            </w:pPr>
            <w:r>
              <w:rPr>
                <w:rFonts w:ascii="Arial" w:cs="Arial" w:eastAsia="Arial" w:hAnsi="Arial"/>
                <w:sz w:val="22"/>
                <w:szCs w:val="22"/>
                <w:color w:val="auto"/>
              </w:rPr>
              <w:t>Section 1.02 .</w:t>
            </w:r>
          </w:p>
        </w:tc>
        <w:tc>
          <w:tcPr>
            <w:tcW w:w="9380" w:type="dxa"/>
            <w:vAlign w:val="bottom"/>
            <w:gridSpan w:val="3"/>
          </w:tcPr>
          <w:p>
            <w:pPr>
              <w:ind w:left="400"/>
              <w:spacing w:after="0"/>
              <w:rPr>
                <w:sz w:val="20"/>
                <w:szCs w:val="20"/>
                <w:color w:val="auto"/>
              </w:rPr>
            </w:pPr>
            <w:r>
              <w:rPr>
                <w:rFonts w:ascii="Arial" w:cs="Arial" w:eastAsia="Arial" w:hAnsi="Arial"/>
                <w:sz w:val="22"/>
                <w:szCs w:val="22"/>
                <w:i w:val="1"/>
                <w:iCs w:val="1"/>
                <w:color w:val="auto"/>
              </w:rPr>
              <w:t>References to Interest</w:t>
            </w:r>
          </w:p>
        </w:tc>
        <w:tc>
          <w:tcPr>
            <w:tcW w:w="540" w:type="dxa"/>
            <w:vAlign w:val="bottom"/>
          </w:tcPr>
          <w:p>
            <w:pPr>
              <w:jc w:val="right"/>
              <w:spacing w:after="0"/>
              <w:rPr>
                <w:rFonts w:ascii="Arial" w:cs="Arial" w:eastAsia="Arial" w:hAnsi="Arial"/>
                <w:sz w:val="22"/>
                <w:szCs w:val="22"/>
                <w:color w:val="auto"/>
              </w:rPr>
            </w:pPr>
            <w:hyperlink w:anchor="page91">
              <w:r>
                <w:rPr>
                  <w:rFonts w:ascii="Arial" w:cs="Arial" w:eastAsia="Arial" w:hAnsi="Arial"/>
                  <w:sz w:val="22"/>
                  <w:szCs w:val="22"/>
                  <w:color w:val="auto"/>
                </w:rPr>
                <w:t>17</w:t>
              </w:r>
            </w:hyperlink>
          </w:p>
        </w:tc>
        <w:tc>
          <w:tcPr>
            <w:tcW w:w="0" w:type="dxa"/>
            <w:vAlign w:val="bottom"/>
          </w:tcPr>
          <w:p>
            <w:pPr>
              <w:spacing w:after="0"/>
              <w:rPr>
                <w:sz w:val="1"/>
                <w:szCs w:val="1"/>
                <w:color w:val="auto"/>
              </w:rPr>
            </w:pPr>
          </w:p>
        </w:tc>
      </w:tr>
      <w:tr>
        <w:trPr>
          <w:trHeight w:val="482"/>
        </w:trPr>
        <w:tc>
          <w:tcPr>
            <w:tcW w:w="1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480" w:type="dxa"/>
            <w:vAlign w:val="bottom"/>
            <w:gridSpan w:val="2"/>
          </w:tcPr>
          <w:p>
            <w:pPr>
              <w:jc w:val="center"/>
              <w:ind w:right="2900"/>
              <w:spacing w:after="0"/>
              <w:rPr>
                <w:rFonts w:ascii="Arial" w:cs="Arial" w:eastAsia="Arial" w:hAnsi="Arial"/>
                <w:sz w:val="22"/>
                <w:szCs w:val="22"/>
                <w:color w:val="auto"/>
                <w:w w:val="95"/>
              </w:rPr>
            </w:pPr>
            <w:hyperlink w:anchor="page91">
              <w:r>
                <w:rPr>
                  <w:rFonts w:ascii="Arial" w:cs="Arial" w:eastAsia="Arial" w:hAnsi="Arial"/>
                  <w:sz w:val="22"/>
                  <w:szCs w:val="22"/>
                  <w:color w:val="auto"/>
                  <w:w w:val="95"/>
                </w:rPr>
                <w:t>ARTICLE 2</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420" w:type="dxa"/>
            <w:vAlign w:val="bottom"/>
          </w:tcPr>
          <w:p>
            <w:pPr>
              <w:spacing w:after="0"/>
              <w:rPr>
                <w:sz w:val="23"/>
                <w:szCs w:val="23"/>
                <w:color w:val="auto"/>
              </w:rPr>
            </w:pPr>
          </w:p>
        </w:tc>
        <w:tc>
          <w:tcPr>
            <w:tcW w:w="9380" w:type="dxa"/>
            <w:vAlign w:val="bottom"/>
            <w:gridSpan w:val="3"/>
          </w:tcPr>
          <w:p>
            <w:pPr>
              <w:jc w:val="center"/>
              <w:ind w:right="940"/>
              <w:spacing w:after="0"/>
              <w:rPr>
                <w:sz w:val="20"/>
                <w:szCs w:val="20"/>
                <w:color w:val="auto"/>
              </w:rPr>
            </w:pPr>
            <w:r>
              <w:rPr>
                <w:rFonts w:ascii="Arial" w:cs="Arial" w:eastAsia="Arial" w:hAnsi="Arial"/>
                <w:sz w:val="22"/>
                <w:szCs w:val="22"/>
                <w:color w:val="auto"/>
                <w:w w:val="93"/>
              </w:rPr>
              <w:t>ISSUE, DESCRIPTION, EXECUTION, REGISTRATION AND EXCHANGE OF NOTES</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1420" w:type="dxa"/>
            <w:vAlign w:val="bottom"/>
          </w:tcPr>
          <w:p>
            <w:pPr>
              <w:spacing w:after="0"/>
              <w:rPr>
                <w:sz w:val="20"/>
                <w:szCs w:val="20"/>
                <w:color w:val="auto"/>
              </w:rPr>
            </w:pPr>
            <w:r>
              <w:rPr>
                <w:rFonts w:ascii="Arial" w:cs="Arial" w:eastAsia="Arial" w:hAnsi="Arial"/>
                <w:sz w:val="22"/>
                <w:szCs w:val="22"/>
                <w:color w:val="auto"/>
              </w:rPr>
              <w:t>Section 2.01 .</w:t>
            </w:r>
          </w:p>
        </w:tc>
        <w:tc>
          <w:tcPr>
            <w:tcW w:w="9380" w:type="dxa"/>
            <w:vAlign w:val="bottom"/>
            <w:gridSpan w:val="3"/>
          </w:tcPr>
          <w:p>
            <w:pPr>
              <w:ind w:left="400"/>
              <w:spacing w:after="0"/>
              <w:rPr>
                <w:sz w:val="20"/>
                <w:szCs w:val="20"/>
                <w:color w:val="auto"/>
              </w:rPr>
            </w:pPr>
            <w:r>
              <w:rPr>
                <w:rFonts w:ascii="Arial" w:cs="Arial" w:eastAsia="Arial" w:hAnsi="Arial"/>
                <w:sz w:val="22"/>
                <w:szCs w:val="22"/>
                <w:i w:val="1"/>
                <w:iCs w:val="1"/>
                <w:color w:val="auto"/>
              </w:rPr>
              <w:t>Designation and Amount</w:t>
            </w:r>
          </w:p>
        </w:tc>
        <w:tc>
          <w:tcPr>
            <w:tcW w:w="540" w:type="dxa"/>
            <w:vAlign w:val="bottom"/>
          </w:tcPr>
          <w:p>
            <w:pPr>
              <w:jc w:val="right"/>
              <w:spacing w:after="0"/>
              <w:rPr>
                <w:rFonts w:ascii="Arial" w:cs="Arial" w:eastAsia="Arial" w:hAnsi="Arial"/>
                <w:sz w:val="22"/>
                <w:szCs w:val="22"/>
                <w:color w:val="auto"/>
              </w:rPr>
            </w:pPr>
            <w:hyperlink w:anchor="page91">
              <w:r>
                <w:rPr>
                  <w:rFonts w:ascii="Arial" w:cs="Arial" w:eastAsia="Arial" w:hAnsi="Arial"/>
                  <w:sz w:val="22"/>
                  <w:szCs w:val="22"/>
                  <w:color w:val="auto"/>
                </w:rPr>
                <w:t>17</w:t>
              </w:r>
            </w:hyperlink>
          </w:p>
        </w:tc>
        <w:tc>
          <w:tcPr>
            <w:tcW w:w="0" w:type="dxa"/>
            <w:vAlign w:val="bottom"/>
          </w:tcPr>
          <w:p>
            <w:pPr>
              <w:spacing w:after="0"/>
              <w:rPr>
                <w:sz w:val="1"/>
                <w:szCs w:val="1"/>
                <w:color w:val="auto"/>
              </w:rPr>
            </w:pPr>
          </w:p>
        </w:tc>
      </w:tr>
      <w:tr>
        <w:trPr>
          <w:trHeight w:val="297"/>
        </w:trPr>
        <w:tc>
          <w:tcPr>
            <w:tcW w:w="1420" w:type="dxa"/>
            <w:vAlign w:val="bottom"/>
          </w:tcPr>
          <w:p>
            <w:pPr>
              <w:spacing w:after="0"/>
              <w:rPr>
                <w:sz w:val="20"/>
                <w:szCs w:val="20"/>
                <w:color w:val="auto"/>
              </w:rPr>
            </w:pPr>
            <w:r>
              <w:rPr>
                <w:rFonts w:ascii="Arial" w:cs="Arial" w:eastAsia="Arial" w:hAnsi="Arial"/>
                <w:sz w:val="22"/>
                <w:szCs w:val="22"/>
                <w:color w:val="auto"/>
              </w:rPr>
              <w:t>Section 2.02 .</w:t>
            </w:r>
          </w:p>
        </w:tc>
        <w:tc>
          <w:tcPr>
            <w:tcW w:w="9380" w:type="dxa"/>
            <w:vAlign w:val="bottom"/>
            <w:gridSpan w:val="3"/>
          </w:tcPr>
          <w:p>
            <w:pPr>
              <w:ind w:left="400"/>
              <w:spacing w:after="0"/>
              <w:rPr>
                <w:sz w:val="20"/>
                <w:szCs w:val="20"/>
                <w:color w:val="auto"/>
              </w:rPr>
            </w:pPr>
            <w:r>
              <w:rPr>
                <w:rFonts w:ascii="Arial" w:cs="Arial" w:eastAsia="Arial" w:hAnsi="Arial"/>
                <w:sz w:val="22"/>
                <w:szCs w:val="22"/>
                <w:i w:val="1"/>
                <w:iCs w:val="1"/>
                <w:color w:val="auto"/>
              </w:rPr>
              <w:t>Form of Notes</w:t>
            </w:r>
          </w:p>
        </w:tc>
        <w:tc>
          <w:tcPr>
            <w:tcW w:w="540" w:type="dxa"/>
            <w:vAlign w:val="bottom"/>
          </w:tcPr>
          <w:p>
            <w:pPr>
              <w:jc w:val="right"/>
              <w:spacing w:after="0"/>
              <w:rPr>
                <w:rFonts w:ascii="Arial" w:cs="Arial" w:eastAsia="Arial" w:hAnsi="Arial"/>
                <w:sz w:val="22"/>
                <w:szCs w:val="22"/>
                <w:color w:val="auto"/>
              </w:rPr>
            </w:pPr>
            <w:hyperlink w:anchor="page91">
              <w:r>
                <w:rPr>
                  <w:rFonts w:ascii="Arial" w:cs="Arial" w:eastAsia="Arial" w:hAnsi="Arial"/>
                  <w:sz w:val="22"/>
                  <w:szCs w:val="22"/>
                  <w:color w:val="auto"/>
                </w:rPr>
                <w:t>17</w:t>
              </w:r>
            </w:hyperlink>
          </w:p>
        </w:tc>
        <w:tc>
          <w:tcPr>
            <w:tcW w:w="0" w:type="dxa"/>
            <w:vAlign w:val="bottom"/>
          </w:tcPr>
          <w:p>
            <w:pPr>
              <w:spacing w:after="0"/>
              <w:rPr>
                <w:sz w:val="1"/>
                <w:szCs w:val="1"/>
                <w:color w:val="auto"/>
              </w:rPr>
            </w:pPr>
          </w:p>
        </w:tc>
      </w:tr>
      <w:tr>
        <w:trPr>
          <w:trHeight w:val="297"/>
        </w:trPr>
        <w:tc>
          <w:tcPr>
            <w:tcW w:w="1420" w:type="dxa"/>
            <w:vAlign w:val="bottom"/>
          </w:tcPr>
          <w:p>
            <w:pPr>
              <w:spacing w:after="0"/>
              <w:rPr>
                <w:sz w:val="20"/>
                <w:szCs w:val="20"/>
                <w:color w:val="auto"/>
              </w:rPr>
            </w:pPr>
            <w:r>
              <w:rPr>
                <w:rFonts w:ascii="Arial" w:cs="Arial" w:eastAsia="Arial" w:hAnsi="Arial"/>
                <w:sz w:val="22"/>
                <w:szCs w:val="22"/>
                <w:color w:val="auto"/>
              </w:rPr>
              <w:t>Section 2.03 .</w:t>
            </w:r>
          </w:p>
        </w:tc>
        <w:tc>
          <w:tcPr>
            <w:tcW w:w="9380" w:type="dxa"/>
            <w:vAlign w:val="bottom"/>
            <w:gridSpan w:val="3"/>
          </w:tcPr>
          <w:p>
            <w:pPr>
              <w:ind w:left="400"/>
              <w:spacing w:after="0"/>
              <w:rPr>
                <w:sz w:val="20"/>
                <w:szCs w:val="20"/>
                <w:color w:val="auto"/>
              </w:rPr>
            </w:pPr>
            <w:r>
              <w:rPr>
                <w:rFonts w:ascii="Arial" w:cs="Arial" w:eastAsia="Arial" w:hAnsi="Arial"/>
                <w:sz w:val="22"/>
                <w:szCs w:val="22"/>
                <w:i w:val="1"/>
                <w:iCs w:val="1"/>
                <w:color w:val="auto"/>
              </w:rPr>
              <w:t>Date and Denomination of Notes; Payments of Interest and Defaulted Amounts</w:t>
            </w:r>
          </w:p>
        </w:tc>
        <w:tc>
          <w:tcPr>
            <w:tcW w:w="540" w:type="dxa"/>
            <w:vAlign w:val="bottom"/>
          </w:tcPr>
          <w:p>
            <w:pPr>
              <w:jc w:val="right"/>
              <w:spacing w:after="0"/>
              <w:rPr>
                <w:rFonts w:ascii="Arial" w:cs="Arial" w:eastAsia="Arial" w:hAnsi="Arial"/>
                <w:sz w:val="22"/>
                <w:szCs w:val="22"/>
                <w:color w:val="auto"/>
              </w:rPr>
            </w:pPr>
            <w:hyperlink w:anchor="page92">
              <w:r>
                <w:rPr>
                  <w:rFonts w:ascii="Arial" w:cs="Arial" w:eastAsia="Arial" w:hAnsi="Arial"/>
                  <w:sz w:val="22"/>
                  <w:szCs w:val="22"/>
                  <w:color w:val="auto"/>
                </w:rPr>
                <w:t>18</w:t>
              </w:r>
            </w:hyperlink>
          </w:p>
        </w:tc>
        <w:tc>
          <w:tcPr>
            <w:tcW w:w="0" w:type="dxa"/>
            <w:vAlign w:val="bottom"/>
          </w:tcPr>
          <w:p>
            <w:pPr>
              <w:spacing w:after="0"/>
              <w:rPr>
                <w:sz w:val="1"/>
                <w:szCs w:val="1"/>
                <w:color w:val="auto"/>
              </w:rPr>
            </w:pPr>
          </w:p>
        </w:tc>
      </w:tr>
      <w:tr>
        <w:trPr>
          <w:trHeight w:val="297"/>
        </w:trPr>
        <w:tc>
          <w:tcPr>
            <w:tcW w:w="1420" w:type="dxa"/>
            <w:vAlign w:val="bottom"/>
          </w:tcPr>
          <w:p>
            <w:pPr>
              <w:spacing w:after="0"/>
              <w:rPr>
                <w:sz w:val="20"/>
                <w:szCs w:val="20"/>
                <w:color w:val="auto"/>
              </w:rPr>
            </w:pPr>
            <w:r>
              <w:rPr>
                <w:rFonts w:ascii="Arial" w:cs="Arial" w:eastAsia="Arial" w:hAnsi="Arial"/>
                <w:sz w:val="22"/>
                <w:szCs w:val="22"/>
                <w:color w:val="auto"/>
              </w:rPr>
              <w:t>Section 2.04 .</w:t>
            </w:r>
          </w:p>
        </w:tc>
        <w:tc>
          <w:tcPr>
            <w:tcW w:w="9380" w:type="dxa"/>
            <w:vAlign w:val="bottom"/>
            <w:gridSpan w:val="3"/>
          </w:tcPr>
          <w:p>
            <w:pPr>
              <w:ind w:left="400"/>
              <w:spacing w:after="0"/>
              <w:rPr>
                <w:sz w:val="20"/>
                <w:szCs w:val="20"/>
                <w:color w:val="auto"/>
              </w:rPr>
            </w:pPr>
            <w:r>
              <w:rPr>
                <w:rFonts w:ascii="Arial" w:cs="Arial" w:eastAsia="Arial" w:hAnsi="Arial"/>
                <w:sz w:val="22"/>
                <w:szCs w:val="22"/>
                <w:i w:val="1"/>
                <w:iCs w:val="1"/>
                <w:color w:val="auto"/>
              </w:rPr>
              <w:t>Execution, Authentication and Delivery of Notes</w:t>
            </w:r>
          </w:p>
        </w:tc>
        <w:tc>
          <w:tcPr>
            <w:tcW w:w="540" w:type="dxa"/>
            <w:vAlign w:val="bottom"/>
          </w:tcPr>
          <w:p>
            <w:pPr>
              <w:jc w:val="right"/>
              <w:spacing w:after="0"/>
              <w:rPr>
                <w:rFonts w:ascii="Arial" w:cs="Arial" w:eastAsia="Arial" w:hAnsi="Arial"/>
                <w:sz w:val="22"/>
                <w:szCs w:val="22"/>
                <w:color w:val="auto"/>
              </w:rPr>
            </w:pPr>
            <w:hyperlink w:anchor="page93">
              <w:r>
                <w:rPr>
                  <w:rFonts w:ascii="Arial" w:cs="Arial" w:eastAsia="Arial" w:hAnsi="Arial"/>
                  <w:sz w:val="22"/>
                  <w:szCs w:val="22"/>
                  <w:color w:val="auto"/>
                </w:rPr>
                <w:t>19</w:t>
              </w:r>
            </w:hyperlink>
          </w:p>
        </w:tc>
        <w:tc>
          <w:tcPr>
            <w:tcW w:w="0" w:type="dxa"/>
            <w:vAlign w:val="bottom"/>
          </w:tcPr>
          <w:p>
            <w:pPr>
              <w:spacing w:after="0"/>
              <w:rPr>
                <w:sz w:val="1"/>
                <w:szCs w:val="1"/>
                <w:color w:val="auto"/>
              </w:rPr>
            </w:pPr>
          </w:p>
        </w:tc>
      </w:tr>
      <w:tr>
        <w:trPr>
          <w:trHeight w:val="297"/>
        </w:trPr>
        <w:tc>
          <w:tcPr>
            <w:tcW w:w="1420" w:type="dxa"/>
            <w:vAlign w:val="bottom"/>
          </w:tcPr>
          <w:p>
            <w:pPr>
              <w:spacing w:after="0"/>
              <w:rPr>
                <w:sz w:val="20"/>
                <w:szCs w:val="20"/>
                <w:color w:val="auto"/>
              </w:rPr>
            </w:pPr>
            <w:r>
              <w:rPr>
                <w:rFonts w:ascii="Arial" w:cs="Arial" w:eastAsia="Arial" w:hAnsi="Arial"/>
                <w:sz w:val="22"/>
                <w:szCs w:val="22"/>
                <w:color w:val="auto"/>
              </w:rPr>
              <w:t>Section 2.05 .</w:t>
            </w:r>
          </w:p>
        </w:tc>
        <w:tc>
          <w:tcPr>
            <w:tcW w:w="9380" w:type="dxa"/>
            <w:vAlign w:val="bottom"/>
            <w:gridSpan w:val="3"/>
          </w:tcPr>
          <w:p>
            <w:pPr>
              <w:ind w:left="400"/>
              <w:spacing w:after="0"/>
              <w:rPr>
                <w:sz w:val="20"/>
                <w:szCs w:val="20"/>
                <w:color w:val="auto"/>
              </w:rPr>
            </w:pPr>
            <w:r>
              <w:rPr>
                <w:rFonts w:ascii="Arial" w:cs="Arial" w:eastAsia="Arial" w:hAnsi="Arial"/>
                <w:sz w:val="22"/>
                <w:szCs w:val="22"/>
                <w:i w:val="1"/>
                <w:iCs w:val="1"/>
                <w:color w:val="auto"/>
              </w:rPr>
              <w:t>Exchange and Registration of Transfer of Notes; Restrictions on Transfer; Depository</w:t>
            </w:r>
          </w:p>
        </w:tc>
        <w:tc>
          <w:tcPr>
            <w:tcW w:w="540" w:type="dxa"/>
            <w:vAlign w:val="bottom"/>
          </w:tcPr>
          <w:p>
            <w:pPr>
              <w:jc w:val="right"/>
              <w:spacing w:after="0"/>
              <w:rPr>
                <w:rFonts w:ascii="Arial" w:cs="Arial" w:eastAsia="Arial" w:hAnsi="Arial"/>
                <w:sz w:val="22"/>
                <w:szCs w:val="22"/>
                <w:color w:val="auto"/>
              </w:rPr>
            </w:pPr>
            <w:hyperlink w:anchor="page94">
              <w:r>
                <w:rPr>
                  <w:rFonts w:ascii="Arial" w:cs="Arial" w:eastAsia="Arial" w:hAnsi="Arial"/>
                  <w:sz w:val="22"/>
                  <w:szCs w:val="22"/>
                  <w:color w:val="auto"/>
                </w:rPr>
                <w:t>20</w:t>
              </w:r>
            </w:hyperlink>
          </w:p>
        </w:tc>
        <w:tc>
          <w:tcPr>
            <w:tcW w:w="0" w:type="dxa"/>
            <w:vAlign w:val="bottom"/>
          </w:tcPr>
          <w:p>
            <w:pPr>
              <w:spacing w:after="0"/>
              <w:rPr>
                <w:sz w:val="1"/>
                <w:szCs w:val="1"/>
                <w:color w:val="auto"/>
              </w:rPr>
            </w:pPr>
          </w:p>
        </w:tc>
      </w:tr>
      <w:tr>
        <w:trPr>
          <w:trHeight w:val="297"/>
        </w:trPr>
        <w:tc>
          <w:tcPr>
            <w:tcW w:w="1420" w:type="dxa"/>
            <w:vAlign w:val="bottom"/>
          </w:tcPr>
          <w:p>
            <w:pPr>
              <w:spacing w:after="0"/>
              <w:rPr>
                <w:sz w:val="20"/>
                <w:szCs w:val="20"/>
                <w:color w:val="auto"/>
              </w:rPr>
            </w:pPr>
            <w:r>
              <w:rPr>
                <w:rFonts w:ascii="Arial" w:cs="Arial" w:eastAsia="Arial" w:hAnsi="Arial"/>
                <w:sz w:val="22"/>
                <w:szCs w:val="22"/>
                <w:color w:val="auto"/>
              </w:rPr>
              <w:t>Section 2.06 .</w:t>
            </w:r>
          </w:p>
        </w:tc>
        <w:tc>
          <w:tcPr>
            <w:tcW w:w="9380" w:type="dxa"/>
            <w:vAlign w:val="bottom"/>
            <w:gridSpan w:val="3"/>
          </w:tcPr>
          <w:p>
            <w:pPr>
              <w:ind w:left="400"/>
              <w:spacing w:after="0"/>
              <w:rPr>
                <w:sz w:val="20"/>
                <w:szCs w:val="20"/>
                <w:color w:val="auto"/>
              </w:rPr>
            </w:pPr>
            <w:r>
              <w:rPr>
                <w:rFonts w:ascii="Arial" w:cs="Arial" w:eastAsia="Arial" w:hAnsi="Arial"/>
                <w:sz w:val="22"/>
                <w:szCs w:val="22"/>
                <w:i w:val="1"/>
                <w:iCs w:val="1"/>
                <w:color w:val="auto"/>
              </w:rPr>
              <w:t>Mutilated, Destroyed, Lost or Stolen Notes</w:t>
            </w:r>
          </w:p>
        </w:tc>
        <w:tc>
          <w:tcPr>
            <w:tcW w:w="540" w:type="dxa"/>
            <w:vAlign w:val="bottom"/>
          </w:tcPr>
          <w:p>
            <w:pPr>
              <w:jc w:val="right"/>
              <w:spacing w:after="0"/>
              <w:rPr>
                <w:rFonts w:ascii="Arial" w:cs="Arial" w:eastAsia="Arial" w:hAnsi="Arial"/>
                <w:sz w:val="22"/>
                <w:szCs w:val="22"/>
                <w:color w:val="auto"/>
              </w:rPr>
            </w:pPr>
            <w:hyperlink w:anchor="page100">
              <w:r>
                <w:rPr>
                  <w:rFonts w:ascii="Arial" w:cs="Arial" w:eastAsia="Arial" w:hAnsi="Arial"/>
                  <w:sz w:val="22"/>
                  <w:szCs w:val="22"/>
                  <w:color w:val="auto"/>
                </w:rPr>
                <w:t>26</w:t>
              </w:r>
            </w:hyperlink>
          </w:p>
        </w:tc>
        <w:tc>
          <w:tcPr>
            <w:tcW w:w="0" w:type="dxa"/>
            <w:vAlign w:val="bottom"/>
          </w:tcPr>
          <w:p>
            <w:pPr>
              <w:spacing w:after="0"/>
              <w:rPr>
                <w:sz w:val="1"/>
                <w:szCs w:val="1"/>
                <w:color w:val="auto"/>
              </w:rPr>
            </w:pPr>
          </w:p>
        </w:tc>
      </w:tr>
      <w:tr>
        <w:trPr>
          <w:trHeight w:val="297"/>
        </w:trPr>
        <w:tc>
          <w:tcPr>
            <w:tcW w:w="1420" w:type="dxa"/>
            <w:vAlign w:val="bottom"/>
          </w:tcPr>
          <w:p>
            <w:pPr>
              <w:spacing w:after="0"/>
              <w:rPr>
                <w:sz w:val="20"/>
                <w:szCs w:val="20"/>
                <w:color w:val="auto"/>
              </w:rPr>
            </w:pPr>
            <w:r>
              <w:rPr>
                <w:rFonts w:ascii="Arial" w:cs="Arial" w:eastAsia="Arial" w:hAnsi="Arial"/>
                <w:sz w:val="22"/>
                <w:szCs w:val="22"/>
                <w:color w:val="auto"/>
              </w:rPr>
              <w:t>Section 2.07 .</w:t>
            </w:r>
          </w:p>
        </w:tc>
        <w:tc>
          <w:tcPr>
            <w:tcW w:w="9380" w:type="dxa"/>
            <w:vAlign w:val="bottom"/>
            <w:gridSpan w:val="3"/>
          </w:tcPr>
          <w:p>
            <w:pPr>
              <w:ind w:left="400"/>
              <w:spacing w:after="0"/>
              <w:rPr>
                <w:sz w:val="20"/>
                <w:szCs w:val="20"/>
                <w:color w:val="auto"/>
              </w:rPr>
            </w:pPr>
            <w:r>
              <w:rPr>
                <w:rFonts w:ascii="Arial" w:cs="Arial" w:eastAsia="Arial" w:hAnsi="Arial"/>
                <w:sz w:val="22"/>
                <w:szCs w:val="22"/>
                <w:i w:val="1"/>
                <w:iCs w:val="1"/>
                <w:color w:val="auto"/>
              </w:rPr>
              <w:t>Temporary Notes</w:t>
            </w:r>
          </w:p>
        </w:tc>
        <w:tc>
          <w:tcPr>
            <w:tcW w:w="540" w:type="dxa"/>
            <w:vAlign w:val="bottom"/>
          </w:tcPr>
          <w:p>
            <w:pPr>
              <w:jc w:val="right"/>
              <w:spacing w:after="0"/>
              <w:rPr>
                <w:rFonts w:ascii="Arial" w:cs="Arial" w:eastAsia="Arial" w:hAnsi="Arial"/>
                <w:sz w:val="22"/>
                <w:szCs w:val="22"/>
                <w:color w:val="auto"/>
              </w:rPr>
            </w:pPr>
            <w:hyperlink w:anchor="page101">
              <w:r>
                <w:rPr>
                  <w:rFonts w:ascii="Arial" w:cs="Arial" w:eastAsia="Arial" w:hAnsi="Arial"/>
                  <w:sz w:val="22"/>
                  <w:szCs w:val="22"/>
                  <w:color w:val="auto"/>
                </w:rPr>
                <w:t>27</w:t>
              </w:r>
            </w:hyperlink>
          </w:p>
        </w:tc>
        <w:tc>
          <w:tcPr>
            <w:tcW w:w="0" w:type="dxa"/>
            <w:vAlign w:val="bottom"/>
          </w:tcPr>
          <w:p>
            <w:pPr>
              <w:spacing w:after="0"/>
              <w:rPr>
                <w:sz w:val="1"/>
                <w:szCs w:val="1"/>
                <w:color w:val="auto"/>
              </w:rPr>
            </w:pPr>
          </w:p>
        </w:tc>
      </w:tr>
      <w:tr>
        <w:trPr>
          <w:trHeight w:val="297"/>
        </w:trPr>
        <w:tc>
          <w:tcPr>
            <w:tcW w:w="1420" w:type="dxa"/>
            <w:vAlign w:val="bottom"/>
          </w:tcPr>
          <w:p>
            <w:pPr>
              <w:spacing w:after="0"/>
              <w:rPr>
                <w:sz w:val="20"/>
                <w:szCs w:val="20"/>
                <w:color w:val="auto"/>
              </w:rPr>
            </w:pPr>
            <w:r>
              <w:rPr>
                <w:rFonts w:ascii="Arial" w:cs="Arial" w:eastAsia="Arial" w:hAnsi="Arial"/>
                <w:sz w:val="22"/>
                <w:szCs w:val="22"/>
                <w:color w:val="auto"/>
              </w:rPr>
              <w:t>Section 2.08 .</w:t>
            </w:r>
          </w:p>
        </w:tc>
        <w:tc>
          <w:tcPr>
            <w:tcW w:w="9380" w:type="dxa"/>
            <w:vAlign w:val="bottom"/>
            <w:gridSpan w:val="3"/>
          </w:tcPr>
          <w:p>
            <w:pPr>
              <w:ind w:left="400"/>
              <w:spacing w:after="0"/>
              <w:rPr>
                <w:sz w:val="20"/>
                <w:szCs w:val="20"/>
                <w:color w:val="auto"/>
              </w:rPr>
            </w:pPr>
            <w:r>
              <w:rPr>
                <w:rFonts w:ascii="Arial" w:cs="Arial" w:eastAsia="Arial" w:hAnsi="Arial"/>
                <w:sz w:val="22"/>
                <w:szCs w:val="22"/>
                <w:i w:val="1"/>
                <w:iCs w:val="1"/>
                <w:color w:val="auto"/>
              </w:rPr>
              <w:t>Cancellation of Notes Paid, Converted, Etc.</w:t>
            </w:r>
          </w:p>
        </w:tc>
        <w:tc>
          <w:tcPr>
            <w:tcW w:w="540" w:type="dxa"/>
            <w:vAlign w:val="bottom"/>
          </w:tcPr>
          <w:p>
            <w:pPr>
              <w:jc w:val="right"/>
              <w:spacing w:after="0"/>
              <w:rPr>
                <w:rFonts w:ascii="Arial" w:cs="Arial" w:eastAsia="Arial" w:hAnsi="Arial"/>
                <w:sz w:val="22"/>
                <w:szCs w:val="22"/>
                <w:color w:val="auto"/>
              </w:rPr>
            </w:pPr>
            <w:hyperlink w:anchor="page102">
              <w:r>
                <w:rPr>
                  <w:rFonts w:ascii="Arial" w:cs="Arial" w:eastAsia="Arial" w:hAnsi="Arial"/>
                  <w:sz w:val="22"/>
                  <w:szCs w:val="22"/>
                  <w:color w:val="auto"/>
                </w:rPr>
                <w:t>28</w:t>
              </w:r>
            </w:hyperlink>
          </w:p>
        </w:tc>
        <w:tc>
          <w:tcPr>
            <w:tcW w:w="0" w:type="dxa"/>
            <w:vAlign w:val="bottom"/>
          </w:tcPr>
          <w:p>
            <w:pPr>
              <w:spacing w:after="0"/>
              <w:rPr>
                <w:sz w:val="1"/>
                <w:szCs w:val="1"/>
                <w:color w:val="auto"/>
              </w:rPr>
            </w:pPr>
          </w:p>
        </w:tc>
      </w:tr>
      <w:tr>
        <w:trPr>
          <w:trHeight w:val="297"/>
        </w:trPr>
        <w:tc>
          <w:tcPr>
            <w:tcW w:w="1420" w:type="dxa"/>
            <w:vAlign w:val="bottom"/>
          </w:tcPr>
          <w:p>
            <w:pPr>
              <w:spacing w:after="0"/>
              <w:rPr>
                <w:sz w:val="20"/>
                <w:szCs w:val="20"/>
                <w:color w:val="auto"/>
              </w:rPr>
            </w:pPr>
            <w:r>
              <w:rPr>
                <w:rFonts w:ascii="Arial" w:cs="Arial" w:eastAsia="Arial" w:hAnsi="Arial"/>
                <w:sz w:val="22"/>
                <w:szCs w:val="22"/>
                <w:color w:val="auto"/>
              </w:rPr>
              <w:t>Section 2.09 .</w:t>
            </w:r>
          </w:p>
        </w:tc>
        <w:tc>
          <w:tcPr>
            <w:tcW w:w="9380" w:type="dxa"/>
            <w:vAlign w:val="bottom"/>
            <w:gridSpan w:val="3"/>
          </w:tcPr>
          <w:p>
            <w:pPr>
              <w:ind w:left="400"/>
              <w:spacing w:after="0"/>
              <w:rPr>
                <w:sz w:val="20"/>
                <w:szCs w:val="20"/>
                <w:color w:val="auto"/>
              </w:rPr>
            </w:pPr>
            <w:r>
              <w:rPr>
                <w:rFonts w:ascii="Arial" w:cs="Arial" w:eastAsia="Arial" w:hAnsi="Arial"/>
                <w:sz w:val="22"/>
                <w:szCs w:val="22"/>
                <w:i w:val="1"/>
                <w:iCs w:val="1"/>
                <w:color w:val="auto"/>
              </w:rPr>
              <w:t>CUSIP Numbers</w:t>
            </w:r>
          </w:p>
        </w:tc>
        <w:tc>
          <w:tcPr>
            <w:tcW w:w="540" w:type="dxa"/>
            <w:vAlign w:val="bottom"/>
          </w:tcPr>
          <w:p>
            <w:pPr>
              <w:jc w:val="right"/>
              <w:spacing w:after="0"/>
              <w:rPr>
                <w:rFonts w:ascii="Arial" w:cs="Arial" w:eastAsia="Arial" w:hAnsi="Arial"/>
                <w:sz w:val="22"/>
                <w:szCs w:val="22"/>
                <w:color w:val="auto"/>
              </w:rPr>
            </w:pPr>
            <w:hyperlink w:anchor="page102">
              <w:r>
                <w:rPr>
                  <w:rFonts w:ascii="Arial" w:cs="Arial" w:eastAsia="Arial" w:hAnsi="Arial"/>
                  <w:sz w:val="22"/>
                  <w:szCs w:val="22"/>
                  <w:color w:val="auto"/>
                </w:rPr>
                <w:t>28</w:t>
              </w:r>
            </w:hyperlink>
          </w:p>
        </w:tc>
        <w:tc>
          <w:tcPr>
            <w:tcW w:w="0" w:type="dxa"/>
            <w:vAlign w:val="bottom"/>
          </w:tcPr>
          <w:p>
            <w:pPr>
              <w:spacing w:after="0"/>
              <w:rPr>
                <w:sz w:val="1"/>
                <w:szCs w:val="1"/>
                <w:color w:val="auto"/>
              </w:rPr>
            </w:pPr>
          </w:p>
        </w:tc>
      </w:tr>
      <w:tr>
        <w:trPr>
          <w:trHeight w:val="297"/>
        </w:trPr>
        <w:tc>
          <w:tcPr>
            <w:tcW w:w="1420" w:type="dxa"/>
            <w:vAlign w:val="bottom"/>
          </w:tcPr>
          <w:p>
            <w:pPr>
              <w:spacing w:after="0"/>
              <w:rPr>
                <w:sz w:val="20"/>
                <w:szCs w:val="20"/>
                <w:color w:val="auto"/>
              </w:rPr>
            </w:pPr>
            <w:r>
              <w:rPr>
                <w:rFonts w:ascii="Arial" w:cs="Arial" w:eastAsia="Arial" w:hAnsi="Arial"/>
                <w:sz w:val="22"/>
                <w:szCs w:val="22"/>
                <w:color w:val="auto"/>
              </w:rPr>
              <w:t>Section 2.10 .</w:t>
            </w:r>
          </w:p>
        </w:tc>
        <w:tc>
          <w:tcPr>
            <w:tcW w:w="9380" w:type="dxa"/>
            <w:vAlign w:val="bottom"/>
            <w:gridSpan w:val="3"/>
          </w:tcPr>
          <w:p>
            <w:pPr>
              <w:ind w:left="400"/>
              <w:spacing w:after="0"/>
              <w:rPr>
                <w:sz w:val="20"/>
                <w:szCs w:val="20"/>
                <w:color w:val="auto"/>
              </w:rPr>
            </w:pPr>
            <w:r>
              <w:rPr>
                <w:rFonts w:ascii="Arial" w:cs="Arial" w:eastAsia="Arial" w:hAnsi="Arial"/>
                <w:sz w:val="22"/>
                <w:szCs w:val="22"/>
                <w:i w:val="1"/>
                <w:iCs w:val="1"/>
                <w:color w:val="auto"/>
              </w:rPr>
              <w:t>Additional Notes; Purchases</w:t>
            </w:r>
          </w:p>
        </w:tc>
        <w:tc>
          <w:tcPr>
            <w:tcW w:w="540" w:type="dxa"/>
            <w:vAlign w:val="bottom"/>
          </w:tcPr>
          <w:p>
            <w:pPr>
              <w:jc w:val="right"/>
              <w:spacing w:after="0"/>
              <w:rPr>
                <w:rFonts w:ascii="Arial" w:cs="Arial" w:eastAsia="Arial" w:hAnsi="Arial"/>
                <w:sz w:val="22"/>
                <w:szCs w:val="22"/>
                <w:color w:val="auto"/>
              </w:rPr>
            </w:pPr>
            <w:hyperlink w:anchor="page102">
              <w:r>
                <w:rPr>
                  <w:rFonts w:ascii="Arial" w:cs="Arial" w:eastAsia="Arial" w:hAnsi="Arial"/>
                  <w:sz w:val="22"/>
                  <w:szCs w:val="22"/>
                  <w:color w:val="auto"/>
                </w:rPr>
                <w:t>28</w:t>
              </w:r>
            </w:hyperlink>
          </w:p>
        </w:tc>
        <w:tc>
          <w:tcPr>
            <w:tcW w:w="0" w:type="dxa"/>
            <w:vAlign w:val="bottom"/>
          </w:tcPr>
          <w:p>
            <w:pPr>
              <w:spacing w:after="0"/>
              <w:rPr>
                <w:sz w:val="1"/>
                <w:szCs w:val="1"/>
                <w:color w:val="auto"/>
              </w:rPr>
            </w:pPr>
          </w:p>
        </w:tc>
      </w:tr>
      <w:tr>
        <w:trPr>
          <w:trHeight w:val="297"/>
        </w:trPr>
        <w:tc>
          <w:tcPr>
            <w:tcW w:w="1420" w:type="dxa"/>
            <w:vAlign w:val="bottom"/>
          </w:tcPr>
          <w:p>
            <w:pPr>
              <w:spacing w:after="0"/>
              <w:rPr>
                <w:sz w:val="20"/>
                <w:szCs w:val="20"/>
                <w:color w:val="auto"/>
              </w:rPr>
            </w:pPr>
            <w:r>
              <w:rPr>
                <w:rFonts w:ascii="Arial" w:cs="Arial" w:eastAsia="Arial" w:hAnsi="Arial"/>
                <w:sz w:val="22"/>
                <w:szCs w:val="22"/>
                <w:color w:val="auto"/>
              </w:rPr>
              <w:t>Section 2.11 .</w:t>
            </w:r>
          </w:p>
        </w:tc>
        <w:tc>
          <w:tcPr>
            <w:tcW w:w="9380" w:type="dxa"/>
            <w:vAlign w:val="bottom"/>
            <w:gridSpan w:val="3"/>
          </w:tcPr>
          <w:p>
            <w:pPr>
              <w:ind w:left="400"/>
              <w:spacing w:after="0"/>
              <w:rPr>
                <w:sz w:val="20"/>
                <w:szCs w:val="20"/>
                <w:color w:val="auto"/>
              </w:rPr>
            </w:pPr>
            <w:r>
              <w:rPr>
                <w:rFonts w:ascii="Arial" w:cs="Arial" w:eastAsia="Arial" w:hAnsi="Arial"/>
                <w:sz w:val="22"/>
                <w:szCs w:val="22"/>
                <w:i w:val="1"/>
                <w:iCs w:val="1"/>
                <w:color w:val="auto"/>
              </w:rPr>
              <w:t>Ranking</w:t>
            </w:r>
          </w:p>
        </w:tc>
        <w:tc>
          <w:tcPr>
            <w:tcW w:w="540" w:type="dxa"/>
            <w:vAlign w:val="bottom"/>
          </w:tcPr>
          <w:p>
            <w:pPr>
              <w:jc w:val="right"/>
              <w:spacing w:after="0"/>
              <w:rPr>
                <w:rFonts w:ascii="Arial" w:cs="Arial" w:eastAsia="Arial" w:hAnsi="Arial"/>
                <w:sz w:val="22"/>
                <w:szCs w:val="22"/>
                <w:color w:val="auto"/>
              </w:rPr>
            </w:pPr>
            <w:hyperlink w:anchor="page103">
              <w:r>
                <w:rPr>
                  <w:rFonts w:ascii="Arial" w:cs="Arial" w:eastAsia="Arial" w:hAnsi="Arial"/>
                  <w:sz w:val="22"/>
                  <w:szCs w:val="22"/>
                  <w:color w:val="auto"/>
                </w:rPr>
                <w:t>29</w:t>
              </w:r>
            </w:hyperlink>
          </w:p>
        </w:tc>
        <w:tc>
          <w:tcPr>
            <w:tcW w:w="0" w:type="dxa"/>
            <w:vAlign w:val="bottom"/>
          </w:tcPr>
          <w:p>
            <w:pPr>
              <w:spacing w:after="0"/>
              <w:rPr>
                <w:sz w:val="1"/>
                <w:szCs w:val="1"/>
                <w:color w:val="auto"/>
              </w:rPr>
            </w:pPr>
          </w:p>
        </w:tc>
      </w:tr>
      <w:tr>
        <w:trPr>
          <w:trHeight w:val="482"/>
        </w:trPr>
        <w:tc>
          <w:tcPr>
            <w:tcW w:w="1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480" w:type="dxa"/>
            <w:vAlign w:val="bottom"/>
            <w:gridSpan w:val="2"/>
          </w:tcPr>
          <w:p>
            <w:pPr>
              <w:jc w:val="center"/>
              <w:ind w:right="2900"/>
              <w:spacing w:after="0"/>
              <w:rPr>
                <w:rFonts w:ascii="Arial" w:cs="Arial" w:eastAsia="Arial" w:hAnsi="Arial"/>
                <w:sz w:val="22"/>
                <w:szCs w:val="22"/>
                <w:color w:val="auto"/>
                <w:w w:val="95"/>
              </w:rPr>
            </w:pPr>
            <w:hyperlink w:anchor="page103">
              <w:r>
                <w:rPr>
                  <w:rFonts w:ascii="Arial" w:cs="Arial" w:eastAsia="Arial" w:hAnsi="Arial"/>
                  <w:sz w:val="22"/>
                  <w:szCs w:val="22"/>
                  <w:color w:val="auto"/>
                  <w:w w:val="95"/>
                </w:rPr>
                <w:t>ARTICLE 3</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4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480" w:type="dxa"/>
            <w:vAlign w:val="bottom"/>
            <w:gridSpan w:val="2"/>
          </w:tcPr>
          <w:p>
            <w:pPr>
              <w:jc w:val="center"/>
              <w:ind w:right="2860"/>
              <w:spacing w:after="0"/>
              <w:rPr>
                <w:sz w:val="20"/>
                <w:szCs w:val="20"/>
                <w:color w:val="auto"/>
              </w:rPr>
            </w:pPr>
            <w:r>
              <w:rPr>
                <w:rFonts w:ascii="Arial" w:cs="Arial" w:eastAsia="Arial" w:hAnsi="Arial"/>
                <w:sz w:val="22"/>
                <w:szCs w:val="22"/>
                <w:color w:val="auto"/>
                <w:w w:val="94"/>
              </w:rPr>
              <w:t>SATISFACTION AND DISCHARGE</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1420" w:type="dxa"/>
            <w:vAlign w:val="bottom"/>
          </w:tcPr>
          <w:p>
            <w:pPr>
              <w:spacing w:after="0"/>
              <w:rPr>
                <w:sz w:val="20"/>
                <w:szCs w:val="20"/>
                <w:color w:val="auto"/>
              </w:rPr>
            </w:pPr>
            <w:r>
              <w:rPr>
                <w:rFonts w:ascii="Arial" w:cs="Arial" w:eastAsia="Arial" w:hAnsi="Arial"/>
                <w:sz w:val="22"/>
                <w:szCs w:val="22"/>
                <w:color w:val="auto"/>
              </w:rPr>
              <w:t>Section 3.01 .</w:t>
            </w:r>
          </w:p>
        </w:tc>
        <w:tc>
          <w:tcPr>
            <w:tcW w:w="9380" w:type="dxa"/>
            <w:vAlign w:val="bottom"/>
            <w:gridSpan w:val="3"/>
          </w:tcPr>
          <w:p>
            <w:pPr>
              <w:ind w:left="400"/>
              <w:spacing w:after="0"/>
              <w:rPr>
                <w:sz w:val="20"/>
                <w:szCs w:val="20"/>
                <w:color w:val="auto"/>
              </w:rPr>
            </w:pPr>
            <w:r>
              <w:rPr>
                <w:rFonts w:ascii="Arial" w:cs="Arial" w:eastAsia="Arial" w:hAnsi="Arial"/>
                <w:sz w:val="22"/>
                <w:szCs w:val="22"/>
                <w:i w:val="1"/>
                <w:iCs w:val="1"/>
                <w:color w:val="auto"/>
              </w:rPr>
              <w:t>Satisfaction and Discharge</w:t>
            </w:r>
          </w:p>
        </w:tc>
        <w:tc>
          <w:tcPr>
            <w:tcW w:w="540" w:type="dxa"/>
            <w:vAlign w:val="bottom"/>
          </w:tcPr>
          <w:p>
            <w:pPr>
              <w:jc w:val="right"/>
              <w:spacing w:after="0"/>
              <w:rPr>
                <w:rFonts w:ascii="Arial" w:cs="Arial" w:eastAsia="Arial" w:hAnsi="Arial"/>
                <w:sz w:val="22"/>
                <w:szCs w:val="22"/>
                <w:color w:val="auto"/>
              </w:rPr>
            </w:pPr>
            <w:hyperlink w:anchor="page103">
              <w:r>
                <w:rPr>
                  <w:rFonts w:ascii="Arial" w:cs="Arial" w:eastAsia="Arial" w:hAnsi="Arial"/>
                  <w:sz w:val="22"/>
                  <w:szCs w:val="22"/>
                  <w:color w:val="auto"/>
                </w:rPr>
                <w:t>29</w:t>
              </w:r>
            </w:hyperlink>
          </w:p>
        </w:tc>
        <w:tc>
          <w:tcPr>
            <w:tcW w:w="0" w:type="dxa"/>
            <w:vAlign w:val="bottom"/>
          </w:tcPr>
          <w:p>
            <w:pPr>
              <w:spacing w:after="0"/>
              <w:rPr>
                <w:sz w:val="1"/>
                <w:szCs w:val="1"/>
                <w:color w:val="auto"/>
              </w:rPr>
            </w:pPr>
          </w:p>
        </w:tc>
      </w:tr>
      <w:tr>
        <w:trPr>
          <w:trHeight w:val="482"/>
        </w:trPr>
        <w:tc>
          <w:tcPr>
            <w:tcW w:w="1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480" w:type="dxa"/>
            <w:vAlign w:val="bottom"/>
            <w:gridSpan w:val="2"/>
          </w:tcPr>
          <w:p>
            <w:pPr>
              <w:jc w:val="center"/>
              <w:ind w:right="2900"/>
              <w:spacing w:after="0"/>
              <w:rPr>
                <w:rFonts w:ascii="Arial" w:cs="Arial" w:eastAsia="Arial" w:hAnsi="Arial"/>
                <w:sz w:val="22"/>
                <w:szCs w:val="22"/>
                <w:color w:val="auto"/>
                <w:w w:val="95"/>
              </w:rPr>
            </w:pPr>
            <w:hyperlink w:anchor="page104">
              <w:r>
                <w:rPr>
                  <w:rFonts w:ascii="Arial" w:cs="Arial" w:eastAsia="Arial" w:hAnsi="Arial"/>
                  <w:sz w:val="22"/>
                  <w:szCs w:val="22"/>
                  <w:color w:val="auto"/>
                  <w:w w:val="95"/>
                </w:rPr>
                <w:t>ARTICLE 4</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4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480" w:type="dxa"/>
            <w:vAlign w:val="bottom"/>
            <w:gridSpan w:val="2"/>
          </w:tcPr>
          <w:p>
            <w:pPr>
              <w:jc w:val="center"/>
              <w:ind w:right="2840"/>
              <w:spacing w:after="0"/>
              <w:rPr>
                <w:sz w:val="20"/>
                <w:szCs w:val="20"/>
                <w:color w:val="auto"/>
              </w:rPr>
            </w:pPr>
            <w:r>
              <w:rPr>
                <w:rFonts w:ascii="Arial" w:cs="Arial" w:eastAsia="Arial" w:hAnsi="Arial"/>
                <w:sz w:val="22"/>
                <w:szCs w:val="22"/>
                <w:color w:val="auto"/>
                <w:w w:val="94"/>
              </w:rPr>
              <w:t>PARTICULAR COVENANTS OF THE COMPANY</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1420" w:type="dxa"/>
            <w:vAlign w:val="bottom"/>
          </w:tcPr>
          <w:p>
            <w:pPr>
              <w:spacing w:after="0"/>
              <w:rPr>
                <w:sz w:val="20"/>
                <w:szCs w:val="20"/>
                <w:color w:val="auto"/>
              </w:rPr>
            </w:pPr>
            <w:r>
              <w:rPr>
                <w:rFonts w:ascii="Arial" w:cs="Arial" w:eastAsia="Arial" w:hAnsi="Arial"/>
                <w:sz w:val="22"/>
                <w:szCs w:val="22"/>
                <w:color w:val="auto"/>
              </w:rPr>
              <w:t>Section 4.01 .</w:t>
            </w:r>
          </w:p>
        </w:tc>
        <w:tc>
          <w:tcPr>
            <w:tcW w:w="9380" w:type="dxa"/>
            <w:vAlign w:val="bottom"/>
            <w:gridSpan w:val="3"/>
          </w:tcPr>
          <w:p>
            <w:pPr>
              <w:ind w:left="400"/>
              <w:spacing w:after="0"/>
              <w:rPr>
                <w:sz w:val="20"/>
                <w:szCs w:val="20"/>
                <w:color w:val="auto"/>
              </w:rPr>
            </w:pPr>
            <w:r>
              <w:rPr>
                <w:rFonts w:ascii="Arial" w:cs="Arial" w:eastAsia="Arial" w:hAnsi="Arial"/>
                <w:sz w:val="22"/>
                <w:szCs w:val="22"/>
                <w:i w:val="1"/>
                <w:iCs w:val="1"/>
                <w:color w:val="auto"/>
              </w:rPr>
              <w:t>Payment of Principal, Settlement Amounts and Interest</w:t>
            </w:r>
          </w:p>
        </w:tc>
        <w:tc>
          <w:tcPr>
            <w:tcW w:w="540" w:type="dxa"/>
            <w:vAlign w:val="bottom"/>
          </w:tcPr>
          <w:p>
            <w:pPr>
              <w:jc w:val="right"/>
              <w:spacing w:after="0"/>
              <w:rPr>
                <w:rFonts w:ascii="Arial" w:cs="Arial" w:eastAsia="Arial" w:hAnsi="Arial"/>
                <w:sz w:val="22"/>
                <w:szCs w:val="22"/>
                <w:color w:val="auto"/>
              </w:rPr>
            </w:pPr>
            <w:hyperlink w:anchor="page104">
              <w:r>
                <w:rPr>
                  <w:rFonts w:ascii="Arial" w:cs="Arial" w:eastAsia="Arial" w:hAnsi="Arial"/>
                  <w:sz w:val="22"/>
                  <w:szCs w:val="22"/>
                  <w:color w:val="auto"/>
                </w:rPr>
                <w:t>30</w:t>
              </w:r>
            </w:hyperlink>
          </w:p>
        </w:tc>
        <w:tc>
          <w:tcPr>
            <w:tcW w:w="0" w:type="dxa"/>
            <w:vAlign w:val="bottom"/>
          </w:tcPr>
          <w:p>
            <w:pPr>
              <w:spacing w:after="0"/>
              <w:rPr>
                <w:sz w:val="1"/>
                <w:szCs w:val="1"/>
                <w:color w:val="auto"/>
              </w:rPr>
            </w:pPr>
          </w:p>
        </w:tc>
      </w:tr>
      <w:tr>
        <w:trPr>
          <w:trHeight w:val="297"/>
        </w:trPr>
        <w:tc>
          <w:tcPr>
            <w:tcW w:w="1420" w:type="dxa"/>
            <w:vAlign w:val="bottom"/>
          </w:tcPr>
          <w:p>
            <w:pPr>
              <w:spacing w:after="0"/>
              <w:rPr>
                <w:sz w:val="20"/>
                <w:szCs w:val="20"/>
                <w:color w:val="auto"/>
              </w:rPr>
            </w:pPr>
            <w:r>
              <w:rPr>
                <w:rFonts w:ascii="Arial" w:cs="Arial" w:eastAsia="Arial" w:hAnsi="Arial"/>
                <w:sz w:val="22"/>
                <w:szCs w:val="22"/>
                <w:color w:val="auto"/>
              </w:rPr>
              <w:t>Section 4.02 .</w:t>
            </w:r>
          </w:p>
        </w:tc>
        <w:tc>
          <w:tcPr>
            <w:tcW w:w="9380" w:type="dxa"/>
            <w:vAlign w:val="bottom"/>
            <w:gridSpan w:val="3"/>
          </w:tcPr>
          <w:p>
            <w:pPr>
              <w:ind w:left="400"/>
              <w:spacing w:after="0"/>
              <w:rPr>
                <w:sz w:val="20"/>
                <w:szCs w:val="20"/>
                <w:color w:val="auto"/>
              </w:rPr>
            </w:pPr>
            <w:r>
              <w:rPr>
                <w:rFonts w:ascii="Arial" w:cs="Arial" w:eastAsia="Arial" w:hAnsi="Arial"/>
                <w:sz w:val="22"/>
                <w:szCs w:val="22"/>
                <w:i w:val="1"/>
                <w:iCs w:val="1"/>
                <w:color w:val="auto"/>
              </w:rPr>
              <w:t>Maintenance of Office or Agency</w:t>
            </w:r>
          </w:p>
        </w:tc>
        <w:tc>
          <w:tcPr>
            <w:tcW w:w="540" w:type="dxa"/>
            <w:vAlign w:val="bottom"/>
          </w:tcPr>
          <w:p>
            <w:pPr>
              <w:jc w:val="right"/>
              <w:spacing w:after="0"/>
              <w:rPr>
                <w:rFonts w:ascii="Arial" w:cs="Arial" w:eastAsia="Arial" w:hAnsi="Arial"/>
                <w:sz w:val="22"/>
                <w:szCs w:val="22"/>
                <w:color w:val="auto"/>
              </w:rPr>
            </w:pPr>
            <w:hyperlink w:anchor="page104">
              <w:r>
                <w:rPr>
                  <w:rFonts w:ascii="Arial" w:cs="Arial" w:eastAsia="Arial" w:hAnsi="Arial"/>
                  <w:sz w:val="22"/>
                  <w:szCs w:val="22"/>
                  <w:color w:val="auto"/>
                </w:rPr>
                <w:t>30</w:t>
              </w:r>
            </w:hyperlink>
          </w:p>
        </w:tc>
        <w:tc>
          <w:tcPr>
            <w:tcW w:w="0" w:type="dxa"/>
            <w:vAlign w:val="bottom"/>
          </w:tcPr>
          <w:p>
            <w:pPr>
              <w:spacing w:after="0"/>
              <w:rPr>
                <w:sz w:val="1"/>
                <w:szCs w:val="1"/>
                <w:color w:val="auto"/>
              </w:rPr>
            </w:pPr>
          </w:p>
        </w:tc>
      </w:tr>
      <w:tr>
        <w:trPr>
          <w:trHeight w:val="297"/>
        </w:trPr>
        <w:tc>
          <w:tcPr>
            <w:tcW w:w="1420" w:type="dxa"/>
            <w:vAlign w:val="bottom"/>
          </w:tcPr>
          <w:p>
            <w:pPr>
              <w:spacing w:after="0"/>
              <w:rPr>
                <w:sz w:val="20"/>
                <w:szCs w:val="20"/>
                <w:color w:val="auto"/>
              </w:rPr>
            </w:pPr>
            <w:r>
              <w:rPr>
                <w:rFonts w:ascii="Arial" w:cs="Arial" w:eastAsia="Arial" w:hAnsi="Arial"/>
                <w:sz w:val="22"/>
                <w:szCs w:val="22"/>
                <w:color w:val="auto"/>
              </w:rPr>
              <w:t>Section 4.03 .</w:t>
            </w:r>
          </w:p>
        </w:tc>
        <w:tc>
          <w:tcPr>
            <w:tcW w:w="9380" w:type="dxa"/>
            <w:vAlign w:val="bottom"/>
            <w:gridSpan w:val="3"/>
          </w:tcPr>
          <w:p>
            <w:pPr>
              <w:ind w:left="400"/>
              <w:spacing w:after="0"/>
              <w:rPr>
                <w:sz w:val="20"/>
                <w:szCs w:val="20"/>
                <w:color w:val="auto"/>
              </w:rPr>
            </w:pPr>
            <w:r>
              <w:rPr>
                <w:rFonts w:ascii="Arial" w:cs="Arial" w:eastAsia="Arial" w:hAnsi="Arial"/>
                <w:sz w:val="22"/>
                <w:szCs w:val="22"/>
                <w:i w:val="1"/>
                <w:iCs w:val="1"/>
                <w:color w:val="auto"/>
              </w:rPr>
              <w:t>Appointments to Fill Vacancies in Trustee's Office</w:t>
            </w:r>
          </w:p>
        </w:tc>
        <w:tc>
          <w:tcPr>
            <w:tcW w:w="540" w:type="dxa"/>
            <w:vAlign w:val="bottom"/>
          </w:tcPr>
          <w:p>
            <w:pPr>
              <w:jc w:val="right"/>
              <w:spacing w:after="0"/>
              <w:rPr>
                <w:rFonts w:ascii="Arial" w:cs="Arial" w:eastAsia="Arial" w:hAnsi="Arial"/>
                <w:sz w:val="22"/>
                <w:szCs w:val="22"/>
                <w:color w:val="auto"/>
              </w:rPr>
            </w:pPr>
            <w:hyperlink w:anchor="page105">
              <w:r>
                <w:rPr>
                  <w:rFonts w:ascii="Arial" w:cs="Arial" w:eastAsia="Arial" w:hAnsi="Arial"/>
                  <w:sz w:val="22"/>
                  <w:szCs w:val="22"/>
                  <w:color w:val="auto"/>
                </w:rPr>
                <w:t>31</w:t>
              </w:r>
            </w:hyperlink>
          </w:p>
        </w:tc>
        <w:tc>
          <w:tcPr>
            <w:tcW w:w="0" w:type="dxa"/>
            <w:vAlign w:val="bottom"/>
          </w:tcPr>
          <w:p>
            <w:pPr>
              <w:spacing w:after="0"/>
              <w:rPr>
                <w:sz w:val="1"/>
                <w:szCs w:val="1"/>
                <w:color w:val="auto"/>
              </w:rPr>
            </w:pPr>
          </w:p>
        </w:tc>
      </w:tr>
      <w:tr>
        <w:trPr>
          <w:trHeight w:val="297"/>
        </w:trPr>
        <w:tc>
          <w:tcPr>
            <w:tcW w:w="1420" w:type="dxa"/>
            <w:vAlign w:val="bottom"/>
          </w:tcPr>
          <w:p>
            <w:pPr>
              <w:spacing w:after="0"/>
              <w:rPr>
                <w:sz w:val="20"/>
                <w:szCs w:val="20"/>
                <w:color w:val="auto"/>
              </w:rPr>
            </w:pPr>
            <w:r>
              <w:rPr>
                <w:rFonts w:ascii="Arial" w:cs="Arial" w:eastAsia="Arial" w:hAnsi="Arial"/>
                <w:sz w:val="22"/>
                <w:szCs w:val="22"/>
                <w:color w:val="auto"/>
              </w:rPr>
              <w:t>Section 4.04 .</w:t>
            </w:r>
          </w:p>
        </w:tc>
        <w:tc>
          <w:tcPr>
            <w:tcW w:w="9380" w:type="dxa"/>
            <w:vAlign w:val="bottom"/>
            <w:gridSpan w:val="3"/>
          </w:tcPr>
          <w:p>
            <w:pPr>
              <w:ind w:left="400"/>
              <w:spacing w:after="0"/>
              <w:rPr>
                <w:sz w:val="20"/>
                <w:szCs w:val="20"/>
                <w:color w:val="auto"/>
              </w:rPr>
            </w:pPr>
            <w:r>
              <w:rPr>
                <w:rFonts w:ascii="Arial" w:cs="Arial" w:eastAsia="Arial" w:hAnsi="Arial"/>
                <w:sz w:val="22"/>
                <w:szCs w:val="22"/>
                <w:i w:val="1"/>
                <w:iCs w:val="1"/>
                <w:color w:val="auto"/>
              </w:rPr>
              <w:t>Provisions as to Paying Agent</w:t>
            </w:r>
          </w:p>
        </w:tc>
        <w:tc>
          <w:tcPr>
            <w:tcW w:w="540" w:type="dxa"/>
            <w:vAlign w:val="bottom"/>
          </w:tcPr>
          <w:p>
            <w:pPr>
              <w:jc w:val="right"/>
              <w:spacing w:after="0"/>
              <w:rPr>
                <w:rFonts w:ascii="Arial" w:cs="Arial" w:eastAsia="Arial" w:hAnsi="Arial"/>
                <w:sz w:val="22"/>
                <w:szCs w:val="22"/>
                <w:color w:val="auto"/>
              </w:rPr>
            </w:pPr>
            <w:hyperlink w:anchor="page105">
              <w:r>
                <w:rPr>
                  <w:rFonts w:ascii="Arial" w:cs="Arial" w:eastAsia="Arial" w:hAnsi="Arial"/>
                  <w:sz w:val="22"/>
                  <w:szCs w:val="22"/>
                  <w:color w:val="auto"/>
                </w:rPr>
                <w:t>31</w:t>
              </w:r>
            </w:hyperlink>
          </w:p>
        </w:tc>
        <w:tc>
          <w:tcPr>
            <w:tcW w:w="0" w:type="dxa"/>
            <w:vAlign w:val="bottom"/>
          </w:tcPr>
          <w:p>
            <w:pPr>
              <w:spacing w:after="0"/>
              <w:rPr>
                <w:sz w:val="1"/>
                <w:szCs w:val="1"/>
                <w:color w:val="auto"/>
              </w:rPr>
            </w:pPr>
          </w:p>
        </w:tc>
      </w:tr>
      <w:tr>
        <w:trPr>
          <w:trHeight w:val="297"/>
        </w:trPr>
        <w:tc>
          <w:tcPr>
            <w:tcW w:w="1420" w:type="dxa"/>
            <w:vAlign w:val="bottom"/>
          </w:tcPr>
          <w:p>
            <w:pPr>
              <w:spacing w:after="0"/>
              <w:rPr>
                <w:sz w:val="20"/>
                <w:szCs w:val="20"/>
                <w:color w:val="auto"/>
              </w:rPr>
            </w:pPr>
            <w:r>
              <w:rPr>
                <w:rFonts w:ascii="Arial" w:cs="Arial" w:eastAsia="Arial" w:hAnsi="Arial"/>
                <w:sz w:val="22"/>
                <w:szCs w:val="22"/>
                <w:color w:val="auto"/>
              </w:rPr>
              <w:t>Section 4.05 .</w:t>
            </w:r>
          </w:p>
        </w:tc>
        <w:tc>
          <w:tcPr>
            <w:tcW w:w="9380" w:type="dxa"/>
            <w:vAlign w:val="bottom"/>
            <w:gridSpan w:val="3"/>
          </w:tcPr>
          <w:p>
            <w:pPr>
              <w:ind w:left="400"/>
              <w:spacing w:after="0"/>
              <w:rPr>
                <w:sz w:val="20"/>
                <w:szCs w:val="20"/>
                <w:color w:val="auto"/>
              </w:rPr>
            </w:pPr>
            <w:r>
              <w:rPr>
                <w:rFonts w:ascii="Arial" w:cs="Arial" w:eastAsia="Arial" w:hAnsi="Arial"/>
                <w:sz w:val="22"/>
                <w:szCs w:val="22"/>
                <w:color w:val="auto"/>
              </w:rPr>
              <w:t>[Reserved]</w:t>
            </w:r>
          </w:p>
        </w:tc>
        <w:tc>
          <w:tcPr>
            <w:tcW w:w="540" w:type="dxa"/>
            <w:vAlign w:val="bottom"/>
          </w:tcPr>
          <w:p>
            <w:pPr>
              <w:jc w:val="right"/>
              <w:spacing w:after="0"/>
              <w:rPr>
                <w:rFonts w:ascii="Arial" w:cs="Arial" w:eastAsia="Arial" w:hAnsi="Arial"/>
                <w:sz w:val="22"/>
                <w:szCs w:val="22"/>
                <w:color w:val="auto"/>
              </w:rPr>
            </w:pPr>
            <w:hyperlink w:anchor="page106">
              <w:r>
                <w:rPr>
                  <w:rFonts w:ascii="Arial" w:cs="Arial" w:eastAsia="Arial" w:hAnsi="Arial"/>
                  <w:sz w:val="22"/>
                  <w:szCs w:val="22"/>
                  <w:color w:val="auto"/>
                </w:rPr>
                <w:t>32</w:t>
              </w:r>
            </w:hyperlink>
          </w:p>
        </w:tc>
        <w:tc>
          <w:tcPr>
            <w:tcW w:w="0" w:type="dxa"/>
            <w:vAlign w:val="bottom"/>
          </w:tcPr>
          <w:p>
            <w:pPr>
              <w:spacing w:after="0"/>
              <w:rPr>
                <w:sz w:val="1"/>
                <w:szCs w:val="1"/>
                <w:color w:val="auto"/>
              </w:rPr>
            </w:pPr>
          </w:p>
        </w:tc>
      </w:tr>
      <w:tr>
        <w:trPr>
          <w:trHeight w:val="297"/>
        </w:trPr>
        <w:tc>
          <w:tcPr>
            <w:tcW w:w="1420" w:type="dxa"/>
            <w:vAlign w:val="bottom"/>
          </w:tcPr>
          <w:p>
            <w:pPr>
              <w:spacing w:after="0"/>
              <w:rPr>
                <w:sz w:val="20"/>
                <w:szCs w:val="20"/>
                <w:color w:val="auto"/>
              </w:rPr>
            </w:pPr>
            <w:r>
              <w:rPr>
                <w:rFonts w:ascii="Arial" w:cs="Arial" w:eastAsia="Arial" w:hAnsi="Arial"/>
                <w:sz w:val="22"/>
                <w:szCs w:val="22"/>
                <w:color w:val="auto"/>
              </w:rPr>
              <w:t>Section 4.06 .</w:t>
            </w:r>
          </w:p>
        </w:tc>
        <w:tc>
          <w:tcPr>
            <w:tcW w:w="9380" w:type="dxa"/>
            <w:vAlign w:val="bottom"/>
            <w:gridSpan w:val="3"/>
          </w:tcPr>
          <w:p>
            <w:pPr>
              <w:ind w:left="400"/>
              <w:spacing w:after="0"/>
              <w:rPr>
                <w:sz w:val="20"/>
                <w:szCs w:val="20"/>
                <w:color w:val="auto"/>
              </w:rPr>
            </w:pPr>
            <w:r>
              <w:rPr>
                <w:rFonts w:ascii="Arial" w:cs="Arial" w:eastAsia="Arial" w:hAnsi="Arial"/>
                <w:sz w:val="22"/>
                <w:szCs w:val="22"/>
                <w:i w:val="1"/>
                <w:iCs w:val="1"/>
                <w:color w:val="auto"/>
              </w:rPr>
              <w:t>Rule 144A Information Requirement; Reporting; and Additional Interest</w:t>
            </w:r>
          </w:p>
        </w:tc>
        <w:tc>
          <w:tcPr>
            <w:tcW w:w="540" w:type="dxa"/>
            <w:vAlign w:val="bottom"/>
          </w:tcPr>
          <w:p>
            <w:pPr>
              <w:jc w:val="right"/>
              <w:spacing w:after="0"/>
              <w:rPr>
                <w:rFonts w:ascii="Arial" w:cs="Arial" w:eastAsia="Arial" w:hAnsi="Arial"/>
                <w:sz w:val="22"/>
                <w:szCs w:val="22"/>
                <w:color w:val="auto"/>
              </w:rPr>
            </w:pPr>
            <w:hyperlink w:anchor="page106">
              <w:r>
                <w:rPr>
                  <w:rFonts w:ascii="Arial" w:cs="Arial" w:eastAsia="Arial" w:hAnsi="Arial"/>
                  <w:sz w:val="22"/>
                  <w:szCs w:val="22"/>
                  <w:color w:val="auto"/>
                </w:rPr>
                <w:t>32</w:t>
              </w:r>
            </w:hyperlink>
          </w:p>
        </w:tc>
        <w:tc>
          <w:tcPr>
            <w:tcW w:w="0" w:type="dxa"/>
            <w:vAlign w:val="bottom"/>
          </w:tcPr>
          <w:p>
            <w:pPr>
              <w:spacing w:after="0"/>
              <w:rPr>
                <w:sz w:val="1"/>
                <w:szCs w:val="1"/>
                <w:color w:val="auto"/>
              </w:rPr>
            </w:pPr>
          </w:p>
        </w:tc>
      </w:tr>
      <w:tr>
        <w:trPr>
          <w:trHeight w:val="297"/>
        </w:trPr>
        <w:tc>
          <w:tcPr>
            <w:tcW w:w="1420" w:type="dxa"/>
            <w:vAlign w:val="bottom"/>
          </w:tcPr>
          <w:p>
            <w:pPr>
              <w:spacing w:after="0"/>
              <w:rPr>
                <w:sz w:val="20"/>
                <w:szCs w:val="20"/>
                <w:color w:val="auto"/>
              </w:rPr>
            </w:pPr>
            <w:r>
              <w:rPr>
                <w:rFonts w:ascii="Arial" w:cs="Arial" w:eastAsia="Arial" w:hAnsi="Arial"/>
                <w:sz w:val="22"/>
                <w:szCs w:val="22"/>
                <w:color w:val="auto"/>
              </w:rPr>
              <w:t>Section 4.07 .</w:t>
            </w:r>
          </w:p>
        </w:tc>
        <w:tc>
          <w:tcPr>
            <w:tcW w:w="9380" w:type="dxa"/>
            <w:vAlign w:val="bottom"/>
            <w:gridSpan w:val="3"/>
          </w:tcPr>
          <w:p>
            <w:pPr>
              <w:ind w:left="400"/>
              <w:spacing w:after="0"/>
              <w:rPr>
                <w:sz w:val="20"/>
                <w:szCs w:val="20"/>
                <w:color w:val="auto"/>
              </w:rPr>
            </w:pPr>
            <w:r>
              <w:rPr>
                <w:rFonts w:ascii="Arial" w:cs="Arial" w:eastAsia="Arial" w:hAnsi="Arial"/>
                <w:sz w:val="22"/>
                <w:szCs w:val="22"/>
                <w:i w:val="1"/>
                <w:iCs w:val="1"/>
                <w:color w:val="auto"/>
              </w:rPr>
              <w:t>Stay, Extension and Usury Laws</w:t>
            </w:r>
          </w:p>
        </w:tc>
        <w:tc>
          <w:tcPr>
            <w:tcW w:w="540" w:type="dxa"/>
            <w:vAlign w:val="bottom"/>
          </w:tcPr>
          <w:p>
            <w:pPr>
              <w:jc w:val="right"/>
              <w:spacing w:after="0"/>
              <w:rPr>
                <w:rFonts w:ascii="Arial" w:cs="Arial" w:eastAsia="Arial" w:hAnsi="Arial"/>
                <w:sz w:val="22"/>
                <w:szCs w:val="22"/>
                <w:color w:val="auto"/>
              </w:rPr>
            </w:pPr>
            <w:hyperlink w:anchor="page108">
              <w:r>
                <w:rPr>
                  <w:rFonts w:ascii="Arial" w:cs="Arial" w:eastAsia="Arial" w:hAnsi="Arial"/>
                  <w:sz w:val="22"/>
                  <w:szCs w:val="22"/>
                  <w:color w:val="auto"/>
                </w:rPr>
                <w:t>34</w:t>
              </w:r>
            </w:hyperlink>
          </w:p>
        </w:tc>
        <w:tc>
          <w:tcPr>
            <w:tcW w:w="0" w:type="dxa"/>
            <w:vAlign w:val="bottom"/>
          </w:tcPr>
          <w:p>
            <w:pPr>
              <w:spacing w:after="0"/>
              <w:rPr>
                <w:sz w:val="1"/>
                <w:szCs w:val="1"/>
                <w:color w:val="auto"/>
              </w:rPr>
            </w:pPr>
          </w:p>
        </w:tc>
      </w:tr>
      <w:tr>
        <w:trPr>
          <w:trHeight w:val="297"/>
        </w:trPr>
        <w:tc>
          <w:tcPr>
            <w:tcW w:w="1420" w:type="dxa"/>
            <w:vAlign w:val="bottom"/>
          </w:tcPr>
          <w:p>
            <w:pPr>
              <w:spacing w:after="0"/>
              <w:rPr>
                <w:sz w:val="20"/>
                <w:szCs w:val="20"/>
                <w:color w:val="auto"/>
              </w:rPr>
            </w:pPr>
            <w:r>
              <w:rPr>
                <w:rFonts w:ascii="Arial" w:cs="Arial" w:eastAsia="Arial" w:hAnsi="Arial"/>
                <w:sz w:val="22"/>
                <w:szCs w:val="22"/>
                <w:color w:val="auto"/>
              </w:rPr>
              <w:t>Section 4.08 .</w:t>
            </w:r>
          </w:p>
        </w:tc>
        <w:tc>
          <w:tcPr>
            <w:tcW w:w="9380" w:type="dxa"/>
            <w:vAlign w:val="bottom"/>
            <w:gridSpan w:val="3"/>
          </w:tcPr>
          <w:p>
            <w:pPr>
              <w:ind w:left="400"/>
              <w:spacing w:after="0"/>
              <w:rPr>
                <w:sz w:val="20"/>
                <w:szCs w:val="20"/>
                <w:color w:val="auto"/>
              </w:rPr>
            </w:pPr>
            <w:r>
              <w:rPr>
                <w:rFonts w:ascii="Arial" w:cs="Arial" w:eastAsia="Arial" w:hAnsi="Arial"/>
                <w:sz w:val="22"/>
                <w:szCs w:val="22"/>
                <w:i w:val="1"/>
                <w:iCs w:val="1"/>
                <w:color w:val="auto"/>
              </w:rPr>
              <w:t>Compliance Certificate; Statements as to Defaults</w:t>
            </w:r>
          </w:p>
        </w:tc>
        <w:tc>
          <w:tcPr>
            <w:tcW w:w="540" w:type="dxa"/>
            <w:vAlign w:val="bottom"/>
          </w:tcPr>
          <w:p>
            <w:pPr>
              <w:jc w:val="right"/>
              <w:spacing w:after="0"/>
              <w:rPr>
                <w:rFonts w:ascii="Arial" w:cs="Arial" w:eastAsia="Arial" w:hAnsi="Arial"/>
                <w:sz w:val="22"/>
                <w:szCs w:val="22"/>
                <w:color w:val="auto"/>
              </w:rPr>
            </w:pPr>
            <w:hyperlink w:anchor="page108">
              <w:r>
                <w:rPr>
                  <w:rFonts w:ascii="Arial" w:cs="Arial" w:eastAsia="Arial" w:hAnsi="Arial"/>
                  <w:sz w:val="22"/>
                  <w:szCs w:val="22"/>
                  <w:color w:val="auto"/>
                </w:rPr>
                <w:t>34</w:t>
              </w:r>
            </w:hyperlink>
          </w:p>
        </w:tc>
        <w:tc>
          <w:tcPr>
            <w:tcW w:w="0" w:type="dxa"/>
            <w:vAlign w:val="bottom"/>
          </w:tcPr>
          <w:p>
            <w:pPr>
              <w:spacing w:after="0"/>
              <w:rPr>
                <w:sz w:val="1"/>
                <w:szCs w:val="1"/>
                <w:color w:val="auto"/>
              </w:rPr>
            </w:pPr>
          </w:p>
        </w:tc>
      </w:tr>
      <w:tr>
        <w:trPr>
          <w:trHeight w:val="297"/>
        </w:trPr>
        <w:tc>
          <w:tcPr>
            <w:tcW w:w="1420" w:type="dxa"/>
            <w:vAlign w:val="bottom"/>
          </w:tcPr>
          <w:p>
            <w:pPr>
              <w:spacing w:after="0"/>
              <w:rPr>
                <w:sz w:val="20"/>
                <w:szCs w:val="20"/>
                <w:color w:val="auto"/>
              </w:rPr>
            </w:pPr>
            <w:r>
              <w:rPr>
                <w:rFonts w:ascii="Arial" w:cs="Arial" w:eastAsia="Arial" w:hAnsi="Arial"/>
                <w:sz w:val="22"/>
                <w:szCs w:val="22"/>
                <w:color w:val="auto"/>
              </w:rPr>
              <w:t>Section 4.09 .</w:t>
            </w:r>
          </w:p>
        </w:tc>
        <w:tc>
          <w:tcPr>
            <w:tcW w:w="9380" w:type="dxa"/>
            <w:vAlign w:val="bottom"/>
            <w:gridSpan w:val="3"/>
          </w:tcPr>
          <w:p>
            <w:pPr>
              <w:ind w:left="400"/>
              <w:spacing w:after="0"/>
              <w:rPr>
                <w:sz w:val="20"/>
                <w:szCs w:val="20"/>
                <w:color w:val="auto"/>
              </w:rPr>
            </w:pPr>
            <w:r>
              <w:rPr>
                <w:rFonts w:ascii="Arial" w:cs="Arial" w:eastAsia="Arial" w:hAnsi="Arial"/>
                <w:sz w:val="22"/>
                <w:szCs w:val="22"/>
                <w:i w:val="1"/>
                <w:iCs w:val="1"/>
                <w:color w:val="auto"/>
              </w:rPr>
              <w:t>Further Instruments and Acts</w:t>
            </w:r>
          </w:p>
        </w:tc>
        <w:tc>
          <w:tcPr>
            <w:tcW w:w="540" w:type="dxa"/>
            <w:vAlign w:val="bottom"/>
          </w:tcPr>
          <w:p>
            <w:pPr>
              <w:jc w:val="right"/>
              <w:spacing w:after="0"/>
              <w:rPr>
                <w:rFonts w:ascii="Arial" w:cs="Arial" w:eastAsia="Arial" w:hAnsi="Arial"/>
                <w:sz w:val="22"/>
                <w:szCs w:val="22"/>
                <w:color w:val="auto"/>
              </w:rPr>
            </w:pPr>
            <w:hyperlink w:anchor="page108">
              <w:r>
                <w:rPr>
                  <w:rFonts w:ascii="Arial" w:cs="Arial" w:eastAsia="Arial" w:hAnsi="Arial"/>
                  <w:sz w:val="22"/>
                  <w:szCs w:val="22"/>
                  <w:color w:val="auto"/>
                </w:rPr>
                <w:t>34</w:t>
              </w:r>
            </w:hyperlink>
          </w:p>
        </w:tc>
        <w:tc>
          <w:tcPr>
            <w:tcW w:w="0" w:type="dxa"/>
            <w:vAlign w:val="bottom"/>
          </w:tcPr>
          <w:p>
            <w:pPr>
              <w:spacing w:after="0"/>
              <w:rPr>
                <w:sz w:val="1"/>
                <w:szCs w:val="1"/>
                <w:color w:val="auto"/>
              </w:rPr>
            </w:pPr>
          </w:p>
        </w:tc>
      </w:tr>
      <w:tr>
        <w:trPr>
          <w:trHeight w:val="297"/>
        </w:trPr>
        <w:tc>
          <w:tcPr>
            <w:tcW w:w="1420" w:type="dxa"/>
            <w:vAlign w:val="bottom"/>
          </w:tcPr>
          <w:p>
            <w:pPr>
              <w:spacing w:after="0"/>
              <w:rPr>
                <w:sz w:val="20"/>
                <w:szCs w:val="20"/>
                <w:color w:val="auto"/>
              </w:rPr>
            </w:pPr>
            <w:r>
              <w:rPr>
                <w:rFonts w:ascii="Arial" w:cs="Arial" w:eastAsia="Arial" w:hAnsi="Arial"/>
                <w:sz w:val="22"/>
                <w:szCs w:val="22"/>
                <w:color w:val="auto"/>
              </w:rPr>
              <w:t>Section 4.10 .</w:t>
            </w:r>
          </w:p>
        </w:tc>
        <w:tc>
          <w:tcPr>
            <w:tcW w:w="9380" w:type="dxa"/>
            <w:vAlign w:val="bottom"/>
            <w:gridSpan w:val="3"/>
          </w:tcPr>
          <w:p>
            <w:pPr>
              <w:ind w:left="400"/>
              <w:spacing w:after="0"/>
              <w:rPr>
                <w:sz w:val="20"/>
                <w:szCs w:val="20"/>
                <w:color w:val="auto"/>
              </w:rPr>
            </w:pPr>
            <w:r>
              <w:rPr>
                <w:rFonts w:ascii="Arial" w:cs="Arial" w:eastAsia="Arial" w:hAnsi="Arial"/>
                <w:sz w:val="22"/>
                <w:szCs w:val="22"/>
                <w:i w:val="1"/>
                <w:iCs w:val="1"/>
                <w:color w:val="auto"/>
              </w:rPr>
              <w:t>No Rights as Stockholders</w:t>
            </w:r>
          </w:p>
        </w:tc>
        <w:tc>
          <w:tcPr>
            <w:tcW w:w="540" w:type="dxa"/>
            <w:vAlign w:val="bottom"/>
          </w:tcPr>
          <w:p>
            <w:pPr>
              <w:jc w:val="right"/>
              <w:spacing w:after="0"/>
              <w:rPr>
                <w:rFonts w:ascii="Arial" w:cs="Arial" w:eastAsia="Arial" w:hAnsi="Arial"/>
                <w:sz w:val="22"/>
                <w:szCs w:val="22"/>
                <w:color w:val="auto"/>
              </w:rPr>
            </w:pPr>
            <w:hyperlink w:anchor="page108">
              <w:r>
                <w:rPr>
                  <w:rFonts w:ascii="Arial" w:cs="Arial" w:eastAsia="Arial" w:hAnsi="Arial"/>
                  <w:sz w:val="22"/>
                  <w:szCs w:val="22"/>
                  <w:color w:val="auto"/>
                </w:rPr>
                <w:t>34</w:t>
              </w:r>
            </w:hyperlink>
          </w:p>
        </w:tc>
        <w:tc>
          <w:tcPr>
            <w:tcW w:w="0" w:type="dxa"/>
            <w:vAlign w:val="bottom"/>
          </w:tcPr>
          <w:p>
            <w:pPr>
              <w:spacing w:after="0"/>
              <w:rPr>
                <w:sz w:val="1"/>
                <w:szCs w:val="1"/>
                <w:color w:val="auto"/>
              </w:rPr>
            </w:pPr>
          </w:p>
        </w:tc>
      </w:tr>
    </w:tbl>
    <w:p>
      <w:pPr>
        <w:sectPr>
          <w:pgSz w:w="11900" w:h="16838" w:orient="portrait"/>
          <w:cols w:equalWidth="0" w:num="1">
            <w:col w:w="11340"/>
          </w:cols>
          <w:pgMar w:left="320" w:top="369" w:right="239" w:bottom="1440" w:gutter="0" w:footer="0" w:header="0"/>
        </w:sectPr>
      </w:pPr>
    </w:p>
    <w:bookmarkStart w:id="75" w:name="page76"/>
    <w:bookmarkEnd w:id="75"/>
    <w:p>
      <w:pPr>
        <w:ind w:left="5080"/>
        <w:spacing w:after="0"/>
        <w:rPr>
          <w:rFonts w:ascii="Arial" w:cs="Arial" w:eastAsia="Arial" w:hAnsi="Arial"/>
          <w:sz w:val="22"/>
          <w:szCs w:val="22"/>
          <w:color w:val="auto"/>
        </w:rPr>
      </w:pPr>
      <w:hyperlink w:anchor="page109">
        <w:r>
          <w:rPr>
            <w:rFonts w:ascii="Arial" w:cs="Arial" w:eastAsia="Arial" w:hAnsi="Arial"/>
            <w:sz w:val="22"/>
            <w:szCs w:val="22"/>
            <w:color w:val="auto"/>
          </w:rPr>
          <w:t>ARTICLE 5</w:t>
        </w:r>
      </w:hyperlink>
    </w:p>
    <w:p>
      <w:pPr>
        <w:spacing w:after="0" w:line="22"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[RESERVED]</w:t>
      </w:r>
    </w:p>
    <w:p>
      <w:pPr>
        <w:spacing w:after="0" w:line="310" w:lineRule="exact"/>
        <w:rPr>
          <w:sz w:val="20"/>
          <w:szCs w:val="20"/>
          <w:color w:val="auto"/>
        </w:rPr>
      </w:pPr>
    </w:p>
    <w:p>
      <w:pPr>
        <w:jc w:val="center"/>
        <w:ind w:right="40"/>
        <w:spacing w:after="0"/>
        <w:rPr>
          <w:rFonts w:ascii="Arial" w:cs="Arial" w:eastAsia="Arial" w:hAnsi="Arial"/>
          <w:sz w:val="22"/>
          <w:szCs w:val="22"/>
          <w:color w:val="auto"/>
        </w:rPr>
      </w:pPr>
      <w:hyperlink w:anchor="page109">
        <w:r>
          <w:rPr>
            <w:rFonts w:ascii="Arial" w:cs="Arial" w:eastAsia="Arial" w:hAnsi="Arial"/>
            <w:sz w:val="22"/>
            <w:szCs w:val="22"/>
            <w:color w:val="auto"/>
          </w:rPr>
          <w:t>ARTICLE 6</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DEFAULTS AND REMEDIES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500" w:type="dxa"/>
            <w:vAlign w:val="bottom"/>
          </w:tcPr>
          <w:p>
            <w:pPr>
              <w:spacing w:after="0"/>
              <w:rPr>
                <w:sz w:val="20"/>
                <w:szCs w:val="20"/>
                <w:color w:val="auto"/>
              </w:rPr>
            </w:pPr>
            <w:r>
              <w:rPr>
                <w:rFonts w:ascii="Arial" w:cs="Arial" w:eastAsia="Arial" w:hAnsi="Arial"/>
                <w:sz w:val="22"/>
                <w:szCs w:val="22"/>
                <w:color w:val="auto"/>
              </w:rPr>
              <w:t>Section 6.01 .</w:t>
            </w:r>
          </w:p>
        </w:tc>
        <w:tc>
          <w:tcPr>
            <w:tcW w:w="9060" w:type="dxa"/>
            <w:vAlign w:val="bottom"/>
          </w:tcPr>
          <w:p>
            <w:pPr>
              <w:ind w:left="320"/>
              <w:spacing w:after="0"/>
              <w:rPr>
                <w:sz w:val="20"/>
                <w:szCs w:val="20"/>
                <w:color w:val="auto"/>
              </w:rPr>
            </w:pPr>
            <w:r>
              <w:rPr>
                <w:rFonts w:ascii="Arial" w:cs="Arial" w:eastAsia="Arial" w:hAnsi="Arial"/>
                <w:sz w:val="22"/>
                <w:szCs w:val="22"/>
                <w:i w:val="1"/>
                <w:iCs w:val="1"/>
                <w:color w:val="auto"/>
              </w:rPr>
              <w:t>Events of Default</w:t>
            </w:r>
          </w:p>
        </w:tc>
        <w:tc>
          <w:tcPr>
            <w:tcW w:w="700" w:type="dxa"/>
            <w:vAlign w:val="bottom"/>
          </w:tcPr>
          <w:p>
            <w:pPr>
              <w:jc w:val="right"/>
              <w:spacing w:after="0"/>
              <w:rPr>
                <w:rFonts w:ascii="Arial" w:cs="Arial" w:eastAsia="Arial" w:hAnsi="Arial"/>
                <w:sz w:val="22"/>
                <w:szCs w:val="22"/>
                <w:color w:val="auto"/>
              </w:rPr>
            </w:pPr>
            <w:hyperlink w:anchor="page109">
              <w:r>
                <w:rPr>
                  <w:rFonts w:ascii="Arial" w:cs="Arial" w:eastAsia="Arial" w:hAnsi="Arial"/>
                  <w:sz w:val="22"/>
                  <w:szCs w:val="22"/>
                  <w:color w:val="auto"/>
                </w:rPr>
                <w:t>35</w:t>
              </w:r>
            </w:hyperlink>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Section 6.02 .</w:t>
            </w:r>
          </w:p>
        </w:tc>
        <w:tc>
          <w:tcPr>
            <w:tcW w:w="9060" w:type="dxa"/>
            <w:vAlign w:val="bottom"/>
          </w:tcPr>
          <w:p>
            <w:pPr>
              <w:ind w:left="320"/>
              <w:spacing w:after="0"/>
              <w:rPr>
                <w:sz w:val="20"/>
                <w:szCs w:val="20"/>
                <w:color w:val="auto"/>
              </w:rPr>
            </w:pPr>
            <w:r>
              <w:rPr>
                <w:rFonts w:ascii="Arial" w:cs="Arial" w:eastAsia="Arial" w:hAnsi="Arial"/>
                <w:sz w:val="22"/>
                <w:szCs w:val="22"/>
                <w:i w:val="1"/>
                <w:iCs w:val="1"/>
                <w:color w:val="auto"/>
              </w:rPr>
              <w:t>Acceleration</w:t>
            </w:r>
          </w:p>
        </w:tc>
        <w:tc>
          <w:tcPr>
            <w:tcW w:w="700" w:type="dxa"/>
            <w:vAlign w:val="bottom"/>
          </w:tcPr>
          <w:p>
            <w:pPr>
              <w:jc w:val="right"/>
              <w:spacing w:after="0"/>
              <w:rPr>
                <w:rFonts w:ascii="Arial" w:cs="Arial" w:eastAsia="Arial" w:hAnsi="Arial"/>
                <w:sz w:val="22"/>
                <w:szCs w:val="22"/>
                <w:color w:val="auto"/>
              </w:rPr>
            </w:pPr>
            <w:hyperlink w:anchor="page110">
              <w:r>
                <w:rPr>
                  <w:rFonts w:ascii="Arial" w:cs="Arial" w:eastAsia="Arial" w:hAnsi="Arial"/>
                  <w:sz w:val="22"/>
                  <w:szCs w:val="22"/>
                  <w:color w:val="auto"/>
                </w:rPr>
                <w:t>36</w:t>
              </w:r>
            </w:hyperlink>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Section 6.03 .</w:t>
            </w:r>
          </w:p>
        </w:tc>
        <w:tc>
          <w:tcPr>
            <w:tcW w:w="9060" w:type="dxa"/>
            <w:vAlign w:val="bottom"/>
          </w:tcPr>
          <w:p>
            <w:pPr>
              <w:ind w:left="320"/>
              <w:spacing w:after="0"/>
              <w:rPr>
                <w:sz w:val="20"/>
                <w:szCs w:val="20"/>
                <w:color w:val="auto"/>
              </w:rPr>
            </w:pPr>
            <w:r>
              <w:rPr>
                <w:rFonts w:ascii="Arial" w:cs="Arial" w:eastAsia="Arial" w:hAnsi="Arial"/>
                <w:sz w:val="22"/>
                <w:szCs w:val="22"/>
                <w:i w:val="1"/>
                <w:iCs w:val="1"/>
                <w:color w:val="auto"/>
              </w:rPr>
              <w:t>Additional Interest</w:t>
            </w:r>
          </w:p>
        </w:tc>
        <w:tc>
          <w:tcPr>
            <w:tcW w:w="700" w:type="dxa"/>
            <w:vAlign w:val="bottom"/>
          </w:tcPr>
          <w:p>
            <w:pPr>
              <w:jc w:val="right"/>
              <w:spacing w:after="0"/>
              <w:rPr>
                <w:rFonts w:ascii="Arial" w:cs="Arial" w:eastAsia="Arial" w:hAnsi="Arial"/>
                <w:sz w:val="22"/>
                <w:szCs w:val="22"/>
                <w:color w:val="auto"/>
              </w:rPr>
            </w:pPr>
            <w:hyperlink w:anchor="page111">
              <w:r>
                <w:rPr>
                  <w:rFonts w:ascii="Arial" w:cs="Arial" w:eastAsia="Arial" w:hAnsi="Arial"/>
                  <w:sz w:val="22"/>
                  <w:szCs w:val="22"/>
                  <w:color w:val="auto"/>
                </w:rPr>
                <w:t>37</w:t>
              </w:r>
            </w:hyperlink>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Section 6.04 .</w:t>
            </w:r>
          </w:p>
        </w:tc>
        <w:tc>
          <w:tcPr>
            <w:tcW w:w="9060" w:type="dxa"/>
            <w:vAlign w:val="bottom"/>
          </w:tcPr>
          <w:p>
            <w:pPr>
              <w:ind w:left="320"/>
              <w:spacing w:after="0"/>
              <w:rPr>
                <w:sz w:val="20"/>
                <w:szCs w:val="20"/>
                <w:color w:val="auto"/>
              </w:rPr>
            </w:pPr>
            <w:r>
              <w:rPr>
                <w:rFonts w:ascii="Arial" w:cs="Arial" w:eastAsia="Arial" w:hAnsi="Arial"/>
                <w:sz w:val="22"/>
                <w:szCs w:val="22"/>
                <w:i w:val="1"/>
                <w:iCs w:val="1"/>
                <w:color w:val="auto"/>
              </w:rPr>
              <w:t>Payments of Notes on Default; Suit Therefor</w:t>
            </w:r>
          </w:p>
        </w:tc>
        <w:tc>
          <w:tcPr>
            <w:tcW w:w="700" w:type="dxa"/>
            <w:vAlign w:val="bottom"/>
          </w:tcPr>
          <w:p>
            <w:pPr>
              <w:jc w:val="right"/>
              <w:spacing w:after="0"/>
              <w:rPr>
                <w:rFonts w:ascii="Arial" w:cs="Arial" w:eastAsia="Arial" w:hAnsi="Arial"/>
                <w:sz w:val="22"/>
                <w:szCs w:val="22"/>
                <w:color w:val="auto"/>
              </w:rPr>
            </w:pPr>
            <w:hyperlink w:anchor="page112">
              <w:r>
                <w:rPr>
                  <w:rFonts w:ascii="Arial" w:cs="Arial" w:eastAsia="Arial" w:hAnsi="Arial"/>
                  <w:sz w:val="22"/>
                  <w:szCs w:val="22"/>
                  <w:color w:val="auto"/>
                </w:rPr>
                <w:t>38</w:t>
              </w:r>
            </w:hyperlink>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Section 6.05 .</w:t>
            </w:r>
          </w:p>
        </w:tc>
        <w:tc>
          <w:tcPr>
            <w:tcW w:w="9060" w:type="dxa"/>
            <w:vAlign w:val="bottom"/>
          </w:tcPr>
          <w:p>
            <w:pPr>
              <w:ind w:left="320"/>
              <w:spacing w:after="0"/>
              <w:rPr>
                <w:sz w:val="20"/>
                <w:szCs w:val="20"/>
                <w:color w:val="auto"/>
              </w:rPr>
            </w:pPr>
            <w:r>
              <w:rPr>
                <w:rFonts w:ascii="Arial" w:cs="Arial" w:eastAsia="Arial" w:hAnsi="Arial"/>
                <w:sz w:val="22"/>
                <w:szCs w:val="22"/>
                <w:i w:val="1"/>
                <w:iCs w:val="1"/>
                <w:color w:val="auto"/>
              </w:rPr>
              <w:t>Application of Monies Collected by Trustee</w:t>
            </w:r>
          </w:p>
        </w:tc>
        <w:tc>
          <w:tcPr>
            <w:tcW w:w="700" w:type="dxa"/>
            <w:vAlign w:val="bottom"/>
          </w:tcPr>
          <w:p>
            <w:pPr>
              <w:jc w:val="right"/>
              <w:spacing w:after="0"/>
              <w:rPr>
                <w:rFonts w:ascii="Arial" w:cs="Arial" w:eastAsia="Arial" w:hAnsi="Arial"/>
                <w:sz w:val="22"/>
                <w:szCs w:val="22"/>
                <w:color w:val="auto"/>
              </w:rPr>
            </w:pPr>
            <w:hyperlink w:anchor="page114">
              <w:r>
                <w:rPr>
                  <w:rFonts w:ascii="Arial" w:cs="Arial" w:eastAsia="Arial" w:hAnsi="Arial"/>
                  <w:sz w:val="22"/>
                  <w:szCs w:val="22"/>
                  <w:color w:val="auto"/>
                </w:rPr>
                <w:t>40</w:t>
              </w:r>
            </w:hyperlink>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Section 6.06 .</w:t>
            </w:r>
          </w:p>
        </w:tc>
        <w:tc>
          <w:tcPr>
            <w:tcW w:w="9060" w:type="dxa"/>
            <w:vAlign w:val="bottom"/>
          </w:tcPr>
          <w:p>
            <w:pPr>
              <w:ind w:left="320"/>
              <w:spacing w:after="0"/>
              <w:rPr>
                <w:sz w:val="20"/>
                <w:szCs w:val="20"/>
                <w:color w:val="auto"/>
              </w:rPr>
            </w:pPr>
            <w:r>
              <w:rPr>
                <w:rFonts w:ascii="Arial" w:cs="Arial" w:eastAsia="Arial" w:hAnsi="Arial"/>
                <w:sz w:val="22"/>
                <w:szCs w:val="22"/>
                <w:i w:val="1"/>
                <w:iCs w:val="1"/>
                <w:color w:val="auto"/>
              </w:rPr>
              <w:t>Proceedings by Holders</w:t>
            </w:r>
          </w:p>
        </w:tc>
        <w:tc>
          <w:tcPr>
            <w:tcW w:w="700" w:type="dxa"/>
            <w:vAlign w:val="bottom"/>
          </w:tcPr>
          <w:p>
            <w:pPr>
              <w:jc w:val="right"/>
              <w:spacing w:after="0"/>
              <w:rPr>
                <w:rFonts w:ascii="Arial" w:cs="Arial" w:eastAsia="Arial" w:hAnsi="Arial"/>
                <w:sz w:val="22"/>
                <w:szCs w:val="22"/>
                <w:color w:val="auto"/>
              </w:rPr>
            </w:pPr>
            <w:hyperlink w:anchor="page114">
              <w:r>
                <w:rPr>
                  <w:rFonts w:ascii="Arial" w:cs="Arial" w:eastAsia="Arial" w:hAnsi="Arial"/>
                  <w:sz w:val="22"/>
                  <w:szCs w:val="22"/>
                  <w:color w:val="auto"/>
                </w:rPr>
                <w:t>40</w:t>
              </w:r>
            </w:hyperlink>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Section 6.07 .</w:t>
            </w:r>
          </w:p>
        </w:tc>
        <w:tc>
          <w:tcPr>
            <w:tcW w:w="9060" w:type="dxa"/>
            <w:vAlign w:val="bottom"/>
          </w:tcPr>
          <w:p>
            <w:pPr>
              <w:ind w:left="320"/>
              <w:spacing w:after="0"/>
              <w:rPr>
                <w:sz w:val="20"/>
                <w:szCs w:val="20"/>
                <w:color w:val="auto"/>
              </w:rPr>
            </w:pPr>
            <w:r>
              <w:rPr>
                <w:rFonts w:ascii="Arial" w:cs="Arial" w:eastAsia="Arial" w:hAnsi="Arial"/>
                <w:sz w:val="22"/>
                <w:szCs w:val="22"/>
                <w:i w:val="1"/>
                <w:iCs w:val="1"/>
                <w:color w:val="auto"/>
              </w:rPr>
              <w:t>Proceedings by Trustee</w:t>
            </w:r>
          </w:p>
        </w:tc>
        <w:tc>
          <w:tcPr>
            <w:tcW w:w="700" w:type="dxa"/>
            <w:vAlign w:val="bottom"/>
          </w:tcPr>
          <w:p>
            <w:pPr>
              <w:jc w:val="right"/>
              <w:spacing w:after="0"/>
              <w:rPr>
                <w:rFonts w:ascii="Arial" w:cs="Arial" w:eastAsia="Arial" w:hAnsi="Arial"/>
                <w:sz w:val="22"/>
                <w:szCs w:val="22"/>
                <w:color w:val="auto"/>
              </w:rPr>
            </w:pPr>
            <w:hyperlink w:anchor="page115">
              <w:r>
                <w:rPr>
                  <w:rFonts w:ascii="Arial" w:cs="Arial" w:eastAsia="Arial" w:hAnsi="Arial"/>
                  <w:sz w:val="22"/>
                  <w:szCs w:val="22"/>
                  <w:color w:val="auto"/>
                </w:rPr>
                <w:t>41</w:t>
              </w:r>
            </w:hyperlink>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Section 6.08 .</w:t>
            </w:r>
          </w:p>
        </w:tc>
        <w:tc>
          <w:tcPr>
            <w:tcW w:w="9060" w:type="dxa"/>
            <w:vAlign w:val="bottom"/>
          </w:tcPr>
          <w:p>
            <w:pPr>
              <w:ind w:left="320"/>
              <w:spacing w:after="0"/>
              <w:rPr>
                <w:sz w:val="20"/>
                <w:szCs w:val="20"/>
                <w:color w:val="auto"/>
              </w:rPr>
            </w:pPr>
            <w:r>
              <w:rPr>
                <w:rFonts w:ascii="Arial" w:cs="Arial" w:eastAsia="Arial" w:hAnsi="Arial"/>
                <w:sz w:val="22"/>
                <w:szCs w:val="22"/>
                <w:i w:val="1"/>
                <w:iCs w:val="1"/>
                <w:color w:val="auto"/>
              </w:rPr>
              <w:t>Remedies Cumulative and Continuing</w:t>
            </w:r>
          </w:p>
        </w:tc>
        <w:tc>
          <w:tcPr>
            <w:tcW w:w="700" w:type="dxa"/>
            <w:vAlign w:val="bottom"/>
          </w:tcPr>
          <w:p>
            <w:pPr>
              <w:jc w:val="right"/>
              <w:spacing w:after="0"/>
              <w:rPr>
                <w:rFonts w:ascii="Arial" w:cs="Arial" w:eastAsia="Arial" w:hAnsi="Arial"/>
                <w:sz w:val="22"/>
                <w:szCs w:val="22"/>
                <w:color w:val="auto"/>
              </w:rPr>
            </w:pPr>
            <w:hyperlink w:anchor="page115">
              <w:r>
                <w:rPr>
                  <w:rFonts w:ascii="Arial" w:cs="Arial" w:eastAsia="Arial" w:hAnsi="Arial"/>
                  <w:sz w:val="22"/>
                  <w:szCs w:val="22"/>
                  <w:color w:val="auto"/>
                </w:rPr>
                <w:t>41</w:t>
              </w:r>
            </w:hyperlink>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Section 6.09 .</w:t>
            </w:r>
          </w:p>
        </w:tc>
        <w:tc>
          <w:tcPr>
            <w:tcW w:w="9060" w:type="dxa"/>
            <w:vAlign w:val="bottom"/>
          </w:tcPr>
          <w:p>
            <w:pPr>
              <w:ind w:left="320"/>
              <w:spacing w:after="0"/>
              <w:rPr>
                <w:sz w:val="20"/>
                <w:szCs w:val="20"/>
                <w:color w:val="auto"/>
              </w:rPr>
            </w:pPr>
            <w:r>
              <w:rPr>
                <w:rFonts w:ascii="Arial" w:cs="Arial" w:eastAsia="Arial" w:hAnsi="Arial"/>
                <w:sz w:val="22"/>
                <w:szCs w:val="22"/>
                <w:i w:val="1"/>
                <w:iCs w:val="1"/>
                <w:color w:val="auto"/>
              </w:rPr>
              <w:t>Direction of Proceedings and Waiver of Defaults by Majority of Holders</w:t>
            </w:r>
          </w:p>
        </w:tc>
        <w:tc>
          <w:tcPr>
            <w:tcW w:w="700" w:type="dxa"/>
            <w:vAlign w:val="bottom"/>
          </w:tcPr>
          <w:p>
            <w:pPr>
              <w:jc w:val="right"/>
              <w:spacing w:after="0"/>
              <w:rPr>
                <w:rFonts w:ascii="Arial" w:cs="Arial" w:eastAsia="Arial" w:hAnsi="Arial"/>
                <w:sz w:val="22"/>
                <w:szCs w:val="22"/>
                <w:color w:val="auto"/>
              </w:rPr>
            </w:pPr>
            <w:hyperlink w:anchor="page115">
              <w:r>
                <w:rPr>
                  <w:rFonts w:ascii="Arial" w:cs="Arial" w:eastAsia="Arial" w:hAnsi="Arial"/>
                  <w:sz w:val="22"/>
                  <w:szCs w:val="22"/>
                  <w:color w:val="auto"/>
                </w:rPr>
                <w:t>41</w:t>
              </w:r>
            </w:hyperlink>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Section 6.10 .</w:t>
            </w:r>
          </w:p>
        </w:tc>
        <w:tc>
          <w:tcPr>
            <w:tcW w:w="9060" w:type="dxa"/>
            <w:vAlign w:val="bottom"/>
          </w:tcPr>
          <w:p>
            <w:pPr>
              <w:ind w:left="320"/>
              <w:spacing w:after="0"/>
              <w:rPr>
                <w:sz w:val="20"/>
                <w:szCs w:val="20"/>
                <w:color w:val="auto"/>
              </w:rPr>
            </w:pPr>
            <w:r>
              <w:rPr>
                <w:rFonts w:ascii="Arial" w:cs="Arial" w:eastAsia="Arial" w:hAnsi="Arial"/>
                <w:sz w:val="22"/>
                <w:szCs w:val="22"/>
                <w:i w:val="1"/>
                <w:iCs w:val="1"/>
                <w:color w:val="auto"/>
              </w:rPr>
              <w:t>Notice of Defaults</w:t>
            </w:r>
          </w:p>
        </w:tc>
        <w:tc>
          <w:tcPr>
            <w:tcW w:w="700" w:type="dxa"/>
            <w:vAlign w:val="bottom"/>
          </w:tcPr>
          <w:p>
            <w:pPr>
              <w:jc w:val="right"/>
              <w:spacing w:after="0"/>
              <w:rPr>
                <w:rFonts w:ascii="Arial" w:cs="Arial" w:eastAsia="Arial" w:hAnsi="Arial"/>
                <w:sz w:val="22"/>
                <w:szCs w:val="22"/>
                <w:color w:val="auto"/>
              </w:rPr>
            </w:pPr>
            <w:hyperlink w:anchor="page116">
              <w:r>
                <w:rPr>
                  <w:rFonts w:ascii="Arial" w:cs="Arial" w:eastAsia="Arial" w:hAnsi="Arial"/>
                  <w:sz w:val="22"/>
                  <w:szCs w:val="22"/>
                  <w:color w:val="auto"/>
                </w:rPr>
                <w:t>42</w:t>
              </w:r>
            </w:hyperlink>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Section 6.11 .</w:t>
            </w:r>
          </w:p>
        </w:tc>
        <w:tc>
          <w:tcPr>
            <w:tcW w:w="9060" w:type="dxa"/>
            <w:vAlign w:val="bottom"/>
          </w:tcPr>
          <w:p>
            <w:pPr>
              <w:ind w:left="320"/>
              <w:spacing w:after="0"/>
              <w:rPr>
                <w:sz w:val="20"/>
                <w:szCs w:val="20"/>
                <w:color w:val="auto"/>
              </w:rPr>
            </w:pPr>
            <w:r>
              <w:rPr>
                <w:rFonts w:ascii="Arial" w:cs="Arial" w:eastAsia="Arial" w:hAnsi="Arial"/>
                <w:sz w:val="22"/>
                <w:szCs w:val="22"/>
                <w:i w:val="1"/>
                <w:iCs w:val="1"/>
                <w:color w:val="auto"/>
              </w:rPr>
              <w:t>Undertaking to Pay Costs</w:t>
            </w:r>
          </w:p>
        </w:tc>
        <w:tc>
          <w:tcPr>
            <w:tcW w:w="700" w:type="dxa"/>
            <w:vAlign w:val="bottom"/>
          </w:tcPr>
          <w:p>
            <w:pPr>
              <w:jc w:val="right"/>
              <w:spacing w:after="0"/>
              <w:rPr>
                <w:rFonts w:ascii="Arial" w:cs="Arial" w:eastAsia="Arial" w:hAnsi="Arial"/>
                <w:sz w:val="22"/>
                <w:szCs w:val="22"/>
                <w:color w:val="auto"/>
              </w:rPr>
            </w:pPr>
            <w:hyperlink w:anchor="page116">
              <w:r>
                <w:rPr>
                  <w:rFonts w:ascii="Arial" w:cs="Arial" w:eastAsia="Arial" w:hAnsi="Arial"/>
                  <w:sz w:val="22"/>
                  <w:szCs w:val="22"/>
                  <w:color w:val="auto"/>
                </w:rPr>
                <w:t>42</w:t>
              </w:r>
            </w:hyperlink>
          </w:p>
        </w:tc>
      </w:tr>
      <w:tr>
        <w:trPr>
          <w:trHeight w:val="482"/>
        </w:trPr>
        <w:tc>
          <w:tcPr>
            <w:tcW w:w="1500" w:type="dxa"/>
            <w:vAlign w:val="bottom"/>
          </w:tcPr>
          <w:p>
            <w:pPr>
              <w:spacing w:after="0"/>
              <w:rPr>
                <w:sz w:val="24"/>
                <w:szCs w:val="24"/>
                <w:color w:val="auto"/>
              </w:rPr>
            </w:pPr>
          </w:p>
        </w:tc>
        <w:tc>
          <w:tcPr>
            <w:tcW w:w="9060" w:type="dxa"/>
            <w:vAlign w:val="bottom"/>
          </w:tcPr>
          <w:p>
            <w:pPr>
              <w:jc w:val="center"/>
              <w:ind w:right="732"/>
              <w:spacing w:after="0"/>
              <w:rPr>
                <w:rFonts w:ascii="Arial" w:cs="Arial" w:eastAsia="Arial" w:hAnsi="Arial"/>
                <w:sz w:val="22"/>
                <w:szCs w:val="22"/>
                <w:color w:val="auto"/>
                <w:w w:val="95"/>
              </w:rPr>
            </w:pPr>
            <w:hyperlink w:anchor="page117">
              <w:r>
                <w:rPr>
                  <w:rFonts w:ascii="Arial" w:cs="Arial" w:eastAsia="Arial" w:hAnsi="Arial"/>
                  <w:sz w:val="22"/>
                  <w:szCs w:val="22"/>
                  <w:color w:val="auto"/>
                  <w:w w:val="95"/>
                </w:rPr>
                <w:t>ARTICLE 7</w:t>
              </w:r>
            </w:hyperlink>
          </w:p>
        </w:tc>
        <w:tc>
          <w:tcPr>
            <w:tcW w:w="700" w:type="dxa"/>
            <w:vAlign w:val="bottom"/>
          </w:tcPr>
          <w:p>
            <w:pPr>
              <w:spacing w:after="0"/>
              <w:rPr>
                <w:sz w:val="24"/>
                <w:szCs w:val="24"/>
                <w:color w:val="auto"/>
              </w:rPr>
            </w:pPr>
          </w:p>
        </w:tc>
      </w:tr>
      <w:tr>
        <w:trPr>
          <w:trHeight w:val="275"/>
        </w:trPr>
        <w:tc>
          <w:tcPr>
            <w:tcW w:w="1500" w:type="dxa"/>
            <w:vAlign w:val="bottom"/>
          </w:tcPr>
          <w:p>
            <w:pPr>
              <w:spacing w:after="0"/>
              <w:rPr>
                <w:sz w:val="23"/>
                <w:szCs w:val="23"/>
                <w:color w:val="auto"/>
              </w:rPr>
            </w:pPr>
          </w:p>
        </w:tc>
        <w:tc>
          <w:tcPr>
            <w:tcW w:w="9060" w:type="dxa"/>
            <w:vAlign w:val="bottom"/>
          </w:tcPr>
          <w:p>
            <w:pPr>
              <w:jc w:val="center"/>
              <w:ind w:right="692"/>
              <w:spacing w:after="0"/>
              <w:rPr>
                <w:sz w:val="20"/>
                <w:szCs w:val="20"/>
                <w:color w:val="auto"/>
              </w:rPr>
            </w:pPr>
            <w:r>
              <w:rPr>
                <w:rFonts w:ascii="Arial" w:cs="Arial" w:eastAsia="Arial" w:hAnsi="Arial"/>
                <w:sz w:val="22"/>
                <w:szCs w:val="22"/>
                <w:color w:val="auto"/>
                <w:w w:val="93"/>
              </w:rPr>
              <w:t>CONCERNING THE TRUSTEE</w:t>
            </w:r>
          </w:p>
        </w:tc>
        <w:tc>
          <w:tcPr>
            <w:tcW w:w="700" w:type="dxa"/>
            <w:vAlign w:val="bottom"/>
          </w:tcPr>
          <w:p>
            <w:pPr>
              <w:spacing w:after="0"/>
              <w:rPr>
                <w:sz w:val="23"/>
                <w:szCs w:val="23"/>
                <w:color w:val="auto"/>
              </w:rPr>
            </w:pPr>
          </w:p>
        </w:tc>
      </w:tr>
      <w:tr>
        <w:trPr>
          <w:trHeight w:val="405"/>
        </w:trPr>
        <w:tc>
          <w:tcPr>
            <w:tcW w:w="1500" w:type="dxa"/>
            <w:vAlign w:val="bottom"/>
          </w:tcPr>
          <w:p>
            <w:pPr>
              <w:spacing w:after="0"/>
              <w:rPr>
                <w:sz w:val="20"/>
                <w:szCs w:val="20"/>
                <w:color w:val="auto"/>
              </w:rPr>
            </w:pPr>
            <w:r>
              <w:rPr>
                <w:rFonts w:ascii="Arial" w:cs="Arial" w:eastAsia="Arial" w:hAnsi="Arial"/>
                <w:sz w:val="22"/>
                <w:szCs w:val="22"/>
                <w:color w:val="auto"/>
              </w:rPr>
              <w:t>Section 7.01 .</w:t>
            </w:r>
          </w:p>
        </w:tc>
        <w:tc>
          <w:tcPr>
            <w:tcW w:w="9060" w:type="dxa"/>
            <w:vAlign w:val="bottom"/>
          </w:tcPr>
          <w:p>
            <w:pPr>
              <w:ind w:left="320"/>
              <w:spacing w:after="0"/>
              <w:rPr>
                <w:sz w:val="20"/>
                <w:szCs w:val="20"/>
                <w:color w:val="auto"/>
              </w:rPr>
            </w:pPr>
            <w:r>
              <w:rPr>
                <w:rFonts w:ascii="Arial" w:cs="Arial" w:eastAsia="Arial" w:hAnsi="Arial"/>
                <w:sz w:val="22"/>
                <w:szCs w:val="22"/>
                <w:i w:val="1"/>
                <w:iCs w:val="1"/>
                <w:color w:val="auto"/>
              </w:rPr>
              <w:t>Duties and Responsibilities of Trustee</w:t>
            </w:r>
          </w:p>
        </w:tc>
        <w:tc>
          <w:tcPr>
            <w:tcW w:w="700" w:type="dxa"/>
            <w:vAlign w:val="bottom"/>
          </w:tcPr>
          <w:p>
            <w:pPr>
              <w:jc w:val="right"/>
              <w:spacing w:after="0"/>
              <w:rPr>
                <w:rFonts w:ascii="Arial" w:cs="Arial" w:eastAsia="Arial" w:hAnsi="Arial"/>
                <w:sz w:val="22"/>
                <w:szCs w:val="22"/>
                <w:color w:val="auto"/>
              </w:rPr>
            </w:pPr>
            <w:hyperlink w:anchor="page117">
              <w:r>
                <w:rPr>
                  <w:rFonts w:ascii="Arial" w:cs="Arial" w:eastAsia="Arial" w:hAnsi="Arial"/>
                  <w:sz w:val="22"/>
                  <w:szCs w:val="22"/>
                  <w:color w:val="auto"/>
                </w:rPr>
                <w:t>43</w:t>
              </w:r>
            </w:hyperlink>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Section 7.02 .</w:t>
            </w:r>
          </w:p>
        </w:tc>
        <w:tc>
          <w:tcPr>
            <w:tcW w:w="9060" w:type="dxa"/>
            <w:vAlign w:val="bottom"/>
          </w:tcPr>
          <w:p>
            <w:pPr>
              <w:ind w:left="320"/>
              <w:spacing w:after="0"/>
              <w:rPr>
                <w:sz w:val="20"/>
                <w:szCs w:val="20"/>
                <w:color w:val="auto"/>
              </w:rPr>
            </w:pPr>
            <w:r>
              <w:rPr>
                <w:rFonts w:ascii="Arial" w:cs="Arial" w:eastAsia="Arial" w:hAnsi="Arial"/>
                <w:sz w:val="22"/>
                <w:szCs w:val="22"/>
                <w:i w:val="1"/>
                <w:iCs w:val="1"/>
                <w:color w:val="auto"/>
              </w:rPr>
              <w:t>Certain Rights of the Trustee</w:t>
            </w:r>
          </w:p>
        </w:tc>
        <w:tc>
          <w:tcPr>
            <w:tcW w:w="700" w:type="dxa"/>
            <w:vAlign w:val="bottom"/>
          </w:tcPr>
          <w:p>
            <w:pPr>
              <w:jc w:val="right"/>
              <w:spacing w:after="0"/>
              <w:rPr>
                <w:rFonts w:ascii="Arial" w:cs="Arial" w:eastAsia="Arial" w:hAnsi="Arial"/>
                <w:sz w:val="22"/>
                <w:szCs w:val="22"/>
                <w:color w:val="auto"/>
              </w:rPr>
            </w:pPr>
            <w:hyperlink w:anchor="page118">
              <w:r>
                <w:rPr>
                  <w:rFonts w:ascii="Arial" w:cs="Arial" w:eastAsia="Arial" w:hAnsi="Arial"/>
                  <w:sz w:val="22"/>
                  <w:szCs w:val="22"/>
                  <w:color w:val="auto"/>
                </w:rPr>
                <w:t>44</w:t>
              </w:r>
            </w:hyperlink>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Section 7.03 .</w:t>
            </w:r>
          </w:p>
        </w:tc>
        <w:tc>
          <w:tcPr>
            <w:tcW w:w="9060" w:type="dxa"/>
            <w:vAlign w:val="bottom"/>
          </w:tcPr>
          <w:p>
            <w:pPr>
              <w:ind w:left="320"/>
              <w:spacing w:after="0"/>
              <w:rPr>
                <w:sz w:val="20"/>
                <w:szCs w:val="20"/>
                <w:color w:val="auto"/>
              </w:rPr>
            </w:pPr>
            <w:r>
              <w:rPr>
                <w:rFonts w:ascii="Arial" w:cs="Arial" w:eastAsia="Arial" w:hAnsi="Arial"/>
                <w:sz w:val="22"/>
                <w:szCs w:val="22"/>
                <w:i w:val="1"/>
                <w:iCs w:val="1"/>
                <w:color w:val="auto"/>
              </w:rPr>
              <w:t>No Responsibility for Recitals, Etc.</w:t>
            </w:r>
          </w:p>
        </w:tc>
        <w:tc>
          <w:tcPr>
            <w:tcW w:w="700" w:type="dxa"/>
            <w:vAlign w:val="bottom"/>
          </w:tcPr>
          <w:p>
            <w:pPr>
              <w:jc w:val="right"/>
              <w:spacing w:after="0"/>
              <w:rPr>
                <w:rFonts w:ascii="Arial" w:cs="Arial" w:eastAsia="Arial" w:hAnsi="Arial"/>
                <w:sz w:val="22"/>
                <w:szCs w:val="22"/>
                <w:color w:val="auto"/>
              </w:rPr>
            </w:pPr>
            <w:hyperlink w:anchor="page120">
              <w:r>
                <w:rPr>
                  <w:rFonts w:ascii="Arial" w:cs="Arial" w:eastAsia="Arial" w:hAnsi="Arial"/>
                  <w:sz w:val="22"/>
                  <w:szCs w:val="22"/>
                  <w:color w:val="auto"/>
                </w:rPr>
                <w:t>46</w:t>
              </w:r>
            </w:hyperlink>
          </w:p>
        </w:tc>
      </w:tr>
      <w:tr>
        <w:trPr>
          <w:trHeight w:val="266"/>
        </w:trPr>
        <w:tc>
          <w:tcPr>
            <w:tcW w:w="1500" w:type="dxa"/>
            <w:vAlign w:val="bottom"/>
          </w:tcPr>
          <w:p>
            <w:pPr>
              <w:spacing w:after="0"/>
              <w:rPr>
                <w:sz w:val="20"/>
                <w:szCs w:val="20"/>
                <w:color w:val="auto"/>
              </w:rPr>
            </w:pPr>
            <w:r>
              <w:rPr>
                <w:rFonts w:ascii="Arial" w:cs="Arial" w:eastAsia="Arial" w:hAnsi="Arial"/>
                <w:sz w:val="22"/>
                <w:szCs w:val="22"/>
                <w:color w:val="auto"/>
              </w:rPr>
              <w:t>Section 7.04 .</w:t>
            </w:r>
          </w:p>
        </w:tc>
        <w:tc>
          <w:tcPr>
            <w:tcW w:w="9060" w:type="dxa"/>
            <w:vAlign w:val="bottom"/>
          </w:tcPr>
          <w:p>
            <w:pPr>
              <w:ind w:left="320"/>
              <w:spacing w:after="0"/>
              <w:rPr>
                <w:sz w:val="20"/>
                <w:szCs w:val="20"/>
                <w:color w:val="auto"/>
              </w:rPr>
            </w:pPr>
            <w:r>
              <w:rPr>
                <w:rFonts w:ascii="Arial" w:cs="Arial" w:eastAsia="Arial" w:hAnsi="Arial"/>
                <w:sz w:val="22"/>
                <w:szCs w:val="22"/>
                <w:i w:val="1"/>
                <w:iCs w:val="1"/>
                <w:color w:val="auto"/>
                <w:w w:val="94"/>
              </w:rPr>
              <w:t>Trustee, Paying Agents, Conversion Agents, Bid Solicitation Agent or Note Registrar May Own</w:t>
            </w:r>
          </w:p>
        </w:tc>
        <w:tc>
          <w:tcPr>
            <w:tcW w:w="700" w:type="dxa"/>
            <w:vAlign w:val="bottom"/>
          </w:tcPr>
          <w:p>
            <w:pPr>
              <w:spacing w:after="0"/>
              <w:rPr>
                <w:sz w:val="23"/>
                <w:szCs w:val="23"/>
                <w:color w:val="auto"/>
              </w:rPr>
            </w:pPr>
          </w:p>
        </w:tc>
      </w:tr>
      <w:tr>
        <w:trPr>
          <w:trHeight w:val="275"/>
        </w:trPr>
        <w:tc>
          <w:tcPr>
            <w:tcW w:w="1500" w:type="dxa"/>
            <w:vAlign w:val="bottom"/>
          </w:tcPr>
          <w:p>
            <w:pPr>
              <w:spacing w:after="0"/>
              <w:rPr>
                <w:sz w:val="23"/>
                <w:szCs w:val="23"/>
                <w:color w:val="auto"/>
              </w:rPr>
            </w:pPr>
          </w:p>
        </w:tc>
        <w:tc>
          <w:tcPr>
            <w:tcW w:w="9060" w:type="dxa"/>
            <w:vAlign w:val="bottom"/>
          </w:tcPr>
          <w:p>
            <w:pPr>
              <w:ind w:left="320"/>
              <w:spacing w:after="0"/>
              <w:rPr>
                <w:sz w:val="20"/>
                <w:szCs w:val="20"/>
                <w:color w:val="auto"/>
              </w:rPr>
            </w:pPr>
            <w:r>
              <w:rPr>
                <w:rFonts w:ascii="Arial" w:cs="Arial" w:eastAsia="Arial" w:hAnsi="Arial"/>
                <w:sz w:val="22"/>
                <w:szCs w:val="22"/>
                <w:i w:val="1"/>
                <w:iCs w:val="1"/>
                <w:color w:val="auto"/>
              </w:rPr>
              <w:t>Notes</w:t>
            </w:r>
          </w:p>
        </w:tc>
        <w:tc>
          <w:tcPr>
            <w:tcW w:w="700" w:type="dxa"/>
            <w:vAlign w:val="bottom"/>
          </w:tcPr>
          <w:p>
            <w:pPr>
              <w:jc w:val="right"/>
              <w:spacing w:after="0"/>
              <w:rPr>
                <w:rFonts w:ascii="Arial" w:cs="Arial" w:eastAsia="Arial" w:hAnsi="Arial"/>
                <w:sz w:val="22"/>
                <w:szCs w:val="22"/>
                <w:color w:val="auto"/>
              </w:rPr>
            </w:pPr>
            <w:hyperlink w:anchor="page120">
              <w:r>
                <w:rPr>
                  <w:rFonts w:ascii="Arial" w:cs="Arial" w:eastAsia="Arial" w:hAnsi="Arial"/>
                  <w:sz w:val="22"/>
                  <w:szCs w:val="22"/>
                  <w:color w:val="auto"/>
                </w:rPr>
                <w:t>46</w:t>
              </w:r>
            </w:hyperlink>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Section 7.05 .</w:t>
            </w:r>
          </w:p>
        </w:tc>
        <w:tc>
          <w:tcPr>
            <w:tcW w:w="9060" w:type="dxa"/>
            <w:vAlign w:val="bottom"/>
          </w:tcPr>
          <w:p>
            <w:pPr>
              <w:ind w:left="320"/>
              <w:spacing w:after="0"/>
              <w:rPr>
                <w:sz w:val="20"/>
                <w:szCs w:val="20"/>
                <w:color w:val="auto"/>
              </w:rPr>
            </w:pPr>
            <w:r>
              <w:rPr>
                <w:rFonts w:ascii="Arial" w:cs="Arial" w:eastAsia="Arial" w:hAnsi="Arial"/>
                <w:sz w:val="22"/>
                <w:szCs w:val="22"/>
                <w:i w:val="1"/>
                <w:iCs w:val="1"/>
                <w:color w:val="auto"/>
              </w:rPr>
              <w:t>Monies and Shares of Common Stock to Be Held in Trust</w:t>
            </w:r>
          </w:p>
        </w:tc>
        <w:tc>
          <w:tcPr>
            <w:tcW w:w="700" w:type="dxa"/>
            <w:vAlign w:val="bottom"/>
          </w:tcPr>
          <w:p>
            <w:pPr>
              <w:jc w:val="right"/>
              <w:spacing w:after="0"/>
              <w:rPr>
                <w:rFonts w:ascii="Arial" w:cs="Arial" w:eastAsia="Arial" w:hAnsi="Arial"/>
                <w:sz w:val="22"/>
                <w:szCs w:val="22"/>
                <w:color w:val="auto"/>
              </w:rPr>
            </w:pPr>
            <w:hyperlink w:anchor="page120">
              <w:r>
                <w:rPr>
                  <w:rFonts w:ascii="Arial" w:cs="Arial" w:eastAsia="Arial" w:hAnsi="Arial"/>
                  <w:sz w:val="22"/>
                  <w:szCs w:val="22"/>
                  <w:color w:val="auto"/>
                </w:rPr>
                <w:t>46</w:t>
              </w:r>
            </w:hyperlink>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Section 7.06 .</w:t>
            </w:r>
          </w:p>
        </w:tc>
        <w:tc>
          <w:tcPr>
            <w:tcW w:w="9060" w:type="dxa"/>
            <w:vAlign w:val="bottom"/>
          </w:tcPr>
          <w:p>
            <w:pPr>
              <w:ind w:left="320"/>
              <w:spacing w:after="0"/>
              <w:rPr>
                <w:sz w:val="20"/>
                <w:szCs w:val="20"/>
                <w:color w:val="auto"/>
              </w:rPr>
            </w:pPr>
            <w:r>
              <w:rPr>
                <w:rFonts w:ascii="Arial" w:cs="Arial" w:eastAsia="Arial" w:hAnsi="Arial"/>
                <w:sz w:val="22"/>
                <w:szCs w:val="22"/>
                <w:i w:val="1"/>
                <w:iCs w:val="1"/>
                <w:color w:val="auto"/>
              </w:rPr>
              <w:t>Compensation and Expenses of Trustee</w:t>
            </w:r>
          </w:p>
        </w:tc>
        <w:tc>
          <w:tcPr>
            <w:tcW w:w="700" w:type="dxa"/>
            <w:vAlign w:val="bottom"/>
          </w:tcPr>
          <w:p>
            <w:pPr>
              <w:jc w:val="right"/>
              <w:spacing w:after="0"/>
              <w:rPr>
                <w:rFonts w:ascii="Arial" w:cs="Arial" w:eastAsia="Arial" w:hAnsi="Arial"/>
                <w:sz w:val="22"/>
                <w:szCs w:val="22"/>
                <w:color w:val="auto"/>
              </w:rPr>
            </w:pPr>
            <w:hyperlink w:anchor="page120">
              <w:r>
                <w:rPr>
                  <w:rFonts w:ascii="Arial" w:cs="Arial" w:eastAsia="Arial" w:hAnsi="Arial"/>
                  <w:sz w:val="22"/>
                  <w:szCs w:val="22"/>
                  <w:color w:val="auto"/>
                </w:rPr>
                <w:t>46</w:t>
              </w:r>
            </w:hyperlink>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Section 7.07 .</w:t>
            </w:r>
          </w:p>
        </w:tc>
        <w:tc>
          <w:tcPr>
            <w:tcW w:w="9060" w:type="dxa"/>
            <w:vAlign w:val="bottom"/>
          </w:tcPr>
          <w:p>
            <w:pPr>
              <w:ind w:left="320"/>
              <w:spacing w:after="0"/>
              <w:rPr>
                <w:sz w:val="20"/>
                <w:szCs w:val="20"/>
                <w:color w:val="auto"/>
              </w:rPr>
            </w:pPr>
            <w:r>
              <w:rPr>
                <w:rFonts w:ascii="Arial" w:cs="Arial" w:eastAsia="Arial" w:hAnsi="Arial"/>
                <w:sz w:val="22"/>
                <w:szCs w:val="22"/>
                <w:i w:val="1"/>
                <w:iCs w:val="1"/>
                <w:color w:val="auto"/>
              </w:rPr>
              <w:t>[Reserved]</w:t>
            </w:r>
          </w:p>
        </w:tc>
        <w:tc>
          <w:tcPr>
            <w:tcW w:w="700" w:type="dxa"/>
            <w:vAlign w:val="bottom"/>
          </w:tcPr>
          <w:p>
            <w:pPr>
              <w:jc w:val="right"/>
              <w:spacing w:after="0"/>
              <w:rPr>
                <w:rFonts w:ascii="Arial" w:cs="Arial" w:eastAsia="Arial" w:hAnsi="Arial"/>
                <w:sz w:val="22"/>
                <w:szCs w:val="22"/>
                <w:color w:val="auto"/>
              </w:rPr>
            </w:pPr>
            <w:hyperlink w:anchor="page121">
              <w:r>
                <w:rPr>
                  <w:rFonts w:ascii="Arial" w:cs="Arial" w:eastAsia="Arial" w:hAnsi="Arial"/>
                  <w:sz w:val="22"/>
                  <w:szCs w:val="22"/>
                  <w:color w:val="auto"/>
                </w:rPr>
                <w:t>47</w:t>
              </w:r>
            </w:hyperlink>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Section 7.08 .</w:t>
            </w:r>
          </w:p>
        </w:tc>
        <w:tc>
          <w:tcPr>
            <w:tcW w:w="9060" w:type="dxa"/>
            <w:vAlign w:val="bottom"/>
          </w:tcPr>
          <w:p>
            <w:pPr>
              <w:ind w:left="320"/>
              <w:spacing w:after="0"/>
              <w:rPr>
                <w:sz w:val="20"/>
                <w:szCs w:val="20"/>
                <w:color w:val="auto"/>
              </w:rPr>
            </w:pPr>
            <w:r>
              <w:rPr>
                <w:rFonts w:ascii="Arial" w:cs="Arial" w:eastAsia="Arial" w:hAnsi="Arial"/>
                <w:sz w:val="22"/>
                <w:szCs w:val="22"/>
                <w:i w:val="1"/>
                <w:iCs w:val="1"/>
                <w:color w:val="auto"/>
              </w:rPr>
              <w:t>Eligibility of Trustee</w:t>
            </w:r>
          </w:p>
        </w:tc>
        <w:tc>
          <w:tcPr>
            <w:tcW w:w="700" w:type="dxa"/>
            <w:vAlign w:val="bottom"/>
          </w:tcPr>
          <w:p>
            <w:pPr>
              <w:jc w:val="right"/>
              <w:spacing w:after="0"/>
              <w:rPr>
                <w:rFonts w:ascii="Arial" w:cs="Arial" w:eastAsia="Arial" w:hAnsi="Arial"/>
                <w:sz w:val="22"/>
                <w:szCs w:val="22"/>
                <w:color w:val="auto"/>
              </w:rPr>
            </w:pPr>
            <w:hyperlink w:anchor="page121">
              <w:r>
                <w:rPr>
                  <w:rFonts w:ascii="Arial" w:cs="Arial" w:eastAsia="Arial" w:hAnsi="Arial"/>
                  <w:sz w:val="22"/>
                  <w:szCs w:val="22"/>
                  <w:color w:val="auto"/>
                </w:rPr>
                <w:t>47</w:t>
              </w:r>
            </w:hyperlink>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Section 7.09 .</w:t>
            </w:r>
          </w:p>
        </w:tc>
        <w:tc>
          <w:tcPr>
            <w:tcW w:w="9060" w:type="dxa"/>
            <w:vAlign w:val="bottom"/>
          </w:tcPr>
          <w:p>
            <w:pPr>
              <w:ind w:left="320"/>
              <w:spacing w:after="0"/>
              <w:rPr>
                <w:sz w:val="20"/>
                <w:szCs w:val="20"/>
                <w:color w:val="auto"/>
              </w:rPr>
            </w:pPr>
            <w:r>
              <w:rPr>
                <w:rFonts w:ascii="Arial" w:cs="Arial" w:eastAsia="Arial" w:hAnsi="Arial"/>
                <w:sz w:val="22"/>
                <w:szCs w:val="22"/>
                <w:i w:val="1"/>
                <w:iCs w:val="1"/>
                <w:color w:val="auto"/>
              </w:rPr>
              <w:t>Resignation or Removal of Trustee</w:t>
            </w:r>
          </w:p>
        </w:tc>
        <w:tc>
          <w:tcPr>
            <w:tcW w:w="700" w:type="dxa"/>
            <w:vAlign w:val="bottom"/>
          </w:tcPr>
          <w:p>
            <w:pPr>
              <w:jc w:val="right"/>
              <w:spacing w:after="0"/>
              <w:rPr>
                <w:rFonts w:ascii="Arial" w:cs="Arial" w:eastAsia="Arial" w:hAnsi="Arial"/>
                <w:sz w:val="22"/>
                <w:szCs w:val="22"/>
                <w:color w:val="auto"/>
              </w:rPr>
            </w:pPr>
            <w:hyperlink w:anchor="page121">
              <w:r>
                <w:rPr>
                  <w:rFonts w:ascii="Arial" w:cs="Arial" w:eastAsia="Arial" w:hAnsi="Arial"/>
                  <w:sz w:val="22"/>
                  <w:szCs w:val="22"/>
                  <w:color w:val="auto"/>
                </w:rPr>
                <w:t>47</w:t>
              </w:r>
            </w:hyperlink>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Section 7.10 .</w:t>
            </w:r>
          </w:p>
        </w:tc>
        <w:tc>
          <w:tcPr>
            <w:tcW w:w="9060" w:type="dxa"/>
            <w:vAlign w:val="bottom"/>
          </w:tcPr>
          <w:p>
            <w:pPr>
              <w:ind w:left="320"/>
              <w:spacing w:after="0"/>
              <w:rPr>
                <w:sz w:val="20"/>
                <w:szCs w:val="20"/>
                <w:color w:val="auto"/>
              </w:rPr>
            </w:pPr>
            <w:r>
              <w:rPr>
                <w:rFonts w:ascii="Arial" w:cs="Arial" w:eastAsia="Arial" w:hAnsi="Arial"/>
                <w:sz w:val="22"/>
                <w:szCs w:val="22"/>
                <w:i w:val="1"/>
                <w:iCs w:val="1"/>
                <w:color w:val="auto"/>
              </w:rPr>
              <w:t>Acceptance by Successor Trustee</w:t>
            </w:r>
          </w:p>
        </w:tc>
        <w:tc>
          <w:tcPr>
            <w:tcW w:w="700" w:type="dxa"/>
            <w:vAlign w:val="bottom"/>
          </w:tcPr>
          <w:p>
            <w:pPr>
              <w:jc w:val="right"/>
              <w:spacing w:after="0"/>
              <w:rPr>
                <w:rFonts w:ascii="Arial" w:cs="Arial" w:eastAsia="Arial" w:hAnsi="Arial"/>
                <w:sz w:val="22"/>
                <w:szCs w:val="22"/>
                <w:color w:val="auto"/>
              </w:rPr>
            </w:pPr>
            <w:hyperlink w:anchor="page122">
              <w:r>
                <w:rPr>
                  <w:rFonts w:ascii="Arial" w:cs="Arial" w:eastAsia="Arial" w:hAnsi="Arial"/>
                  <w:sz w:val="22"/>
                  <w:szCs w:val="22"/>
                  <w:color w:val="auto"/>
                </w:rPr>
                <w:t>48</w:t>
              </w:r>
            </w:hyperlink>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Section 7.11 .</w:t>
            </w:r>
          </w:p>
        </w:tc>
        <w:tc>
          <w:tcPr>
            <w:tcW w:w="9060" w:type="dxa"/>
            <w:vAlign w:val="bottom"/>
          </w:tcPr>
          <w:p>
            <w:pPr>
              <w:ind w:left="320"/>
              <w:spacing w:after="0"/>
              <w:rPr>
                <w:sz w:val="20"/>
                <w:szCs w:val="20"/>
                <w:color w:val="auto"/>
              </w:rPr>
            </w:pPr>
            <w:r>
              <w:rPr>
                <w:rFonts w:ascii="Arial" w:cs="Arial" w:eastAsia="Arial" w:hAnsi="Arial"/>
                <w:sz w:val="22"/>
                <w:szCs w:val="22"/>
                <w:i w:val="1"/>
                <w:iCs w:val="1"/>
                <w:color w:val="auto"/>
              </w:rPr>
              <w:t>Succession by Merger, Etc.</w:t>
            </w:r>
          </w:p>
        </w:tc>
        <w:tc>
          <w:tcPr>
            <w:tcW w:w="700" w:type="dxa"/>
            <w:vAlign w:val="bottom"/>
          </w:tcPr>
          <w:p>
            <w:pPr>
              <w:jc w:val="right"/>
              <w:spacing w:after="0"/>
              <w:rPr>
                <w:rFonts w:ascii="Arial" w:cs="Arial" w:eastAsia="Arial" w:hAnsi="Arial"/>
                <w:sz w:val="22"/>
                <w:szCs w:val="22"/>
                <w:color w:val="auto"/>
              </w:rPr>
            </w:pPr>
            <w:hyperlink w:anchor="page123">
              <w:r>
                <w:rPr>
                  <w:rFonts w:ascii="Arial" w:cs="Arial" w:eastAsia="Arial" w:hAnsi="Arial"/>
                  <w:sz w:val="22"/>
                  <w:szCs w:val="22"/>
                  <w:color w:val="auto"/>
                </w:rPr>
                <w:t>49</w:t>
              </w:r>
            </w:hyperlink>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Section 7.12 .</w:t>
            </w:r>
          </w:p>
        </w:tc>
        <w:tc>
          <w:tcPr>
            <w:tcW w:w="9060" w:type="dxa"/>
            <w:vAlign w:val="bottom"/>
          </w:tcPr>
          <w:p>
            <w:pPr>
              <w:ind w:left="320"/>
              <w:spacing w:after="0"/>
              <w:rPr>
                <w:sz w:val="20"/>
                <w:szCs w:val="20"/>
                <w:color w:val="auto"/>
              </w:rPr>
            </w:pPr>
            <w:r>
              <w:rPr>
                <w:rFonts w:ascii="Arial" w:cs="Arial" w:eastAsia="Arial" w:hAnsi="Arial"/>
                <w:sz w:val="22"/>
                <w:szCs w:val="22"/>
                <w:i w:val="1"/>
                <w:iCs w:val="1"/>
                <w:color w:val="auto"/>
              </w:rPr>
              <w:t>Trustee's Application for Instructions from the Company</w:t>
            </w:r>
          </w:p>
        </w:tc>
        <w:tc>
          <w:tcPr>
            <w:tcW w:w="700" w:type="dxa"/>
            <w:vAlign w:val="bottom"/>
          </w:tcPr>
          <w:p>
            <w:pPr>
              <w:jc w:val="right"/>
              <w:spacing w:after="0"/>
              <w:rPr>
                <w:rFonts w:ascii="Arial" w:cs="Arial" w:eastAsia="Arial" w:hAnsi="Arial"/>
                <w:sz w:val="22"/>
                <w:szCs w:val="22"/>
                <w:color w:val="auto"/>
              </w:rPr>
            </w:pPr>
            <w:hyperlink w:anchor="page124">
              <w:r>
                <w:rPr>
                  <w:rFonts w:ascii="Arial" w:cs="Arial" w:eastAsia="Arial" w:hAnsi="Arial"/>
                  <w:sz w:val="22"/>
                  <w:szCs w:val="22"/>
                  <w:color w:val="auto"/>
                </w:rPr>
                <w:t>50</w:t>
              </w:r>
            </w:hyperlink>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Section 7.13 .</w:t>
            </w:r>
          </w:p>
        </w:tc>
        <w:tc>
          <w:tcPr>
            <w:tcW w:w="9060" w:type="dxa"/>
            <w:vAlign w:val="bottom"/>
          </w:tcPr>
          <w:p>
            <w:pPr>
              <w:ind w:left="320"/>
              <w:spacing w:after="0"/>
              <w:rPr>
                <w:sz w:val="20"/>
                <w:szCs w:val="20"/>
                <w:color w:val="auto"/>
              </w:rPr>
            </w:pPr>
            <w:r>
              <w:rPr>
                <w:rFonts w:ascii="Arial" w:cs="Arial" w:eastAsia="Arial" w:hAnsi="Arial"/>
                <w:sz w:val="22"/>
                <w:szCs w:val="22"/>
                <w:i w:val="1"/>
                <w:iCs w:val="1"/>
                <w:color w:val="auto"/>
              </w:rPr>
              <w:t>Conflicting Interests of Trustee</w:t>
            </w:r>
          </w:p>
        </w:tc>
        <w:tc>
          <w:tcPr>
            <w:tcW w:w="700" w:type="dxa"/>
            <w:vAlign w:val="bottom"/>
          </w:tcPr>
          <w:p>
            <w:pPr>
              <w:jc w:val="right"/>
              <w:spacing w:after="0"/>
              <w:rPr>
                <w:rFonts w:ascii="Arial" w:cs="Arial" w:eastAsia="Arial" w:hAnsi="Arial"/>
                <w:sz w:val="22"/>
                <w:szCs w:val="22"/>
                <w:color w:val="auto"/>
              </w:rPr>
            </w:pPr>
            <w:hyperlink w:anchor="page124">
              <w:r>
                <w:rPr>
                  <w:rFonts w:ascii="Arial" w:cs="Arial" w:eastAsia="Arial" w:hAnsi="Arial"/>
                  <w:sz w:val="22"/>
                  <w:szCs w:val="22"/>
                  <w:color w:val="auto"/>
                </w:rPr>
                <w:t>50</w:t>
              </w:r>
            </w:hyperlink>
          </w:p>
        </w:tc>
      </w:tr>
      <w:tr>
        <w:trPr>
          <w:trHeight w:val="482"/>
        </w:trPr>
        <w:tc>
          <w:tcPr>
            <w:tcW w:w="1500" w:type="dxa"/>
            <w:vAlign w:val="bottom"/>
          </w:tcPr>
          <w:p>
            <w:pPr>
              <w:spacing w:after="0"/>
              <w:rPr>
                <w:sz w:val="24"/>
                <w:szCs w:val="24"/>
                <w:color w:val="auto"/>
              </w:rPr>
            </w:pPr>
          </w:p>
        </w:tc>
        <w:tc>
          <w:tcPr>
            <w:tcW w:w="9060" w:type="dxa"/>
            <w:vAlign w:val="bottom"/>
          </w:tcPr>
          <w:p>
            <w:pPr>
              <w:jc w:val="center"/>
              <w:ind w:right="732"/>
              <w:spacing w:after="0"/>
              <w:rPr>
                <w:rFonts w:ascii="Arial" w:cs="Arial" w:eastAsia="Arial" w:hAnsi="Arial"/>
                <w:sz w:val="22"/>
                <w:szCs w:val="22"/>
                <w:color w:val="auto"/>
                <w:w w:val="95"/>
              </w:rPr>
            </w:pPr>
            <w:hyperlink w:anchor="page124">
              <w:r>
                <w:rPr>
                  <w:rFonts w:ascii="Arial" w:cs="Arial" w:eastAsia="Arial" w:hAnsi="Arial"/>
                  <w:sz w:val="22"/>
                  <w:szCs w:val="22"/>
                  <w:color w:val="auto"/>
                  <w:w w:val="95"/>
                </w:rPr>
                <w:t>ARTICLE 8</w:t>
              </w:r>
            </w:hyperlink>
          </w:p>
        </w:tc>
        <w:tc>
          <w:tcPr>
            <w:tcW w:w="700" w:type="dxa"/>
            <w:vAlign w:val="bottom"/>
          </w:tcPr>
          <w:p>
            <w:pPr>
              <w:spacing w:after="0"/>
              <w:rPr>
                <w:sz w:val="24"/>
                <w:szCs w:val="24"/>
                <w:color w:val="auto"/>
              </w:rPr>
            </w:pPr>
          </w:p>
        </w:tc>
      </w:tr>
      <w:tr>
        <w:trPr>
          <w:trHeight w:val="275"/>
        </w:trPr>
        <w:tc>
          <w:tcPr>
            <w:tcW w:w="1500" w:type="dxa"/>
            <w:vAlign w:val="bottom"/>
          </w:tcPr>
          <w:p>
            <w:pPr>
              <w:spacing w:after="0"/>
              <w:rPr>
                <w:sz w:val="23"/>
                <w:szCs w:val="23"/>
                <w:color w:val="auto"/>
              </w:rPr>
            </w:pPr>
          </w:p>
        </w:tc>
        <w:tc>
          <w:tcPr>
            <w:tcW w:w="9060" w:type="dxa"/>
            <w:vAlign w:val="bottom"/>
          </w:tcPr>
          <w:p>
            <w:pPr>
              <w:jc w:val="center"/>
              <w:ind w:right="692"/>
              <w:spacing w:after="0"/>
              <w:rPr>
                <w:sz w:val="20"/>
                <w:szCs w:val="20"/>
                <w:color w:val="auto"/>
              </w:rPr>
            </w:pPr>
            <w:r>
              <w:rPr>
                <w:rFonts w:ascii="Arial" w:cs="Arial" w:eastAsia="Arial" w:hAnsi="Arial"/>
                <w:sz w:val="22"/>
                <w:szCs w:val="22"/>
                <w:color w:val="auto"/>
                <w:w w:val="93"/>
              </w:rPr>
              <w:t>CONCERNING THE HOLDERS</w:t>
            </w:r>
          </w:p>
        </w:tc>
        <w:tc>
          <w:tcPr>
            <w:tcW w:w="700" w:type="dxa"/>
            <w:vAlign w:val="bottom"/>
          </w:tcPr>
          <w:p>
            <w:pPr>
              <w:spacing w:after="0"/>
              <w:rPr>
                <w:sz w:val="23"/>
                <w:szCs w:val="23"/>
                <w:color w:val="auto"/>
              </w:rPr>
            </w:pPr>
          </w:p>
        </w:tc>
      </w:tr>
      <w:tr>
        <w:trPr>
          <w:trHeight w:val="405"/>
        </w:trPr>
        <w:tc>
          <w:tcPr>
            <w:tcW w:w="1500" w:type="dxa"/>
            <w:vAlign w:val="bottom"/>
          </w:tcPr>
          <w:p>
            <w:pPr>
              <w:spacing w:after="0"/>
              <w:rPr>
                <w:sz w:val="20"/>
                <w:szCs w:val="20"/>
                <w:color w:val="auto"/>
              </w:rPr>
            </w:pPr>
            <w:r>
              <w:rPr>
                <w:rFonts w:ascii="Arial" w:cs="Arial" w:eastAsia="Arial" w:hAnsi="Arial"/>
                <w:sz w:val="22"/>
                <w:szCs w:val="22"/>
                <w:color w:val="auto"/>
              </w:rPr>
              <w:t>Section 8.01 .</w:t>
            </w:r>
          </w:p>
        </w:tc>
        <w:tc>
          <w:tcPr>
            <w:tcW w:w="9060" w:type="dxa"/>
            <w:vAlign w:val="bottom"/>
          </w:tcPr>
          <w:p>
            <w:pPr>
              <w:ind w:left="320"/>
              <w:spacing w:after="0"/>
              <w:rPr>
                <w:sz w:val="20"/>
                <w:szCs w:val="20"/>
                <w:color w:val="auto"/>
              </w:rPr>
            </w:pPr>
            <w:r>
              <w:rPr>
                <w:rFonts w:ascii="Arial" w:cs="Arial" w:eastAsia="Arial" w:hAnsi="Arial"/>
                <w:sz w:val="22"/>
                <w:szCs w:val="22"/>
                <w:i w:val="1"/>
                <w:iCs w:val="1"/>
                <w:color w:val="auto"/>
              </w:rPr>
              <w:t>Action by Holders</w:t>
            </w:r>
          </w:p>
        </w:tc>
        <w:tc>
          <w:tcPr>
            <w:tcW w:w="700" w:type="dxa"/>
            <w:vAlign w:val="bottom"/>
          </w:tcPr>
          <w:p>
            <w:pPr>
              <w:jc w:val="right"/>
              <w:spacing w:after="0"/>
              <w:rPr>
                <w:rFonts w:ascii="Arial" w:cs="Arial" w:eastAsia="Arial" w:hAnsi="Arial"/>
                <w:sz w:val="22"/>
                <w:szCs w:val="22"/>
                <w:color w:val="auto"/>
              </w:rPr>
            </w:pPr>
            <w:hyperlink w:anchor="page124">
              <w:r>
                <w:rPr>
                  <w:rFonts w:ascii="Arial" w:cs="Arial" w:eastAsia="Arial" w:hAnsi="Arial"/>
                  <w:sz w:val="22"/>
                  <w:szCs w:val="22"/>
                  <w:color w:val="auto"/>
                </w:rPr>
                <w:t>50</w:t>
              </w:r>
            </w:hyperlink>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Section 8.02 .</w:t>
            </w:r>
          </w:p>
        </w:tc>
        <w:tc>
          <w:tcPr>
            <w:tcW w:w="9060" w:type="dxa"/>
            <w:vAlign w:val="bottom"/>
          </w:tcPr>
          <w:p>
            <w:pPr>
              <w:ind w:left="320"/>
              <w:spacing w:after="0"/>
              <w:rPr>
                <w:sz w:val="20"/>
                <w:szCs w:val="20"/>
                <w:color w:val="auto"/>
              </w:rPr>
            </w:pPr>
            <w:r>
              <w:rPr>
                <w:rFonts w:ascii="Arial" w:cs="Arial" w:eastAsia="Arial" w:hAnsi="Arial"/>
                <w:sz w:val="22"/>
                <w:szCs w:val="22"/>
                <w:i w:val="1"/>
                <w:iCs w:val="1"/>
                <w:color w:val="auto"/>
              </w:rPr>
              <w:t>Proof of Execution by Holders</w:t>
            </w:r>
          </w:p>
        </w:tc>
        <w:tc>
          <w:tcPr>
            <w:tcW w:w="700" w:type="dxa"/>
            <w:vAlign w:val="bottom"/>
          </w:tcPr>
          <w:p>
            <w:pPr>
              <w:jc w:val="right"/>
              <w:spacing w:after="0"/>
              <w:rPr>
                <w:rFonts w:ascii="Arial" w:cs="Arial" w:eastAsia="Arial" w:hAnsi="Arial"/>
                <w:sz w:val="22"/>
                <w:szCs w:val="22"/>
                <w:color w:val="auto"/>
              </w:rPr>
            </w:pPr>
            <w:hyperlink w:anchor="page124">
              <w:r>
                <w:rPr>
                  <w:rFonts w:ascii="Arial" w:cs="Arial" w:eastAsia="Arial" w:hAnsi="Arial"/>
                  <w:sz w:val="22"/>
                  <w:szCs w:val="22"/>
                  <w:color w:val="auto"/>
                </w:rPr>
                <w:t>50</w:t>
              </w:r>
            </w:hyperlink>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Section 8.03 .</w:t>
            </w:r>
          </w:p>
        </w:tc>
        <w:tc>
          <w:tcPr>
            <w:tcW w:w="9060" w:type="dxa"/>
            <w:vAlign w:val="bottom"/>
          </w:tcPr>
          <w:p>
            <w:pPr>
              <w:ind w:left="320"/>
              <w:spacing w:after="0"/>
              <w:rPr>
                <w:sz w:val="20"/>
                <w:szCs w:val="20"/>
                <w:color w:val="auto"/>
              </w:rPr>
            </w:pPr>
            <w:r>
              <w:rPr>
                <w:rFonts w:ascii="Arial" w:cs="Arial" w:eastAsia="Arial" w:hAnsi="Arial"/>
                <w:sz w:val="22"/>
                <w:szCs w:val="22"/>
                <w:i w:val="1"/>
                <w:iCs w:val="1"/>
                <w:color w:val="auto"/>
              </w:rPr>
              <w:t>Who Are Deemed Absolute Owners</w:t>
            </w:r>
          </w:p>
        </w:tc>
        <w:tc>
          <w:tcPr>
            <w:tcW w:w="700" w:type="dxa"/>
            <w:vAlign w:val="bottom"/>
          </w:tcPr>
          <w:p>
            <w:pPr>
              <w:jc w:val="right"/>
              <w:spacing w:after="0"/>
              <w:rPr>
                <w:rFonts w:ascii="Arial" w:cs="Arial" w:eastAsia="Arial" w:hAnsi="Arial"/>
                <w:sz w:val="22"/>
                <w:szCs w:val="22"/>
                <w:color w:val="auto"/>
              </w:rPr>
            </w:pPr>
            <w:hyperlink w:anchor="page124">
              <w:r>
                <w:rPr>
                  <w:rFonts w:ascii="Arial" w:cs="Arial" w:eastAsia="Arial" w:hAnsi="Arial"/>
                  <w:sz w:val="22"/>
                  <w:szCs w:val="22"/>
                  <w:color w:val="auto"/>
                </w:rPr>
                <w:t>50</w:t>
              </w:r>
            </w:hyperlink>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Section 8.04 .</w:t>
            </w:r>
          </w:p>
        </w:tc>
        <w:tc>
          <w:tcPr>
            <w:tcW w:w="9060" w:type="dxa"/>
            <w:vAlign w:val="bottom"/>
          </w:tcPr>
          <w:p>
            <w:pPr>
              <w:ind w:left="320"/>
              <w:spacing w:after="0"/>
              <w:rPr>
                <w:sz w:val="20"/>
                <w:szCs w:val="20"/>
                <w:color w:val="auto"/>
              </w:rPr>
            </w:pPr>
            <w:r>
              <w:rPr>
                <w:rFonts w:ascii="Arial" w:cs="Arial" w:eastAsia="Arial" w:hAnsi="Arial"/>
                <w:sz w:val="22"/>
                <w:szCs w:val="22"/>
                <w:i w:val="1"/>
                <w:iCs w:val="1"/>
                <w:color w:val="auto"/>
              </w:rPr>
              <w:t>Company-Owned Notes Disregarded</w:t>
            </w:r>
          </w:p>
        </w:tc>
        <w:tc>
          <w:tcPr>
            <w:tcW w:w="700" w:type="dxa"/>
            <w:vAlign w:val="bottom"/>
          </w:tcPr>
          <w:p>
            <w:pPr>
              <w:jc w:val="right"/>
              <w:spacing w:after="0"/>
              <w:rPr>
                <w:rFonts w:ascii="Arial" w:cs="Arial" w:eastAsia="Arial" w:hAnsi="Arial"/>
                <w:sz w:val="22"/>
                <w:szCs w:val="22"/>
                <w:color w:val="auto"/>
              </w:rPr>
            </w:pPr>
            <w:hyperlink w:anchor="page125">
              <w:r>
                <w:rPr>
                  <w:rFonts w:ascii="Arial" w:cs="Arial" w:eastAsia="Arial" w:hAnsi="Arial"/>
                  <w:sz w:val="22"/>
                  <w:szCs w:val="22"/>
                  <w:color w:val="auto"/>
                </w:rPr>
                <w:t>51</w:t>
              </w:r>
            </w:hyperlink>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Section 8.05 .</w:t>
            </w:r>
          </w:p>
        </w:tc>
        <w:tc>
          <w:tcPr>
            <w:tcW w:w="9060" w:type="dxa"/>
            <w:vAlign w:val="bottom"/>
          </w:tcPr>
          <w:p>
            <w:pPr>
              <w:ind w:left="320"/>
              <w:spacing w:after="0"/>
              <w:rPr>
                <w:sz w:val="20"/>
                <w:szCs w:val="20"/>
                <w:color w:val="auto"/>
              </w:rPr>
            </w:pPr>
            <w:r>
              <w:rPr>
                <w:rFonts w:ascii="Arial" w:cs="Arial" w:eastAsia="Arial" w:hAnsi="Arial"/>
                <w:sz w:val="22"/>
                <w:szCs w:val="22"/>
                <w:i w:val="1"/>
                <w:iCs w:val="1"/>
                <w:color w:val="auto"/>
              </w:rPr>
              <w:t>Revocation of Consents; Future Holders Bound</w:t>
            </w:r>
          </w:p>
        </w:tc>
        <w:tc>
          <w:tcPr>
            <w:tcW w:w="700" w:type="dxa"/>
            <w:vAlign w:val="bottom"/>
          </w:tcPr>
          <w:p>
            <w:pPr>
              <w:jc w:val="right"/>
              <w:spacing w:after="0"/>
              <w:rPr>
                <w:rFonts w:ascii="Arial" w:cs="Arial" w:eastAsia="Arial" w:hAnsi="Arial"/>
                <w:sz w:val="22"/>
                <w:szCs w:val="22"/>
                <w:color w:val="auto"/>
              </w:rPr>
            </w:pPr>
            <w:hyperlink w:anchor="page125">
              <w:r>
                <w:rPr>
                  <w:rFonts w:ascii="Arial" w:cs="Arial" w:eastAsia="Arial" w:hAnsi="Arial"/>
                  <w:sz w:val="22"/>
                  <w:szCs w:val="22"/>
                  <w:color w:val="auto"/>
                </w:rPr>
                <w:t>51</w:t>
              </w:r>
            </w:hyperlink>
          </w:p>
        </w:tc>
      </w:tr>
      <w:tr>
        <w:trPr>
          <w:trHeight w:val="743"/>
        </w:trPr>
        <w:tc>
          <w:tcPr>
            <w:tcW w:w="1500" w:type="dxa"/>
            <w:vAlign w:val="bottom"/>
          </w:tcPr>
          <w:p>
            <w:pPr>
              <w:spacing w:after="0"/>
              <w:rPr>
                <w:sz w:val="24"/>
                <w:szCs w:val="24"/>
                <w:color w:val="auto"/>
              </w:rPr>
            </w:pPr>
          </w:p>
        </w:tc>
        <w:tc>
          <w:tcPr>
            <w:tcW w:w="9060" w:type="dxa"/>
            <w:vAlign w:val="bottom"/>
          </w:tcPr>
          <w:p>
            <w:pPr>
              <w:ind w:left="4080"/>
              <w:spacing w:after="0"/>
              <w:rPr>
                <w:sz w:val="20"/>
                <w:szCs w:val="20"/>
                <w:color w:val="auto"/>
              </w:rPr>
            </w:pPr>
            <w:r>
              <w:rPr>
                <w:rFonts w:ascii="Arial" w:cs="Arial" w:eastAsia="Arial" w:hAnsi="Arial"/>
                <w:sz w:val="22"/>
                <w:szCs w:val="22"/>
                <w:color w:val="auto"/>
              </w:rPr>
              <w:t>2</w:t>
            </w:r>
          </w:p>
        </w:tc>
        <w:tc>
          <w:tcPr>
            <w:tcW w:w="700" w:type="dxa"/>
            <w:vAlign w:val="bottom"/>
          </w:tcPr>
          <w:p>
            <w:pPr>
              <w:spacing w:after="0"/>
              <w:rPr>
                <w:sz w:val="24"/>
                <w:szCs w:val="24"/>
                <w:color w:val="auto"/>
              </w:rPr>
            </w:pPr>
          </w:p>
        </w:tc>
      </w:tr>
    </w:tbl>
    <w:p>
      <w:pPr>
        <w:sectPr>
          <w:pgSz w:w="11900" w:h="16838" w:orient="portrait"/>
          <w:cols w:equalWidth="0" w:num="1">
            <w:col w:w="11260"/>
          </w:cols>
          <w:pgMar w:left="320" w:top="375" w:right="319" w:bottom="1440" w:gutter="0" w:footer="0" w:header="0"/>
        </w:sectPr>
      </w:pPr>
    </w:p>
    <w:bookmarkStart w:id="76" w:name="page77"/>
    <w:bookmarkEnd w:id="76"/>
    <w:p>
      <w:pPr>
        <w:ind w:left="5080"/>
        <w:spacing w:after="0"/>
        <w:rPr>
          <w:rFonts w:ascii="Arial" w:cs="Arial" w:eastAsia="Arial" w:hAnsi="Arial"/>
          <w:sz w:val="22"/>
          <w:szCs w:val="22"/>
          <w:color w:val="auto"/>
        </w:rPr>
      </w:pPr>
      <w:hyperlink w:anchor="page126">
        <w:r>
          <w:rPr>
            <w:rFonts w:ascii="Arial" w:cs="Arial" w:eastAsia="Arial" w:hAnsi="Arial"/>
            <w:sz w:val="22"/>
            <w:szCs w:val="22"/>
            <w:color w:val="auto"/>
          </w:rPr>
          <w:t>ARTICLE 9</w:t>
        </w:r>
      </w:hyperlink>
    </w:p>
    <w:p>
      <w:pPr>
        <w:spacing w:after="0" w:line="22"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18" w:lineRule="exact"/>
        <w:rPr>
          <w:sz w:val="20"/>
          <w:szCs w:val="20"/>
          <w:color w:val="auto"/>
        </w:rPr>
      </w:pPr>
    </w:p>
    <w:p>
      <w:pPr>
        <w:jc w:val="center"/>
        <w:ind w:right="40"/>
        <w:spacing w:after="0"/>
        <w:rPr>
          <w:rFonts w:ascii="Arial" w:cs="Arial" w:eastAsia="Arial" w:hAnsi="Arial"/>
          <w:sz w:val="22"/>
          <w:szCs w:val="22"/>
          <w:color w:val="auto"/>
        </w:rPr>
      </w:pPr>
      <w:hyperlink w:anchor="page126">
        <w:r>
          <w:rPr>
            <w:rFonts w:ascii="Arial" w:cs="Arial" w:eastAsia="Arial" w:hAnsi="Arial"/>
            <w:sz w:val="22"/>
            <w:szCs w:val="22"/>
            <w:color w:val="auto"/>
          </w:rPr>
          <w:t>ARTICLE 10</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SUPPLEMENTAL INDENTURES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80" w:type="dxa"/>
            <w:vAlign w:val="bottom"/>
          </w:tcPr>
          <w:p>
            <w:pPr>
              <w:spacing w:after="0"/>
              <w:rPr>
                <w:sz w:val="20"/>
                <w:szCs w:val="20"/>
                <w:color w:val="auto"/>
              </w:rPr>
            </w:pPr>
            <w:r>
              <w:rPr>
                <w:rFonts w:ascii="Arial" w:cs="Arial" w:eastAsia="Arial" w:hAnsi="Arial"/>
                <w:sz w:val="22"/>
                <w:szCs w:val="22"/>
                <w:color w:val="auto"/>
                <w:w w:val="99"/>
              </w:rPr>
              <w:t>Section 10.01 .</w:t>
            </w:r>
          </w:p>
        </w:tc>
        <w:tc>
          <w:tcPr>
            <w:tcW w:w="9100" w:type="dxa"/>
            <w:vAlign w:val="bottom"/>
          </w:tcPr>
          <w:p>
            <w:pPr>
              <w:ind w:left="340"/>
              <w:spacing w:after="0"/>
              <w:rPr>
                <w:sz w:val="20"/>
                <w:szCs w:val="20"/>
                <w:color w:val="auto"/>
              </w:rPr>
            </w:pPr>
            <w:r>
              <w:rPr>
                <w:rFonts w:ascii="Arial" w:cs="Arial" w:eastAsia="Arial" w:hAnsi="Arial"/>
                <w:sz w:val="22"/>
                <w:szCs w:val="22"/>
                <w:i w:val="1"/>
                <w:iCs w:val="1"/>
                <w:color w:val="auto"/>
              </w:rPr>
              <w:t>Supplemental Indentures Without Consent of Holders</w:t>
            </w:r>
          </w:p>
        </w:tc>
        <w:tc>
          <w:tcPr>
            <w:tcW w:w="680" w:type="dxa"/>
            <w:vAlign w:val="bottom"/>
          </w:tcPr>
          <w:p>
            <w:pPr>
              <w:jc w:val="right"/>
              <w:spacing w:after="0"/>
              <w:rPr>
                <w:rFonts w:ascii="Arial" w:cs="Arial" w:eastAsia="Arial" w:hAnsi="Arial"/>
                <w:sz w:val="22"/>
                <w:szCs w:val="22"/>
                <w:color w:val="auto"/>
              </w:rPr>
            </w:pPr>
            <w:hyperlink w:anchor="page126">
              <w:r>
                <w:rPr>
                  <w:rFonts w:ascii="Arial" w:cs="Arial" w:eastAsia="Arial" w:hAnsi="Arial"/>
                  <w:sz w:val="22"/>
                  <w:szCs w:val="22"/>
                  <w:color w:val="auto"/>
                </w:rPr>
                <w:t>52</w:t>
              </w:r>
            </w:hyperlink>
          </w:p>
        </w:tc>
      </w:tr>
      <w:tr>
        <w:trPr>
          <w:trHeight w:val="297"/>
        </w:trPr>
        <w:tc>
          <w:tcPr>
            <w:tcW w:w="1480" w:type="dxa"/>
            <w:vAlign w:val="bottom"/>
          </w:tcPr>
          <w:p>
            <w:pPr>
              <w:spacing w:after="0"/>
              <w:rPr>
                <w:sz w:val="20"/>
                <w:szCs w:val="20"/>
                <w:color w:val="auto"/>
              </w:rPr>
            </w:pPr>
            <w:r>
              <w:rPr>
                <w:rFonts w:ascii="Arial" w:cs="Arial" w:eastAsia="Arial" w:hAnsi="Arial"/>
                <w:sz w:val="22"/>
                <w:szCs w:val="22"/>
                <w:color w:val="auto"/>
                <w:w w:val="99"/>
              </w:rPr>
              <w:t>Section 10.02 .</w:t>
            </w:r>
          </w:p>
        </w:tc>
        <w:tc>
          <w:tcPr>
            <w:tcW w:w="9100" w:type="dxa"/>
            <w:vAlign w:val="bottom"/>
          </w:tcPr>
          <w:p>
            <w:pPr>
              <w:ind w:left="340"/>
              <w:spacing w:after="0"/>
              <w:rPr>
                <w:sz w:val="20"/>
                <w:szCs w:val="20"/>
                <w:color w:val="auto"/>
              </w:rPr>
            </w:pPr>
            <w:r>
              <w:rPr>
                <w:rFonts w:ascii="Arial" w:cs="Arial" w:eastAsia="Arial" w:hAnsi="Arial"/>
                <w:sz w:val="22"/>
                <w:szCs w:val="22"/>
                <w:i w:val="1"/>
                <w:iCs w:val="1"/>
                <w:color w:val="auto"/>
              </w:rPr>
              <w:t>Supplemental Indentures with Consent of Holders</w:t>
            </w:r>
          </w:p>
        </w:tc>
        <w:tc>
          <w:tcPr>
            <w:tcW w:w="680" w:type="dxa"/>
            <w:vAlign w:val="bottom"/>
          </w:tcPr>
          <w:p>
            <w:pPr>
              <w:jc w:val="right"/>
              <w:spacing w:after="0"/>
              <w:rPr>
                <w:rFonts w:ascii="Arial" w:cs="Arial" w:eastAsia="Arial" w:hAnsi="Arial"/>
                <w:sz w:val="22"/>
                <w:szCs w:val="22"/>
                <w:color w:val="auto"/>
              </w:rPr>
            </w:pPr>
            <w:hyperlink w:anchor="page127">
              <w:r>
                <w:rPr>
                  <w:rFonts w:ascii="Arial" w:cs="Arial" w:eastAsia="Arial" w:hAnsi="Arial"/>
                  <w:sz w:val="22"/>
                  <w:szCs w:val="22"/>
                  <w:color w:val="auto"/>
                </w:rPr>
                <w:t>53</w:t>
              </w:r>
            </w:hyperlink>
          </w:p>
        </w:tc>
      </w:tr>
      <w:tr>
        <w:trPr>
          <w:trHeight w:val="297"/>
        </w:trPr>
        <w:tc>
          <w:tcPr>
            <w:tcW w:w="1480" w:type="dxa"/>
            <w:vAlign w:val="bottom"/>
          </w:tcPr>
          <w:p>
            <w:pPr>
              <w:spacing w:after="0"/>
              <w:rPr>
                <w:sz w:val="20"/>
                <w:szCs w:val="20"/>
                <w:color w:val="auto"/>
              </w:rPr>
            </w:pPr>
            <w:r>
              <w:rPr>
                <w:rFonts w:ascii="Arial" w:cs="Arial" w:eastAsia="Arial" w:hAnsi="Arial"/>
                <w:sz w:val="22"/>
                <w:szCs w:val="22"/>
                <w:color w:val="auto"/>
                <w:w w:val="99"/>
              </w:rPr>
              <w:t>Section 10.03 .</w:t>
            </w:r>
          </w:p>
        </w:tc>
        <w:tc>
          <w:tcPr>
            <w:tcW w:w="9100" w:type="dxa"/>
            <w:vAlign w:val="bottom"/>
          </w:tcPr>
          <w:p>
            <w:pPr>
              <w:ind w:left="340"/>
              <w:spacing w:after="0"/>
              <w:rPr>
                <w:sz w:val="20"/>
                <w:szCs w:val="20"/>
                <w:color w:val="auto"/>
              </w:rPr>
            </w:pPr>
            <w:r>
              <w:rPr>
                <w:rFonts w:ascii="Arial" w:cs="Arial" w:eastAsia="Arial" w:hAnsi="Arial"/>
                <w:sz w:val="22"/>
                <w:szCs w:val="22"/>
                <w:i w:val="1"/>
                <w:iCs w:val="1"/>
                <w:color w:val="auto"/>
              </w:rPr>
              <w:t>Effect of Amendment, Supplement and Waiver</w:t>
            </w:r>
          </w:p>
        </w:tc>
        <w:tc>
          <w:tcPr>
            <w:tcW w:w="680" w:type="dxa"/>
            <w:vAlign w:val="bottom"/>
          </w:tcPr>
          <w:p>
            <w:pPr>
              <w:jc w:val="right"/>
              <w:spacing w:after="0"/>
              <w:rPr>
                <w:rFonts w:ascii="Arial" w:cs="Arial" w:eastAsia="Arial" w:hAnsi="Arial"/>
                <w:sz w:val="22"/>
                <w:szCs w:val="22"/>
                <w:color w:val="auto"/>
              </w:rPr>
            </w:pPr>
            <w:hyperlink w:anchor="page128">
              <w:r>
                <w:rPr>
                  <w:rFonts w:ascii="Arial" w:cs="Arial" w:eastAsia="Arial" w:hAnsi="Arial"/>
                  <w:sz w:val="22"/>
                  <w:szCs w:val="22"/>
                  <w:color w:val="auto"/>
                </w:rPr>
                <w:t>54</w:t>
              </w:r>
            </w:hyperlink>
          </w:p>
        </w:tc>
      </w:tr>
      <w:tr>
        <w:trPr>
          <w:trHeight w:val="297"/>
        </w:trPr>
        <w:tc>
          <w:tcPr>
            <w:tcW w:w="1480" w:type="dxa"/>
            <w:vAlign w:val="bottom"/>
          </w:tcPr>
          <w:p>
            <w:pPr>
              <w:spacing w:after="0"/>
              <w:rPr>
                <w:sz w:val="20"/>
                <w:szCs w:val="20"/>
                <w:color w:val="auto"/>
              </w:rPr>
            </w:pPr>
            <w:r>
              <w:rPr>
                <w:rFonts w:ascii="Arial" w:cs="Arial" w:eastAsia="Arial" w:hAnsi="Arial"/>
                <w:sz w:val="22"/>
                <w:szCs w:val="22"/>
                <w:color w:val="auto"/>
                <w:w w:val="99"/>
              </w:rPr>
              <w:t>Section 10.04 .</w:t>
            </w:r>
          </w:p>
        </w:tc>
        <w:tc>
          <w:tcPr>
            <w:tcW w:w="9100" w:type="dxa"/>
            <w:vAlign w:val="bottom"/>
          </w:tcPr>
          <w:p>
            <w:pPr>
              <w:ind w:left="340"/>
              <w:spacing w:after="0"/>
              <w:rPr>
                <w:sz w:val="20"/>
                <w:szCs w:val="20"/>
                <w:color w:val="auto"/>
              </w:rPr>
            </w:pPr>
            <w:r>
              <w:rPr>
                <w:rFonts w:ascii="Arial" w:cs="Arial" w:eastAsia="Arial" w:hAnsi="Arial"/>
                <w:sz w:val="22"/>
                <w:szCs w:val="22"/>
                <w:i w:val="1"/>
                <w:iCs w:val="1"/>
                <w:color w:val="auto"/>
              </w:rPr>
              <w:t>Notation on Notes</w:t>
            </w:r>
          </w:p>
        </w:tc>
        <w:tc>
          <w:tcPr>
            <w:tcW w:w="680" w:type="dxa"/>
            <w:vAlign w:val="bottom"/>
          </w:tcPr>
          <w:p>
            <w:pPr>
              <w:jc w:val="right"/>
              <w:spacing w:after="0"/>
              <w:rPr>
                <w:rFonts w:ascii="Arial" w:cs="Arial" w:eastAsia="Arial" w:hAnsi="Arial"/>
                <w:sz w:val="22"/>
                <w:szCs w:val="22"/>
                <w:color w:val="auto"/>
              </w:rPr>
            </w:pPr>
            <w:hyperlink w:anchor="page128">
              <w:r>
                <w:rPr>
                  <w:rFonts w:ascii="Arial" w:cs="Arial" w:eastAsia="Arial" w:hAnsi="Arial"/>
                  <w:sz w:val="22"/>
                  <w:szCs w:val="22"/>
                  <w:color w:val="auto"/>
                </w:rPr>
                <w:t>54</w:t>
              </w:r>
            </w:hyperlink>
          </w:p>
        </w:tc>
      </w:tr>
      <w:tr>
        <w:trPr>
          <w:trHeight w:val="297"/>
        </w:trPr>
        <w:tc>
          <w:tcPr>
            <w:tcW w:w="1480" w:type="dxa"/>
            <w:vAlign w:val="bottom"/>
          </w:tcPr>
          <w:p>
            <w:pPr>
              <w:spacing w:after="0"/>
              <w:rPr>
                <w:sz w:val="20"/>
                <w:szCs w:val="20"/>
                <w:color w:val="auto"/>
              </w:rPr>
            </w:pPr>
            <w:r>
              <w:rPr>
                <w:rFonts w:ascii="Arial" w:cs="Arial" w:eastAsia="Arial" w:hAnsi="Arial"/>
                <w:sz w:val="22"/>
                <w:szCs w:val="22"/>
                <w:color w:val="auto"/>
                <w:w w:val="99"/>
              </w:rPr>
              <w:t>Section 10.05 .</w:t>
            </w:r>
          </w:p>
        </w:tc>
        <w:tc>
          <w:tcPr>
            <w:tcW w:w="9100" w:type="dxa"/>
            <w:vAlign w:val="bottom"/>
          </w:tcPr>
          <w:p>
            <w:pPr>
              <w:ind w:left="340"/>
              <w:spacing w:after="0"/>
              <w:rPr>
                <w:sz w:val="20"/>
                <w:szCs w:val="20"/>
                <w:color w:val="auto"/>
              </w:rPr>
            </w:pPr>
            <w:r>
              <w:rPr>
                <w:rFonts w:ascii="Arial" w:cs="Arial" w:eastAsia="Arial" w:hAnsi="Arial"/>
                <w:sz w:val="22"/>
                <w:szCs w:val="22"/>
                <w:i w:val="1"/>
                <w:iCs w:val="1"/>
                <w:color w:val="auto"/>
                <w:w w:val="98"/>
              </w:rPr>
              <w:t>Evidence of Compliance of Amendment, Supplement or Waiver to Be Furnished to Trustee</w:t>
            </w:r>
          </w:p>
        </w:tc>
        <w:tc>
          <w:tcPr>
            <w:tcW w:w="680" w:type="dxa"/>
            <w:vAlign w:val="bottom"/>
          </w:tcPr>
          <w:p>
            <w:pPr>
              <w:jc w:val="right"/>
              <w:spacing w:after="0"/>
              <w:rPr>
                <w:rFonts w:ascii="Arial" w:cs="Arial" w:eastAsia="Arial" w:hAnsi="Arial"/>
                <w:sz w:val="22"/>
                <w:szCs w:val="22"/>
                <w:color w:val="auto"/>
              </w:rPr>
            </w:pPr>
            <w:hyperlink w:anchor="page128">
              <w:r>
                <w:rPr>
                  <w:rFonts w:ascii="Arial" w:cs="Arial" w:eastAsia="Arial" w:hAnsi="Arial"/>
                  <w:sz w:val="22"/>
                  <w:szCs w:val="22"/>
                  <w:color w:val="auto"/>
                </w:rPr>
                <w:t>54</w:t>
              </w:r>
            </w:hyperlink>
          </w:p>
        </w:tc>
      </w:tr>
      <w:tr>
        <w:trPr>
          <w:trHeight w:val="482"/>
        </w:trPr>
        <w:tc>
          <w:tcPr>
            <w:tcW w:w="1480" w:type="dxa"/>
            <w:vAlign w:val="bottom"/>
          </w:tcPr>
          <w:p>
            <w:pPr>
              <w:spacing w:after="0"/>
              <w:rPr>
                <w:sz w:val="24"/>
                <w:szCs w:val="24"/>
                <w:color w:val="auto"/>
              </w:rPr>
            </w:pPr>
          </w:p>
        </w:tc>
        <w:tc>
          <w:tcPr>
            <w:tcW w:w="9100" w:type="dxa"/>
            <w:vAlign w:val="bottom"/>
          </w:tcPr>
          <w:p>
            <w:pPr>
              <w:jc w:val="center"/>
              <w:ind w:right="752"/>
              <w:spacing w:after="0"/>
              <w:rPr>
                <w:rFonts w:ascii="Arial" w:cs="Arial" w:eastAsia="Arial" w:hAnsi="Arial"/>
                <w:sz w:val="22"/>
                <w:szCs w:val="22"/>
                <w:color w:val="auto"/>
                <w:w w:val="93"/>
              </w:rPr>
            </w:pPr>
            <w:hyperlink w:anchor="page128">
              <w:r>
                <w:rPr>
                  <w:rFonts w:ascii="Arial" w:cs="Arial" w:eastAsia="Arial" w:hAnsi="Arial"/>
                  <w:sz w:val="22"/>
                  <w:szCs w:val="22"/>
                  <w:color w:val="auto"/>
                  <w:w w:val="93"/>
                </w:rPr>
                <w:t>ARTICLE 11</w:t>
              </w:r>
            </w:hyperlink>
          </w:p>
        </w:tc>
        <w:tc>
          <w:tcPr>
            <w:tcW w:w="680" w:type="dxa"/>
            <w:vAlign w:val="bottom"/>
          </w:tcPr>
          <w:p>
            <w:pPr>
              <w:spacing w:after="0"/>
              <w:rPr>
                <w:sz w:val="24"/>
                <w:szCs w:val="24"/>
                <w:color w:val="auto"/>
              </w:rPr>
            </w:pPr>
          </w:p>
        </w:tc>
      </w:tr>
      <w:tr>
        <w:trPr>
          <w:trHeight w:val="275"/>
        </w:trPr>
        <w:tc>
          <w:tcPr>
            <w:tcW w:w="1480" w:type="dxa"/>
            <w:vAlign w:val="bottom"/>
          </w:tcPr>
          <w:p>
            <w:pPr>
              <w:spacing w:after="0"/>
              <w:rPr>
                <w:sz w:val="23"/>
                <w:szCs w:val="23"/>
                <w:color w:val="auto"/>
              </w:rPr>
            </w:pPr>
          </w:p>
        </w:tc>
        <w:tc>
          <w:tcPr>
            <w:tcW w:w="9100" w:type="dxa"/>
            <w:vAlign w:val="bottom"/>
          </w:tcPr>
          <w:p>
            <w:pPr>
              <w:jc w:val="center"/>
              <w:ind w:right="692"/>
              <w:spacing w:after="0"/>
              <w:rPr>
                <w:sz w:val="20"/>
                <w:szCs w:val="20"/>
                <w:color w:val="auto"/>
              </w:rPr>
            </w:pPr>
            <w:r>
              <w:rPr>
                <w:rFonts w:ascii="Arial" w:cs="Arial" w:eastAsia="Arial" w:hAnsi="Arial"/>
                <w:sz w:val="22"/>
                <w:szCs w:val="22"/>
                <w:color w:val="auto"/>
                <w:w w:val="95"/>
              </w:rPr>
              <w:t>CONSOLIDATION, MERGER AND SALE</w:t>
            </w:r>
          </w:p>
        </w:tc>
        <w:tc>
          <w:tcPr>
            <w:tcW w:w="680" w:type="dxa"/>
            <w:vAlign w:val="bottom"/>
          </w:tcPr>
          <w:p>
            <w:pPr>
              <w:spacing w:after="0"/>
              <w:rPr>
                <w:sz w:val="23"/>
                <w:szCs w:val="23"/>
                <w:color w:val="auto"/>
              </w:rPr>
            </w:pPr>
          </w:p>
        </w:tc>
      </w:tr>
      <w:tr>
        <w:trPr>
          <w:trHeight w:val="405"/>
        </w:trPr>
        <w:tc>
          <w:tcPr>
            <w:tcW w:w="1480" w:type="dxa"/>
            <w:vAlign w:val="bottom"/>
          </w:tcPr>
          <w:p>
            <w:pPr>
              <w:spacing w:after="0"/>
              <w:rPr>
                <w:sz w:val="20"/>
                <w:szCs w:val="20"/>
                <w:color w:val="auto"/>
              </w:rPr>
            </w:pPr>
            <w:r>
              <w:rPr>
                <w:rFonts w:ascii="Arial" w:cs="Arial" w:eastAsia="Arial" w:hAnsi="Arial"/>
                <w:sz w:val="22"/>
                <w:szCs w:val="22"/>
                <w:color w:val="auto"/>
                <w:w w:val="99"/>
              </w:rPr>
              <w:t>Section 11.01 .</w:t>
            </w:r>
          </w:p>
        </w:tc>
        <w:tc>
          <w:tcPr>
            <w:tcW w:w="9100" w:type="dxa"/>
            <w:vAlign w:val="bottom"/>
          </w:tcPr>
          <w:p>
            <w:pPr>
              <w:ind w:left="340"/>
              <w:spacing w:after="0"/>
              <w:rPr>
                <w:sz w:val="20"/>
                <w:szCs w:val="20"/>
                <w:color w:val="auto"/>
              </w:rPr>
            </w:pPr>
            <w:r>
              <w:rPr>
                <w:rFonts w:ascii="Arial" w:cs="Arial" w:eastAsia="Arial" w:hAnsi="Arial"/>
                <w:sz w:val="22"/>
                <w:szCs w:val="22"/>
                <w:i w:val="1"/>
                <w:iCs w:val="1"/>
                <w:color w:val="auto"/>
              </w:rPr>
              <w:t>Company May Consolidate, Etc. on Certain Terms</w:t>
            </w:r>
          </w:p>
        </w:tc>
        <w:tc>
          <w:tcPr>
            <w:tcW w:w="680" w:type="dxa"/>
            <w:vAlign w:val="bottom"/>
          </w:tcPr>
          <w:p>
            <w:pPr>
              <w:jc w:val="right"/>
              <w:spacing w:after="0"/>
              <w:rPr>
                <w:rFonts w:ascii="Arial" w:cs="Arial" w:eastAsia="Arial" w:hAnsi="Arial"/>
                <w:sz w:val="22"/>
                <w:szCs w:val="22"/>
                <w:color w:val="auto"/>
              </w:rPr>
            </w:pPr>
            <w:hyperlink w:anchor="page128">
              <w:r>
                <w:rPr>
                  <w:rFonts w:ascii="Arial" w:cs="Arial" w:eastAsia="Arial" w:hAnsi="Arial"/>
                  <w:sz w:val="22"/>
                  <w:szCs w:val="22"/>
                  <w:color w:val="auto"/>
                </w:rPr>
                <w:t>54</w:t>
              </w:r>
            </w:hyperlink>
          </w:p>
        </w:tc>
      </w:tr>
      <w:tr>
        <w:trPr>
          <w:trHeight w:val="297"/>
        </w:trPr>
        <w:tc>
          <w:tcPr>
            <w:tcW w:w="1480" w:type="dxa"/>
            <w:vAlign w:val="bottom"/>
          </w:tcPr>
          <w:p>
            <w:pPr>
              <w:spacing w:after="0"/>
              <w:rPr>
                <w:sz w:val="20"/>
                <w:szCs w:val="20"/>
                <w:color w:val="auto"/>
              </w:rPr>
            </w:pPr>
            <w:r>
              <w:rPr>
                <w:rFonts w:ascii="Arial" w:cs="Arial" w:eastAsia="Arial" w:hAnsi="Arial"/>
                <w:sz w:val="22"/>
                <w:szCs w:val="22"/>
                <w:color w:val="auto"/>
                <w:w w:val="99"/>
              </w:rPr>
              <w:t>Section 11.02 .</w:t>
            </w:r>
          </w:p>
        </w:tc>
        <w:tc>
          <w:tcPr>
            <w:tcW w:w="9100" w:type="dxa"/>
            <w:vAlign w:val="bottom"/>
          </w:tcPr>
          <w:p>
            <w:pPr>
              <w:ind w:left="340"/>
              <w:spacing w:after="0"/>
              <w:rPr>
                <w:sz w:val="20"/>
                <w:szCs w:val="20"/>
                <w:color w:val="auto"/>
              </w:rPr>
            </w:pPr>
            <w:r>
              <w:rPr>
                <w:rFonts w:ascii="Arial" w:cs="Arial" w:eastAsia="Arial" w:hAnsi="Arial"/>
                <w:sz w:val="22"/>
                <w:szCs w:val="22"/>
                <w:i w:val="1"/>
                <w:iCs w:val="1"/>
                <w:color w:val="auto"/>
              </w:rPr>
              <w:t>Opinion of Counsel and Officers' Certificate to be Given to Trustee</w:t>
            </w:r>
          </w:p>
        </w:tc>
        <w:tc>
          <w:tcPr>
            <w:tcW w:w="680" w:type="dxa"/>
            <w:vAlign w:val="bottom"/>
          </w:tcPr>
          <w:p>
            <w:pPr>
              <w:jc w:val="right"/>
              <w:spacing w:after="0"/>
              <w:rPr>
                <w:rFonts w:ascii="Arial" w:cs="Arial" w:eastAsia="Arial" w:hAnsi="Arial"/>
                <w:sz w:val="22"/>
                <w:szCs w:val="22"/>
                <w:color w:val="auto"/>
              </w:rPr>
            </w:pPr>
            <w:hyperlink w:anchor="page130">
              <w:r>
                <w:rPr>
                  <w:rFonts w:ascii="Arial" w:cs="Arial" w:eastAsia="Arial" w:hAnsi="Arial"/>
                  <w:sz w:val="22"/>
                  <w:szCs w:val="22"/>
                  <w:color w:val="auto"/>
                </w:rPr>
                <w:t>56</w:t>
              </w:r>
            </w:hyperlink>
          </w:p>
        </w:tc>
      </w:tr>
      <w:tr>
        <w:trPr>
          <w:trHeight w:val="482"/>
        </w:trPr>
        <w:tc>
          <w:tcPr>
            <w:tcW w:w="1480" w:type="dxa"/>
            <w:vAlign w:val="bottom"/>
          </w:tcPr>
          <w:p>
            <w:pPr>
              <w:spacing w:after="0"/>
              <w:rPr>
                <w:sz w:val="24"/>
                <w:szCs w:val="24"/>
                <w:color w:val="auto"/>
              </w:rPr>
            </w:pPr>
          </w:p>
        </w:tc>
        <w:tc>
          <w:tcPr>
            <w:tcW w:w="9100" w:type="dxa"/>
            <w:vAlign w:val="bottom"/>
          </w:tcPr>
          <w:p>
            <w:pPr>
              <w:jc w:val="center"/>
              <w:ind w:right="732"/>
              <w:spacing w:after="0"/>
              <w:rPr>
                <w:rFonts w:ascii="Arial" w:cs="Arial" w:eastAsia="Arial" w:hAnsi="Arial"/>
                <w:sz w:val="22"/>
                <w:szCs w:val="22"/>
                <w:color w:val="auto"/>
                <w:w w:val="95"/>
              </w:rPr>
            </w:pPr>
            <w:hyperlink w:anchor="page130">
              <w:r>
                <w:rPr>
                  <w:rFonts w:ascii="Arial" w:cs="Arial" w:eastAsia="Arial" w:hAnsi="Arial"/>
                  <w:sz w:val="22"/>
                  <w:szCs w:val="22"/>
                  <w:color w:val="auto"/>
                  <w:w w:val="95"/>
                </w:rPr>
                <w:t>ARTICLE 12</w:t>
              </w:r>
            </w:hyperlink>
          </w:p>
        </w:tc>
        <w:tc>
          <w:tcPr>
            <w:tcW w:w="680" w:type="dxa"/>
            <w:vAlign w:val="bottom"/>
          </w:tcPr>
          <w:p>
            <w:pPr>
              <w:spacing w:after="0"/>
              <w:rPr>
                <w:sz w:val="24"/>
                <w:szCs w:val="24"/>
                <w:color w:val="auto"/>
              </w:rPr>
            </w:pPr>
          </w:p>
        </w:tc>
      </w:tr>
      <w:tr>
        <w:trPr>
          <w:trHeight w:val="275"/>
        </w:trPr>
        <w:tc>
          <w:tcPr>
            <w:tcW w:w="1480" w:type="dxa"/>
            <w:vAlign w:val="bottom"/>
          </w:tcPr>
          <w:p>
            <w:pPr>
              <w:spacing w:after="0"/>
              <w:rPr>
                <w:sz w:val="23"/>
                <w:szCs w:val="23"/>
                <w:color w:val="auto"/>
              </w:rPr>
            </w:pPr>
          </w:p>
        </w:tc>
        <w:tc>
          <w:tcPr>
            <w:tcW w:w="9100" w:type="dxa"/>
            <w:vAlign w:val="bottom"/>
          </w:tcPr>
          <w:p>
            <w:pPr>
              <w:jc w:val="center"/>
              <w:ind w:right="692"/>
              <w:spacing w:after="0"/>
              <w:rPr>
                <w:sz w:val="20"/>
                <w:szCs w:val="20"/>
                <w:color w:val="auto"/>
              </w:rPr>
            </w:pPr>
            <w:r>
              <w:rPr>
                <w:rFonts w:ascii="Arial" w:cs="Arial" w:eastAsia="Arial" w:hAnsi="Arial"/>
                <w:sz w:val="22"/>
                <w:szCs w:val="22"/>
                <w:color w:val="auto"/>
                <w:w w:val="93"/>
              </w:rPr>
              <w:t>IMMUNITY OF INCORPORATORS, STOCKHOLDERS, OFFICERS AND DIRECTORS</w:t>
            </w:r>
          </w:p>
        </w:tc>
        <w:tc>
          <w:tcPr>
            <w:tcW w:w="680" w:type="dxa"/>
            <w:vAlign w:val="bottom"/>
          </w:tcPr>
          <w:p>
            <w:pPr>
              <w:spacing w:after="0"/>
              <w:rPr>
                <w:sz w:val="23"/>
                <w:szCs w:val="23"/>
                <w:color w:val="auto"/>
              </w:rPr>
            </w:pPr>
          </w:p>
        </w:tc>
      </w:tr>
      <w:tr>
        <w:trPr>
          <w:trHeight w:val="405"/>
        </w:trPr>
        <w:tc>
          <w:tcPr>
            <w:tcW w:w="1480" w:type="dxa"/>
            <w:vAlign w:val="bottom"/>
          </w:tcPr>
          <w:p>
            <w:pPr>
              <w:spacing w:after="0"/>
              <w:rPr>
                <w:sz w:val="20"/>
                <w:szCs w:val="20"/>
                <w:color w:val="auto"/>
              </w:rPr>
            </w:pPr>
            <w:r>
              <w:rPr>
                <w:rFonts w:ascii="Arial" w:cs="Arial" w:eastAsia="Arial" w:hAnsi="Arial"/>
                <w:sz w:val="22"/>
                <w:szCs w:val="22"/>
                <w:color w:val="auto"/>
                <w:w w:val="99"/>
              </w:rPr>
              <w:t>Section 12.01 .</w:t>
            </w:r>
          </w:p>
        </w:tc>
        <w:tc>
          <w:tcPr>
            <w:tcW w:w="9100" w:type="dxa"/>
            <w:vAlign w:val="bottom"/>
          </w:tcPr>
          <w:p>
            <w:pPr>
              <w:ind w:left="340"/>
              <w:spacing w:after="0"/>
              <w:rPr>
                <w:sz w:val="20"/>
                <w:szCs w:val="20"/>
                <w:color w:val="auto"/>
              </w:rPr>
            </w:pPr>
            <w:r>
              <w:rPr>
                <w:rFonts w:ascii="Arial" w:cs="Arial" w:eastAsia="Arial" w:hAnsi="Arial"/>
                <w:sz w:val="22"/>
                <w:szCs w:val="22"/>
                <w:i w:val="1"/>
                <w:iCs w:val="1"/>
                <w:color w:val="auto"/>
              </w:rPr>
              <w:t>Indenture and Notes Solely Corporate Obligations</w:t>
            </w:r>
          </w:p>
        </w:tc>
        <w:tc>
          <w:tcPr>
            <w:tcW w:w="680" w:type="dxa"/>
            <w:vAlign w:val="bottom"/>
          </w:tcPr>
          <w:p>
            <w:pPr>
              <w:jc w:val="right"/>
              <w:spacing w:after="0"/>
              <w:rPr>
                <w:rFonts w:ascii="Arial" w:cs="Arial" w:eastAsia="Arial" w:hAnsi="Arial"/>
                <w:sz w:val="22"/>
                <w:szCs w:val="22"/>
                <w:color w:val="auto"/>
              </w:rPr>
            </w:pPr>
            <w:hyperlink w:anchor="page130">
              <w:r>
                <w:rPr>
                  <w:rFonts w:ascii="Arial" w:cs="Arial" w:eastAsia="Arial" w:hAnsi="Arial"/>
                  <w:sz w:val="22"/>
                  <w:szCs w:val="22"/>
                  <w:color w:val="auto"/>
                </w:rPr>
                <w:t>56</w:t>
              </w:r>
            </w:hyperlink>
          </w:p>
        </w:tc>
      </w:tr>
      <w:tr>
        <w:trPr>
          <w:trHeight w:val="482"/>
        </w:trPr>
        <w:tc>
          <w:tcPr>
            <w:tcW w:w="1480" w:type="dxa"/>
            <w:vAlign w:val="bottom"/>
          </w:tcPr>
          <w:p>
            <w:pPr>
              <w:spacing w:after="0"/>
              <w:rPr>
                <w:sz w:val="24"/>
                <w:szCs w:val="24"/>
                <w:color w:val="auto"/>
              </w:rPr>
            </w:pPr>
          </w:p>
        </w:tc>
        <w:tc>
          <w:tcPr>
            <w:tcW w:w="9100" w:type="dxa"/>
            <w:vAlign w:val="bottom"/>
          </w:tcPr>
          <w:p>
            <w:pPr>
              <w:jc w:val="center"/>
              <w:ind w:right="732"/>
              <w:spacing w:after="0"/>
              <w:rPr>
                <w:rFonts w:ascii="Arial" w:cs="Arial" w:eastAsia="Arial" w:hAnsi="Arial"/>
                <w:sz w:val="22"/>
                <w:szCs w:val="22"/>
                <w:color w:val="auto"/>
                <w:w w:val="95"/>
              </w:rPr>
            </w:pPr>
            <w:hyperlink w:anchor="page130">
              <w:r>
                <w:rPr>
                  <w:rFonts w:ascii="Arial" w:cs="Arial" w:eastAsia="Arial" w:hAnsi="Arial"/>
                  <w:sz w:val="22"/>
                  <w:szCs w:val="22"/>
                  <w:color w:val="auto"/>
                  <w:w w:val="95"/>
                </w:rPr>
                <w:t>ARTICLE 13</w:t>
              </w:r>
            </w:hyperlink>
          </w:p>
        </w:tc>
        <w:tc>
          <w:tcPr>
            <w:tcW w:w="680" w:type="dxa"/>
            <w:vAlign w:val="bottom"/>
          </w:tcPr>
          <w:p>
            <w:pPr>
              <w:spacing w:after="0"/>
              <w:rPr>
                <w:sz w:val="24"/>
                <w:szCs w:val="24"/>
                <w:color w:val="auto"/>
              </w:rPr>
            </w:pPr>
          </w:p>
        </w:tc>
      </w:tr>
      <w:tr>
        <w:trPr>
          <w:trHeight w:val="275"/>
        </w:trPr>
        <w:tc>
          <w:tcPr>
            <w:tcW w:w="1480" w:type="dxa"/>
            <w:vAlign w:val="bottom"/>
          </w:tcPr>
          <w:p>
            <w:pPr>
              <w:spacing w:after="0"/>
              <w:rPr>
                <w:sz w:val="23"/>
                <w:szCs w:val="23"/>
                <w:color w:val="auto"/>
              </w:rPr>
            </w:pPr>
          </w:p>
        </w:tc>
        <w:tc>
          <w:tcPr>
            <w:tcW w:w="9100" w:type="dxa"/>
            <w:vAlign w:val="bottom"/>
          </w:tcPr>
          <w:p>
            <w:pPr>
              <w:jc w:val="center"/>
              <w:ind w:right="672"/>
              <w:spacing w:after="0"/>
              <w:rPr>
                <w:sz w:val="20"/>
                <w:szCs w:val="20"/>
                <w:color w:val="auto"/>
              </w:rPr>
            </w:pPr>
            <w:r>
              <w:rPr>
                <w:rFonts w:ascii="Arial" w:cs="Arial" w:eastAsia="Arial" w:hAnsi="Arial"/>
                <w:sz w:val="22"/>
                <w:szCs w:val="22"/>
                <w:color w:val="auto"/>
                <w:w w:val="93"/>
              </w:rPr>
              <w:t>[RESERVED]</w:t>
            </w:r>
          </w:p>
        </w:tc>
        <w:tc>
          <w:tcPr>
            <w:tcW w:w="680" w:type="dxa"/>
            <w:vAlign w:val="bottom"/>
          </w:tcPr>
          <w:p>
            <w:pPr>
              <w:spacing w:after="0"/>
              <w:rPr>
                <w:sz w:val="23"/>
                <w:szCs w:val="23"/>
                <w:color w:val="auto"/>
              </w:rPr>
            </w:pPr>
          </w:p>
        </w:tc>
      </w:tr>
      <w:tr>
        <w:trPr>
          <w:trHeight w:val="455"/>
        </w:trPr>
        <w:tc>
          <w:tcPr>
            <w:tcW w:w="1480" w:type="dxa"/>
            <w:vAlign w:val="bottom"/>
          </w:tcPr>
          <w:p>
            <w:pPr>
              <w:spacing w:after="0"/>
              <w:rPr>
                <w:sz w:val="24"/>
                <w:szCs w:val="24"/>
                <w:color w:val="auto"/>
              </w:rPr>
            </w:pPr>
          </w:p>
        </w:tc>
        <w:tc>
          <w:tcPr>
            <w:tcW w:w="9100" w:type="dxa"/>
            <w:vAlign w:val="bottom"/>
          </w:tcPr>
          <w:p>
            <w:pPr>
              <w:jc w:val="center"/>
              <w:ind w:right="732"/>
              <w:spacing w:after="0"/>
              <w:rPr>
                <w:rFonts w:ascii="Arial" w:cs="Arial" w:eastAsia="Arial" w:hAnsi="Arial"/>
                <w:sz w:val="22"/>
                <w:szCs w:val="22"/>
                <w:color w:val="auto"/>
                <w:w w:val="95"/>
              </w:rPr>
            </w:pPr>
            <w:hyperlink w:anchor="page130">
              <w:r>
                <w:rPr>
                  <w:rFonts w:ascii="Arial" w:cs="Arial" w:eastAsia="Arial" w:hAnsi="Arial"/>
                  <w:sz w:val="22"/>
                  <w:szCs w:val="22"/>
                  <w:color w:val="auto"/>
                  <w:w w:val="95"/>
                </w:rPr>
                <w:t>ARTICLE 14</w:t>
              </w:r>
            </w:hyperlink>
          </w:p>
        </w:tc>
        <w:tc>
          <w:tcPr>
            <w:tcW w:w="680" w:type="dxa"/>
            <w:vAlign w:val="bottom"/>
          </w:tcPr>
          <w:p>
            <w:pPr>
              <w:spacing w:after="0"/>
              <w:rPr>
                <w:sz w:val="24"/>
                <w:szCs w:val="24"/>
                <w:color w:val="auto"/>
              </w:rPr>
            </w:pPr>
          </w:p>
        </w:tc>
      </w:tr>
      <w:tr>
        <w:trPr>
          <w:trHeight w:val="275"/>
        </w:trPr>
        <w:tc>
          <w:tcPr>
            <w:tcW w:w="1480" w:type="dxa"/>
            <w:vAlign w:val="bottom"/>
          </w:tcPr>
          <w:p>
            <w:pPr>
              <w:spacing w:after="0"/>
              <w:rPr>
                <w:sz w:val="23"/>
                <w:szCs w:val="23"/>
                <w:color w:val="auto"/>
              </w:rPr>
            </w:pPr>
          </w:p>
        </w:tc>
        <w:tc>
          <w:tcPr>
            <w:tcW w:w="9100" w:type="dxa"/>
            <w:vAlign w:val="bottom"/>
          </w:tcPr>
          <w:p>
            <w:pPr>
              <w:jc w:val="center"/>
              <w:ind w:right="672"/>
              <w:spacing w:after="0"/>
              <w:rPr>
                <w:sz w:val="20"/>
                <w:szCs w:val="20"/>
                <w:color w:val="auto"/>
              </w:rPr>
            </w:pPr>
            <w:r>
              <w:rPr>
                <w:rFonts w:ascii="Arial" w:cs="Arial" w:eastAsia="Arial" w:hAnsi="Arial"/>
                <w:sz w:val="22"/>
                <w:szCs w:val="22"/>
                <w:color w:val="auto"/>
                <w:w w:val="93"/>
              </w:rPr>
              <w:t>CONVERSION OF NOTES</w:t>
            </w:r>
          </w:p>
        </w:tc>
        <w:tc>
          <w:tcPr>
            <w:tcW w:w="680" w:type="dxa"/>
            <w:vAlign w:val="bottom"/>
          </w:tcPr>
          <w:p>
            <w:pPr>
              <w:spacing w:after="0"/>
              <w:rPr>
                <w:sz w:val="23"/>
                <w:szCs w:val="23"/>
                <w:color w:val="auto"/>
              </w:rPr>
            </w:pPr>
          </w:p>
        </w:tc>
      </w:tr>
      <w:tr>
        <w:trPr>
          <w:trHeight w:val="405"/>
        </w:trPr>
        <w:tc>
          <w:tcPr>
            <w:tcW w:w="1480" w:type="dxa"/>
            <w:vAlign w:val="bottom"/>
          </w:tcPr>
          <w:p>
            <w:pPr>
              <w:spacing w:after="0"/>
              <w:rPr>
                <w:sz w:val="20"/>
                <w:szCs w:val="20"/>
                <w:color w:val="auto"/>
              </w:rPr>
            </w:pPr>
            <w:r>
              <w:rPr>
                <w:rFonts w:ascii="Arial" w:cs="Arial" w:eastAsia="Arial" w:hAnsi="Arial"/>
                <w:sz w:val="22"/>
                <w:szCs w:val="22"/>
                <w:color w:val="auto"/>
                <w:w w:val="99"/>
              </w:rPr>
              <w:t>Section 14.01 .</w:t>
            </w:r>
          </w:p>
        </w:tc>
        <w:tc>
          <w:tcPr>
            <w:tcW w:w="9100" w:type="dxa"/>
            <w:vAlign w:val="bottom"/>
          </w:tcPr>
          <w:p>
            <w:pPr>
              <w:ind w:left="340"/>
              <w:spacing w:after="0"/>
              <w:rPr>
                <w:sz w:val="20"/>
                <w:szCs w:val="20"/>
                <w:color w:val="auto"/>
              </w:rPr>
            </w:pPr>
            <w:r>
              <w:rPr>
                <w:rFonts w:ascii="Arial" w:cs="Arial" w:eastAsia="Arial" w:hAnsi="Arial"/>
                <w:sz w:val="22"/>
                <w:szCs w:val="22"/>
                <w:i w:val="1"/>
                <w:iCs w:val="1"/>
                <w:color w:val="auto"/>
              </w:rPr>
              <w:t>Conversion Privilege</w:t>
            </w:r>
          </w:p>
        </w:tc>
        <w:tc>
          <w:tcPr>
            <w:tcW w:w="680" w:type="dxa"/>
            <w:vAlign w:val="bottom"/>
          </w:tcPr>
          <w:p>
            <w:pPr>
              <w:jc w:val="right"/>
              <w:spacing w:after="0"/>
              <w:rPr>
                <w:rFonts w:ascii="Arial" w:cs="Arial" w:eastAsia="Arial" w:hAnsi="Arial"/>
                <w:sz w:val="22"/>
                <w:szCs w:val="22"/>
                <w:color w:val="auto"/>
              </w:rPr>
            </w:pPr>
            <w:hyperlink w:anchor="page130">
              <w:r>
                <w:rPr>
                  <w:rFonts w:ascii="Arial" w:cs="Arial" w:eastAsia="Arial" w:hAnsi="Arial"/>
                  <w:sz w:val="22"/>
                  <w:szCs w:val="22"/>
                  <w:color w:val="auto"/>
                </w:rPr>
                <w:t>56</w:t>
              </w:r>
            </w:hyperlink>
          </w:p>
        </w:tc>
      </w:tr>
      <w:tr>
        <w:trPr>
          <w:trHeight w:val="297"/>
        </w:trPr>
        <w:tc>
          <w:tcPr>
            <w:tcW w:w="1480" w:type="dxa"/>
            <w:vAlign w:val="bottom"/>
          </w:tcPr>
          <w:p>
            <w:pPr>
              <w:spacing w:after="0"/>
              <w:rPr>
                <w:sz w:val="20"/>
                <w:szCs w:val="20"/>
                <w:color w:val="auto"/>
              </w:rPr>
            </w:pPr>
            <w:r>
              <w:rPr>
                <w:rFonts w:ascii="Arial" w:cs="Arial" w:eastAsia="Arial" w:hAnsi="Arial"/>
                <w:sz w:val="22"/>
                <w:szCs w:val="22"/>
                <w:color w:val="auto"/>
                <w:w w:val="99"/>
              </w:rPr>
              <w:t>Section 14.02 .</w:t>
            </w:r>
          </w:p>
        </w:tc>
        <w:tc>
          <w:tcPr>
            <w:tcW w:w="9100" w:type="dxa"/>
            <w:vAlign w:val="bottom"/>
          </w:tcPr>
          <w:p>
            <w:pPr>
              <w:ind w:left="340"/>
              <w:spacing w:after="0"/>
              <w:rPr>
                <w:sz w:val="20"/>
                <w:szCs w:val="20"/>
                <w:color w:val="auto"/>
              </w:rPr>
            </w:pPr>
            <w:r>
              <w:rPr>
                <w:rFonts w:ascii="Arial" w:cs="Arial" w:eastAsia="Arial" w:hAnsi="Arial"/>
                <w:sz w:val="22"/>
                <w:szCs w:val="22"/>
                <w:i w:val="1"/>
                <w:iCs w:val="1"/>
                <w:color w:val="auto"/>
              </w:rPr>
              <w:t>Conversion Procedure; Settlement Upon Conversion</w:t>
            </w:r>
          </w:p>
        </w:tc>
        <w:tc>
          <w:tcPr>
            <w:tcW w:w="680" w:type="dxa"/>
            <w:vAlign w:val="bottom"/>
          </w:tcPr>
          <w:p>
            <w:pPr>
              <w:jc w:val="right"/>
              <w:spacing w:after="0"/>
              <w:rPr>
                <w:rFonts w:ascii="Arial" w:cs="Arial" w:eastAsia="Arial" w:hAnsi="Arial"/>
                <w:sz w:val="22"/>
                <w:szCs w:val="22"/>
                <w:color w:val="auto"/>
              </w:rPr>
            </w:pPr>
            <w:hyperlink w:anchor="page134">
              <w:r>
                <w:rPr>
                  <w:rFonts w:ascii="Arial" w:cs="Arial" w:eastAsia="Arial" w:hAnsi="Arial"/>
                  <w:sz w:val="22"/>
                  <w:szCs w:val="22"/>
                  <w:color w:val="auto"/>
                </w:rPr>
                <w:t>60</w:t>
              </w:r>
            </w:hyperlink>
          </w:p>
        </w:tc>
      </w:tr>
      <w:tr>
        <w:trPr>
          <w:trHeight w:val="266"/>
        </w:trPr>
        <w:tc>
          <w:tcPr>
            <w:tcW w:w="1480" w:type="dxa"/>
            <w:vAlign w:val="bottom"/>
          </w:tcPr>
          <w:p>
            <w:pPr>
              <w:spacing w:after="0"/>
              <w:rPr>
                <w:sz w:val="20"/>
                <w:szCs w:val="20"/>
                <w:color w:val="auto"/>
              </w:rPr>
            </w:pPr>
            <w:r>
              <w:rPr>
                <w:rFonts w:ascii="Arial" w:cs="Arial" w:eastAsia="Arial" w:hAnsi="Arial"/>
                <w:sz w:val="22"/>
                <w:szCs w:val="22"/>
                <w:color w:val="auto"/>
                <w:w w:val="99"/>
              </w:rPr>
              <w:t>Section 14.03 .</w:t>
            </w:r>
          </w:p>
        </w:tc>
        <w:tc>
          <w:tcPr>
            <w:tcW w:w="9100" w:type="dxa"/>
            <w:vAlign w:val="bottom"/>
          </w:tcPr>
          <w:p>
            <w:pPr>
              <w:ind w:left="340"/>
              <w:spacing w:after="0"/>
              <w:rPr>
                <w:sz w:val="20"/>
                <w:szCs w:val="20"/>
                <w:color w:val="auto"/>
              </w:rPr>
            </w:pPr>
            <w:r>
              <w:rPr>
                <w:rFonts w:ascii="Arial" w:cs="Arial" w:eastAsia="Arial" w:hAnsi="Arial"/>
                <w:sz w:val="22"/>
                <w:szCs w:val="22"/>
                <w:i w:val="1"/>
                <w:iCs w:val="1"/>
                <w:color w:val="auto"/>
                <w:w w:val="94"/>
              </w:rPr>
              <w:t>Increase in Conversion Rate Upon Conversion in Connection with a Make-Whole Fundamental</w:t>
            </w:r>
          </w:p>
        </w:tc>
        <w:tc>
          <w:tcPr>
            <w:tcW w:w="680" w:type="dxa"/>
            <w:vAlign w:val="bottom"/>
          </w:tcPr>
          <w:p>
            <w:pPr>
              <w:spacing w:after="0"/>
              <w:rPr>
                <w:sz w:val="23"/>
                <w:szCs w:val="23"/>
                <w:color w:val="auto"/>
              </w:rPr>
            </w:pPr>
          </w:p>
        </w:tc>
      </w:tr>
      <w:tr>
        <w:trPr>
          <w:trHeight w:val="275"/>
        </w:trPr>
        <w:tc>
          <w:tcPr>
            <w:tcW w:w="1480" w:type="dxa"/>
            <w:vAlign w:val="bottom"/>
          </w:tcPr>
          <w:p>
            <w:pPr>
              <w:spacing w:after="0"/>
              <w:rPr>
                <w:sz w:val="23"/>
                <w:szCs w:val="23"/>
                <w:color w:val="auto"/>
              </w:rPr>
            </w:pPr>
          </w:p>
        </w:tc>
        <w:tc>
          <w:tcPr>
            <w:tcW w:w="9100" w:type="dxa"/>
            <w:vAlign w:val="bottom"/>
          </w:tcPr>
          <w:p>
            <w:pPr>
              <w:ind w:left="340"/>
              <w:spacing w:after="0"/>
              <w:rPr>
                <w:sz w:val="20"/>
                <w:szCs w:val="20"/>
                <w:color w:val="auto"/>
              </w:rPr>
            </w:pPr>
            <w:r>
              <w:rPr>
                <w:rFonts w:ascii="Arial" w:cs="Arial" w:eastAsia="Arial" w:hAnsi="Arial"/>
                <w:sz w:val="22"/>
                <w:szCs w:val="22"/>
                <w:i w:val="1"/>
                <w:iCs w:val="1"/>
                <w:color w:val="auto"/>
              </w:rPr>
              <w:t>Change</w:t>
            </w:r>
          </w:p>
        </w:tc>
        <w:tc>
          <w:tcPr>
            <w:tcW w:w="680" w:type="dxa"/>
            <w:vAlign w:val="bottom"/>
          </w:tcPr>
          <w:p>
            <w:pPr>
              <w:jc w:val="right"/>
              <w:spacing w:after="0"/>
              <w:rPr>
                <w:rFonts w:ascii="Arial" w:cs="Arial" w:eastAsia="Arial" w:hAnsi="Arial"/>
                <w:sz w:val="22"/>
                <w:szCs w:val="22"/>
                <w:color w:val="auto"/>
              </w:rPr>
            </w:pPr>
            <w:hyperlink w:anchor="page139">
              <w:r>
                <w:rPr>
                  <w:rFonts w:ascii="Arial" w:cs="Arial" w:eastAsia="Arial" w:hAnsi="Arial"/>
                  <w:sz w:val="22"/>
                  <w:szCs w:val="22"/>
                  <w:color w:val="auto"/>
                </w:rPr>
                <w:t>65</w:t>
              </w:r>
            </w:hyperlink>
          </w:p>
        </w:tc>
      </w:tr>
      <w:tr>
        <w:trPr>
          <w:trHeight w:val="297"/>
        </w:trPr>
        <w:tc>
          <w:tcPr>
            <w:tcW w:w="1480" w:type="dxa"/>
            <w:vAlign w:val="bottom"/>
          </w:tcPr>
          <w:p>
            <w:pPr>
              <w:spacing w:after="0"/>
              <w:rPr>
                <w:sz w:val="20"/>
                <w:szCs w:val="20"/>
                <w:color w:val="auto"/>
              </w:rPr>
            </w:pPr>
            <w:r>
              <w:rPr>
                <w:rFonts w:ascii="Arial" w:cs="Arial" w:eastAsia="Arial" w:hAnsi="Arial"/>
                <w:sz w:val="22"/>
                <w:szCs w:val="22"/>
                <w:color w:val="auto"/>
                <w:w w:val="99"/>
              </w:rPr>
              <w:t>Section 14.04 .</w:t>
            </w:r>
          </w:p>
        </w:tc>
        <w:tc>
          <w:tcPr>
            <w:tcW w:w="9100" w:type="dxa"/>
            <w:vAlign w:val="bottom"/>
          </w:tcPr>
          <w:p>
            <w:pPr>
              <w:ind w:left="340"/>
              <w:spacing w:after="0"/>
              <w:rPr>
                <w:sz w:val="20"/>
                <w:szCs w:val="20"/>
                <w:color w:val="auto"/>
              </w:rPr>
            </w:pPr>
            <w:r>
              <w:rPr>
                <w:rFonts w:ascii="Arial" w:cs="Arial" w:eastAsia="Arial" w:hAnsi="Arial"/>
                <w:sz w:val="22"/>
                <w:szCs w:val="22"/>
                <w:i w:val="1"/>
                <w:iCs w:val="1"/>
                <w:color w:val="auto"/>
              </w:rPr>
              <w:t>Adjustment of Conversion Rate</w:t>
            </w:r>
          </w:p>
        </w:tc>
        <w:tc>
          <w:tcPr>
            <w:tcW w:w="680" w:type="dxa"/>
            <w:vAlign w:val="bottom"/>
          </w:tcPr>
          <w:p>
            <w:pPr>
              <w:jc w:val="right"/>
              <w:spacing w:after="0"/>
              <w:rPr>
                <w:rFonts w:ascii="Arial" w:cs="Arial" w:eastAsia="Arial" w:hAnsi="Arial"/>
                <w:sz w:val="22"/>
                <w:szCs w:val="22"/>
                <w:color w:val="auto"/>
              </w:rPr>
            </w:pPr>
            <w:hyperlink w:anchor="page142">
              <w:r>
                <w:rPr>
                  <w:rFonts w:ascii="Arial" w:cs="Arial" w:eastAsia="Arial" w:hAnsi="Arial"/>
                  <w:sz w:val="22"/>
                  <w:szCs w:val="22"/>
                  <w:color w:val="auto"/>
                </w:rPr>
                <w:t>68</w:t>
              </w:r>
            </w:hyperlink>
          </w:p>
        </w:tc>
      </w:tr>
      <w:tr>
        <w:trPr>
          <w:trHeight w:val="297"/>
        </w:trPr>
        <w:tc>
          <w:tcPr>
            <w:tcW w:w="1480" w:type="dxa"/>
            <w:vAlign w:val="bottom"/>
          </w:tcPr>
          <w:p>
            <w:pPr>
              <w:spacing w:after="0"/>
              <w:rPr>
                <w:sz w:val="20"/>
                <w:szCs w:val="20"/>
                <w:color w:val="auto"/>
              </w:rPr>
            </w:pPr>
            <w:r>
              <w:rPr>
                <w:rFonts w:ascii="Arial" w:cs="Arial" w:eastAsia="Arial" w:hAnsi="Arial"/>
                <w:sz w:val="22"/>
                <w:szCs w:val="22"/>
                <w:color w:val="auto"/>
                <w:w w:val="99"/>
              </w:rPr>
              <w:t>Section 14.05 .</w:t>
            </w:r>
          </w:p>
        </w:tc>
        <w:tc>
          <w:tcPr>
            <w:tcW w:w="9100" w:type="dxa"/>
            <w:vAlign w:val="bottom"/>
          </w:tcPr>
          <w:p>
            <w:pPr>
              <w:ind w:left="340"/>
              <w:spacing w:after="0"/>
              <w:rPr>
                <w:sz w:val="20"/>
                <w:szCs w:val="20"/>
                <w:color w:val="auto"/>
              </w:rPr>
            </w:pPr>
            <w:r>
              <w:rPr>
                <w:rFonts w:ascii="Arial" w:cs="Arial" w:eastAsia="Arial" w:hAnsi="Arial"/>
                <w:sz w:val="22"/>
                <w:szCs w:val="22"/>
                <w:i w:val="1"/>
                <w:iCs w:val="1"/>
                <w:color w:val="auto"/>
              </w:rPr>
              <w:t>Adjustments of Prices</w:t>
            </w:r>
          </w:p>
        </w:tc>
        <w:tc>
          <w:tcPr>
            <w:tcW w:w="680" w:type="dxa"/>
            <w:vAlign w:val="bottom"/>
          </w:tcPr>
          <w:p>
            <w:pPr>
              <w:jc w:val="right"/>
              <w:spacing w:after="0"/>
              <w:rPr>
                <w:rFonts w:ascii="Arial" w:cs="Arial" w:eastAsia="Arial" w:hAnsi="Arial"/>
                <w:sz w:val="22"/>
                <w:szCs w:val="22"/>
                <w:color w:val="auto"/>
              </w:rPr>
            </w:pPr>
            <w:hyperlink w:anchor="page152">
              <w:r>
                <w:rPr>
                  <w:rFonts w:ascii="Arial" w:cs="Arial" w:eastAsia="Arial" w:hAnsi="Arial"/>
                  <w:sz w:val="22"/>
                  <w:szCs w:val="22"/>
                  <w:color w:val="auto"/>
                </w:rPr>
                <w:t>78</w:t>
              </w:r>
            </w:hyperlink>
          </w:p>
        </w:tc>
      </w:tr>
      <w:tr>
        <w:trPr>
          <w:trHeight w:val="297"/>
        </w:trPr>
        <w:tc>
          <w:tcPr>
            <w:tcW w:w="1480" w:type="dxa"/>
            <w:vAlign w:val="bottom"/>
          </w:tcPr>
          <w:p>
            <w:pPr>
              <w:spacing w:after="0"/>
              <w:rPr>
                <w:sz w:val="20"/>
                <w:szCs w:val="20"/>
                <w:color w:val="auto"/>
              </w:rPr>
            </w:pPr>
            <w:r>
              <w:rPr>
                <w:rFonts w:ascii="Arial" w:cs="Arial" w:eastAsia="Arial" w:hAnsi="Arial"/>
                <w:sz w:val="22"/>
                <w:szCs w:val="22"/>
                <w:color w:val="auto"/>
                <w:w w:val="99"/>
              </w:rPr>
              <w:t>Section 14.06 .</w:t>
            </w:r>
          </w:p>
        </w:tc>
        <w:tc>
          <w:tcPr>
            <w:tcW w:w="9100" w:type="dxa"/>
            <w:vAlign w:val="bottom"/>
          </w:tcPr>
          <w:p>
            <w:pPr>
              <w:ind w:left="340"/>
              <w:spacing w:after="0"/>
              <w:rPr>
                <w:sz w:val="20"/>
                <w:szCs w:val="20"/>
                <w:color w:val="auto"/>
              </w:rPr>
            </w:pPr>
            <w:r>
              <w:rPr>
                <w:rFonts w:ascii="Arial" w:cs="Arial" w:eastAsia="Arial" w:hAnsi="Arial"/>
                <w:sz w:val="22"/>
                <w:szCs w:val="22"/>
                <w:i w:val="1"/>
                <w:iCs w:val="1"/>
                <w:color w:val="auto"/>
              </w:rPr>
              <w:t>Shares to Be Fully Reserved</w:t>
            </w:r>
          </w:p>
        </w:tc>
        <w:tc>
          <w:tcPr>
            <w:tcW w:w="680" w:type="dxa"/>
            <w:vAlign w:val="bottom"/>
          </w:tcPr>
          <w:p>
            <w:pPr>
              <w:jc w:val="right"/>
              <w:spacing w:after="0"/>
              <w:rPr>
                <w:rFonts w:ascii="Arial" w:cs="Arial" w:eastAsia="Arial" w:hAnsi="Arial"/>
                <w:sz w:val="22"/>
                <w:szCs w:val="22"/>
                <w:color w:val="auto"/>
              </w:rPr>
            </w:pPr>
            <w:hyperlink w:anchor="page152">
              <w:r>
                <w:rPr>
                  <w:rFonts w:ascii="Arial" w:cs="Arial" w:eastAsia="Arial" w:hAnsi="Arial"/>
                  <w:sz w:val="22"/>
                  <w:szCs w:val="22"/>
                  <w:color w:val="auto"/>
                </w:rPr>
                <w:t>78</w:t>
              </w:r>
            </w:hyperlink>
          </w:p>
        </w:tc>
      </w:tr>
      <w:tr>
        <w:trPr>
          <w:trHeight w:val="297"/>
        </w:trPr>
        <w:tc>
          <w:tcPr>
            <w:tcW w:w="1480" w:type="dxa"/>
            <w:vAlign w:val="bottom"/>
          </w:tcPr>
          <w:p>
            <w:pPr>
              <w:spacing w:after="0"/>
              <w:rPr>
                <w:sz w:val="20"/>
                <w:szCs w:val="20"/>
                <w:color w:val="auto"/>
              </w:rPr>
            </w:pPr>
            <w:r>
              <w:rPr>
                <w:rFonts w:ascii="Arial" w:cs="Arial" w:eastAsia="Arial" w:hAnsi="Arial"/>
                <w:sz w:val="22"/>
                <w:szCs w:val="22"/>
                <w:color w:val="auto"/>
                <w:w w:val="99"/>
              </w:rPr>
              <w:t>Section 14.07 .</w:t>
            </w:r>
          </w:p>
        </w:tc>
        <w:tc>
          <w:tcPr>
            <w:tcW w:w="9100" w:type="dxa"/>
            <w:vAlign w:val="bottom"/>
          </w:tcPr>
          <w:p>
            <w:pPr>
              <w:ind w:left="340"/>
              <w:spacing w:after="0"/>
              <w:rPr>
                <w:sz w:val="20"/>
                <w:szCs w:val="20"/>
                <w:color w:val="auto"/>
              </w:rPr>
            </w:pPr>
            <w:r>
              <w:rPr>
                <w:rFonts w:ascii="Arial" w:cs="Arial" w:eastAsia="Arial" w:hAnsi="Arial"/>
                <w:sz w:val="22"/>
                <w:szCs w:val="22"/>
                <w:i w:val="1"/>
                <w:iCs w:val="1"/>
                <w:color w:val="auto"/>
              </w:rPr>
              <w:t>Effect of Recapitalizations, Reclassifications and Changes of the Common Stock</w:t>
            </w:r>
          </w:p>
        </w:tc>
        <w:tc>
          <w:tcPr>
            <w:tcW w:w="680" w:type="dxa"/>
            <w:vAlign w:val="bottom"/>
          </w:tcPr>
          <w:p>
            <w:pPr>
              <w:jc w:val="right"/>
              <w:spacing w:after="0"/>
              <w:rPr>
                <w:rFonts w:ascii="Arial" w:cs="Arial" w:eastAsia="Arial" w:hAnsi="Arial"/>
                <w:sz w:val="22"/>
                <w:szCs w:val="22"/>
                <w:color w:val="auto"/>
              </w:rPr>
            </w:pPr>
            <w:hyperlink w:anchor="page152">
              <w:r>
                <w:rPr>
                  <w:rFonts w:ascii="Arial" w:cs="Arial" w:eastAsia="Arial" w:hAnsi="Arial"/>
                  <w:sz w:val="22"/>
                  <w:szCs w:val="22"/>
                  <w:color w:val="auto"/>
                </w:rPr>
                <w:t>78</w:t>
              </w:r>
            </w:hyperlink>
          </w:p>
        </w:tc>
      </w:tr>
      <w:tr>
        <w:trPr>
          <w:trHeight w:val="297"/>
        </w:trPr>
        <w:tc>
          <w:tcPr>
            <w:tcW w:w="1480" w:type="dxa"/>
            <w:vAlign w:val="bottom"/>
          </w:tcPr>
          <w:p>
            <w:pPr>
              <w:spacing w:after="0"/>
              <w:rPr>
                <w:sz w:val="20"/>
                <w:szCs w:val="20"/>
                <w:color w:val="auto"/>
              </w:rPr>
            </w:pPr>
            <w:r>
              <w:rPr>
                <w:rFonts w:ascii="Arial" w:cs="Arial" w:eastAsia="Arial" w:hAnsi="Arial"/>
                <w:sz w:val="22"/>
                <w:szCs w:val="22"/>
                <w:color w:val="auto"/>
                <w:w w:val="99"/>
              </w:rPr>
              <w:t>Section 14.08 .</w:t>
            </w:r>
          </w:p>
        </w:tc>
        <w:tc>
          <w:tcPr>
            <w:tcW w:w="9100" w:type="dxa"/>
            <w:vAlign w:val="bottom"/>
          </w:tcPr>
          <w:p>
            <w:pPr>
              <w:ind w:left="340"/>
              <w:spacing w:after="0"/>
              <w:rPr>
                <w:sz w:val="20"/>
                <w:szCs w:val="20"/>
                <w:color w:val="auto"/>
              </w:rPr>
            </w:pPr>
            <w:r>
              <w:rPr>
                <w:rFonts w:ascii="Arial" w:cs="Arial" w:eastAsia="Arial" w:hAnsi="Arial"/>
                <w:sz w:val="22"/>
                <w:szCs w:val="22"/>
                <w:i w:val="1"/>
                <w:iCs w:val="1"/>
                <w:color w:val="auto"/>
              </w:rPr>
              <w:t>Certain Covenants</w:t>
            </w:r>
          </w:p>
        </w:tc>
        <w:tc>
          <w:tcPr>
            <w:tcW w:w="680" w:type="dxa"/>
            <w:vAlign w:val="bottom"/>
          </w:tcPr>
          <w:p>
            <w:pPr>
              <w:jc w:val="right"/>
              <w:spacing w:after="0"/>
              <w:rPr>
                <w:rFonts w:ascii="Arial" w:cs="Arial" w:eastAsia="Arial" w:hAnsi="Arial"/>
                <w:sz w:val="22"/>
                <w:szCs w:val="22"/>
                <w:color w:val="auto"/>
              </w:rPr>
            </w:pPr>
            <w:hyperlink w:anchor="page154">
              <w:r>
                <w:rPr>
                  <w:rFonts w:ascii="Arial" w:cs="Arial" w:eastAsia="Arial" w:hAnsi="Arial"/>
                  <w:sz w:val="22"/>
                  <w:szCs w:val="22"/>
                  <w:color w:val="auto"/>
                </w:rPr>
                <w:t>80</w:t>
              </w:r>
            </w:hyperlink>
          </w:p>
        </w:tc>
      </w:tr>
      <w:tr>
        <w:trPr>
          <w:trHeight w:val="297"/>
        </w:trPr>
        <w:tc>
          <w:tcPr>
            <w:tcW w:w="1480" w:type="dxa"/>
            <w:vAlign w:val="bottom"/>
          </w:tcPr>
          <w:p>
            <w:pPr>
              <w:spacing w:after="0"/>
              <w:rPr>
                <w:sz w:val="20"/>
                <w:szCs w:val="20"/>
                <w:color w:val="auto"/>
              </w:rPr>
            </w:pPr>
            <w:r>
              <w:rPr>
                <w:rFonts w:ascii="Arial" w:cs="Arial" w:eastAsia="Arial" w:hAnsi="Arial"/>
                <w:sz w:val="22"/>
                <w:szCs w:val="22"/>
                <w:color w:val="auto"/>
                <w:w w:val="99"/>
              </w:rPr>
              <w:t>Section 14.09 .</w:t>
            </w:r>
          </w:p>
        </w:tc>
        <w:tc>
          <w:tcPr>
            <w:tcW w:w="9100" w:type="dxa"/>
            <w:vAlign w:val="bottom"/>
          </w:tcPr>
          <w:p>
            <w:pPr>
              <w:ind w:left="340"/>
              <w:spacing w:after="0"/>
              <w:rPr>
                <w:sz w:val="20"/>
                <w:szCs w:val="20"/>
                <w:color w:val="auto"/>
              </w:rPr>
            </w:pPr>
            <w:r>
              <w:rPr>
                <w:rFonts w:ascii="Arial" w:cs="Arial" w:eastAsia="Arial" w:hAnsi="Arial"/>
                <w:sz w:val="22"/>
                <w:szCs w:val="22"/>
                <w:i w:val="1"/>
                <w:iCs w:val="1"/>
                <w:color w:val="auto"/>
              </w:rPr>
              <w:t>Responsibility of Trustee</w:t>
            </w:r>
          </w:p>
        </w:tc>
        <w:tc>
          <w:tcPr>
            <w:tcW w:w="680" w:type="dxa"/>
            <w:vAlign w:val="bottom"/>
          </w:tcPr>
          <w:p>
            <w:pPr>
              <w:jc w:val="right"/>
              <w:spacing w:after="0"/>
              <w:rPr>
                <w:rFonts w:ascii="Arial" w:cs="Arial" w:eastAsia="Arial" w:hAnsi="Arial"/>
                <w:sz w:val="22"/>
                <w:szCs w:val="22"/>
                <w:color w:val="auto"/>
              </w:rPr>
            </w:pPr>
            <w:hyperlink w:anchor="page155">
              <w:r>
                <w:rPr>
                  <w:rFonts w:ascii="Arial" w:cs="Arial" w:eastAsia="Arial" w:hAnsi="Arial"/>
                  <w:sz w:val="22"/>
                  <w:szCs w:val="22"/>
                  <w:color w:val="auto"/>
                </w:rPr>
                <w:t>81</w:t>
              </w:r>
            </w:hyperlink>
          </w:p>
        </w:tc>
      </w:tr>
      <w:tr>
        <w:trPr>
          <w:trHeight w:val="297"/>
        </w:trPr>
        <w:tc>
          <w:tcPr>
            <w:tcW w:w="1480" w:type="dxa"/>
            <w:vAlign w:val="bottom"/>
          </w:tcPr>
          <w:p>
            <w:pPr>
              <w:spacing w:after="0"/>
              <w:rPr>
                <w:sz w:val="20"/>
                <w:szCs w:val="20"/>
                <w:color w:val="auto"/>
              </w:rPr>
            </w:pPr>
            <w:r>
              <w:rPr>
                <w:rFonts w:ascii="Arial" w:cs="Arial" w:eastAsia="Arial" w:hAnsi="Arial"/>
                <w:sz w:val="22"/>
                <w:szCs w:val="22"/>
                <w:color w:val="auto"/>
                <w:w w:val="99"/>
              </w:rPr>
              <w:t>Section 14.10 .</w:t>
            </w:r>
          </w:p>
        </w:tc>
        <w:tc>
          <w:tcPr>
            <w:tcW w:w="9100" w:type="dxa"/>
            <w:vAlign w:val="bottom"/>
          </w:tcPr>
          <w:p>
            <w:pPr>
              <w:ind w:left="340"/>
              <w:spacing w:after="0"/>
              <w:rPr>
                <w:sz w:val="20"/>
                <w:szCs w:val="20"/>
                <w:color w:val="auto"/>
              </w:rPr>
            </w:pPr>
            <w:r>
              <w:rPr>
                <w:rFonts w:ascii="Arial" w:cs="Arial" w:eastAsia="Arial" w:hAnsi="Arial"/>
                <w:sz w:val="22"/>
                <w:szCs w:val="22"/>
                <w:i w:val="1"/>
                <w:iCs w:val="1"/>
                <w:color w:val="auto"/>
              </w:rPr>
              <w:t>Notice to Holders Prior to Certain Actions</w:t>
            </w:r>
          </w:p>
        </w:tc>
        <w:tc>
          <w:tcPr>
            <w:tcW w:w="680" w:type="dxa"/>
            <w:vAlign w:val="bottom"/>
          </w:tcPr>
          <w:p>
            <w:pPr>
              <w:jc w:val="right"/>
              <w:spacing w:after="0"/>
              <w:rPr>
                <w:rFonts w:ascii="Arial" w:cs="Arial" w:eastAsia="Arial" w:hAnsi="Arial"/>
                <w:sz w:val="22"/>
                <w:szCs w:val="22"/>
                <w:color w:val="auto"/>
              </w:rPr>
            </w:pPr>
            <w:hyperlink w:anchor="page156">
              <w:r>
                <w:rPr>
                  <w:rFonts w:ascii="Arial" w:cs="Arial" w:eastAsia="Arial" w:hAnsi="Arial"/>
                  <w:sz w:val="22"/>
                  <w:szCs w:val="22"/>
                  <w:color w:val="auto"/>
                </w:rPr>
                <w:t>82</w:t>
              </w:r>
            </w:hyperlink>
          </w:p>
        </w:tc>
      </w:tr>
      <w:tr>
        <w:trPr>
          <w:trHeight w:val="297"/>
        </w:trPr>
        <w:tc>
          <w:tcPr>
            <w:tcW w:w="1480" w:type="dxa"/>
            <w:vAlign w:val="bottom"/>
          </w:tcPr>
          <w:p>
            <w:pPr>
              <w:spacing w:after="0"/>
              <w:rPr>
                <w:sz w:val="20"/>
                <w:szCs w:val="20"/>
                <w:color w:val="auto"/>
              </w:rPr>
            </w:pPr>
            <w:r>
              <w:rPr>
                <w:rFonts w:ascii="Arial" w:cs="Arial" w:eastAsia="Arial" w:hAnsi="Arial"/>
                <w:sz w:val="22"/>
                <w:szCs w:val="22"/>
                <w:color w:val="auto"/>
                <w:w w:val="99"/>
              </w:rPr>
              <w:t>Section 14.11 .</w:t>
            </w:r>
          </w:p>
        </w:tc>
        <w:tc>
          <w:tcPr>
            <w:tcW w:w="9100" w:type="dxa"/>
            <w:vAlign w:val="bottom"/>
          </w:tcPr>
          <w:p>
            <w:pPr>
              <w:ind w:left="340"/>
              <w:spacing w:after="0"/>
              <w:rPr>
                <w:sz w:val="20"/>
                <w:szCs w:val="20"/>
                <w:color w:val="auto"/>
              </w:rPr>
            </w:pPr>
            <w:r>
              <w:rPr>
                <w:rFonts w:ascii="Arial" w:cs="Arial" w:eastAsia="Arial" w:hAnsi="Arial"/>
                <w:sz w:val="22"/>
                <w:szCs w:val="22"/>
                <w:i w:val="1"/>
                <w:iCs w:val="1"/>
                <w:color w:val="auto"/>
              </w:rPr>
              <w:t>Stockholder Rights Plans</w:t>
            </w:r>
          </w:p>
        </w:tc>
        <w:tc>
          <w:tcPr>
            <w:tcW w:w="680" w:type="dxa"/>
            <w:vAlign w:val="bottom"/>
          </w:tcPr>
          <w:p>
            <w:pPr>
              <w:jc w:val="right"/>
              <w:spacing w:after="0"/>
              <w:rPr>
                <w:rFonts w:ascii="Arial" w:cs="Arial" w:eastAsia="Arial" w:hAnsi="Arial"/>
                <w:sz w:val="22"/>
                <w:szCs w:val="22"/>
                <w:color w:val="auto"/>
              </w:rPr>
            </w:pPr>
            <w:hyperlink w:anchor="page156">
              <w:r>
                <w:rPr>
                  <w:rFonts w:ascii="Arial" w:cs="Arial" w:eastAsia="Arial" w:hAnsi="Arial"/>
                  <w:sz w:val="22"/>
                  <w:szCs w:val="22"/>
                  <w:color w:val="auto"/>
                </w:rPr>
                <w:t>82</w:t>
              </w:r>
            </w:hyperlink>
          </w:p>
        </w:tc>
      </w:tr>
      <w:tr>
        <w:trPr>
          <w:trHeight w:val="527"/>
        </w:trPr>
        <w:tc>
          <w:tcPr>
            <w:tcW w:w="1480" w:type="dxa"/>
            <w:vAlign w:val="bottom"/>
          </w:tcPr>
          <w:p>
            <w:pPr>
              <w:spacing w:after="0"/>
              <w:rPr>
                <w:sz w:val="24"/>
                <w:szCs w:val="24"/>
                <w:color w:val="auto"/>
              </w:rPr>
            </w:pPr>
          </w:p>
        </w:tc>
        <w:tc>
          <w:tcPr>
            <w:tcW w:w="9100" w:type="dxa"/>
            <w:vAlign w:val="bottom"/>
          </w:tcPr>
          <w:p>
            <w:pPr>
              <w:jc w:val="center"/>
              <w:ind w:right="692"/>
              <w:spacing w:after="0"/>
              <w:rPr>
                <w:sz w:val="20"/>
                <w:szCs w:val="20"/>
                <w:color w:val="auto"/>
              </w:rPr>
            </w:pPr>
            <w:r>
              <w:rPr>
                <w:rFonts w:ascii="Arial" w:cs="Arial" w:eastAsia="Arial" w:hAnsi="Arial"/>
                <w:sz w:val="22"/>
                <w:szCs w:val="22"/>
                <w:color w:val="auto"/>
                <w:w w:val="81"/>
              </w:rPr>
              <w:t>3</w:t>
            </w:r>
          </w:p>
        </w:tc>
        <w:tc>
          <w:tcPr>
            <w:tcW w:w="680" w:type="dxa"/>
            <w:vAlign w:val="bottom"/>
          </w:tcPr>
          <w:p>
            <w:pPr>
              <w:spacing w:after="0"/>
              <w:rPr>
                <w:sz w:val="24"/>
                <w:szCs w:val="24"/>
                <w:color w:val="auto"/>
              </w:rPr>
            </w:pPr>
          </w:p>
        </w:tc>
      </w:tr>
    </w:tbl>
    <w:p>
      <w:pPr>
        <w:sectPr>
          <w:pgSz w:w="11900" w:h="16838" w:orient="portrait"/>
          <w:cols w:equalWidth="0" w:num="1">
            <w:col w:w="11260"/>
          </w:cols>
          <w:pgMar w:left="320" w:top="591" w:right="319" w:bottom="1440" w:gutter="0" w:footer="0" w:header="0"/>
        </w:sectPr>
      </w:pPr>
    </w:p>
    <w:bookmarkStart w:id="77" w:name="page78"/>
    <w:bookmarkEnd w:id="77"/>
    <w:p>
      <w:pPr>
        <w:jc w:val="center"/>
        <w:spacing w:after="0"/>
        <w:rPr>
          <w:rFonts w:ascii="Arial" w:cs="Arial" w:eastAsia="Arial" w:hAnsi="Arial"/>
          <w:sz w:val="22"/>
          <w:szCs w:val="22"/>
          <w:color w:val="auto"/>
        </w:rPr>
      </w:pPr>
      <w:hyperlink w:anchor="page157">
        <w:r>
          <w:rPr>
            <w:rFonts w:ascii="Arial" w:cs="Arial" w:eastAsia="Arial" w:hAnsi="Arial"/>
            <w:sz w:val="22"/>
            <w:szCs w:val="22"/>
            <w:color w:val="auto"/>
          </w:rPr>
          <w:t>ARTICLE 15</w:t>
        </w:r>
      </w:hyperlink>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PURCHASE OF NOTES AT OPTION OF HOLDERS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580" w:type="dxa"/>
            <w:vAlign w:val="bottom"/>
          </w:tcPr>
          <w:p>
            <w:pPr>
              <w:ind w:left="40"/>
              <w:spacing w:after="0"/>
              <w:rPr>
                <w:sz w:val="20"/>
                <w:szCs w:val="20"/>
                <w:color w:val="auto"/>
              </w:rPr>
            </w:pPr>
            <w:r>
              <w:rPr>
                <w:rFonts w:ascii="Arial" w:cs="Arial" w:eastAsia="Arial" w:hAnsi="Arial"/>
                <w:sz w:val="22"/>
                <w:szCs w:val="22"/>
                <w:color w:val="auto"/>
              </w:rPr>
              <w:t>Section 15.01 .</w:t>
            </w:r>
          </w:p>
        </w:tc>
        <w:tc>
          <w:tcPr>
            <w:tcW w:w="9040" w:type="dxa"/>
            <w:vAlign w:val="bottom"/>
          </w:tcPr>
          <w:p>
            <w:pPr>
              <w:ind w:left="280"/>
              <w:spacing w:after="0"/>
              <w:rPr>
                <w:sz w:val="20"/>
                <w:szCs w:val="20"/>
                <w:color w:val="auto"/>
              </w:rPr>
            </w:pPr>
            <w:r>
              <w:rPr>
                <w:rFonts w:ascii="Arial" w:cs="Arial" w:eastAsia="Arial" w:hAnsi="Arial"/>
                <w:sz w:val="22"/>
                <w:szCs w:val="22"/>
                <w:i w:val="1"/>
                <w:iCs w:val="1"/>
                <w:color w:val="auto"/>
              </w:rPr>
              <w:t>Intentionally Omitted</w:t>
            </w:r>
          </w:p>
        </w:tc>
        <w:tc>
          <w:tcPr>
            <w:tcW w:w="680" w:type="dxa"/>
            <w:vAlign w:val="bottom"/>
          </w:tcPr>
          <w:p>
            <w:pPr>
              <w:jc w:val="right"/>
              <w:spacing w:after="0"/>
              <w:rPr>
                <w:rFonts w:ascii="Arial" w:cs="Arial" w:eastAsia="Arial" w:hAnsi="Arial"/>
                <w:sz w:val="22"/>
                <w:szCs w:val="22"/>
                <w:color w:val="auto"/>
              </w:rPr>
            </w:pPr>
            <w:hyperlink w:anchor="page157">
              <w:r>
                <w:rPr>
                  <w:rFonts w:ascii="Arial" w:cs="Arial" w:eastAsia="Arial" w:hAnsi="Arial"/>
                  <w:sz w:val="22"/>
                  <w:szCs w:val="22"/>
                  <w:color w:val="auto"/>
                </w:rPr>
                <w:t>83</w:t>
              </w:r>
            </w:hyperlink>
          </w:p>
        </w:tc>
      </w:tr>
      <w:tr>
        <w:trPr>
          <w:trHeight w:val="297"/>
        </w:trPr>
        <w:tc>
          <w:tcPr>
            <w:tcW w:w="1580" w:type="dxa"/>
            <w:vAlign w:val="bottom"/>
          </w:tcPr>
          <w:p>
            <w:pPr>
              <w:ind w:left="40"/>
              <w:spacing w:after="0"/>
              <w:rPr>
                <w:sz w:val="20"/>
                <w:szCs w:val="20"/>
                <w:color w:val="auto"/>
              </w:rPr>
            </w:pPr>
            <w:r>
              <w:rPr>
                <w:rFonts w:ascii="Arial" w:cs="Arial" w:eastAsia="Arial" w:hAnsi="Arial"/>
                <w:sz w:val="22"/>
                <w:szCs w:val="22"/>
                <w:color w:val="auto"/>
              </w:rPr>
              <w:t>Section 15.02 .</w:t>
            </w:r>
          </w:p>
        </w:tc>
        <w:tc>
          <w:tcPr>
            <w:tcW w:w="9040" w:type="dxa"/>
            <w:vAlign w:val="bottom"/>
          </w:tcPr>
          <w:p>
            <w:pPr>
              <w:ind w:left="280"/>
              <w:spacing w:after="0"/>
              <w:rPr>
                <w:sz w:val="20"/>
                <w:szCs w:val="20"/>
                <w:color w:val="auto"/>
              </w:rPr>
            </w:pPr>
            <w:r>
              <w:rPr>
                <w:rFonts w:ascii="Arial" w:cs="Arial" w:eastAsia="Arial" w:hAnsi="Arial"/>
                <w:sz w:val="22"/>
                <w:szCs w:val="22"/>
                <w:i w:val="1"/>
                <w:iCs w:val="1"/>
                <w:color w:val="auto"/>
              </w:rPr>
              <w:t>Repurchase at Option of Holders Upon a Fundamental Change</w:t>
            </w:r>
          </w:p>
        </w:tc>
        <w:tc>
          <w:tcPr>
            <w:tcW w:w="680" w:type="dxa"/>
            <w:vAlign w:val="bottom"/>
          </w:tcPr>
          <w:p>
            <w:pPr>
              <w:jc w:val="right"/>
              <w:spacing w:after="0"/>
              <w:rPr>
                <w:rFonts w:ascii="Arial" w:cs="Arial" w:eastAsia="Arial" w:hAnsi="Arial"/>
                <w:sz w:val="22"/>
                <w:szCs w:val="22"/>
                <w:color w:val="auto"/>
              </w:rPr>
            </w:pPr>
            <w:hyperlink w:anchor="page157">
              <w:r>
                <w:rPr>
                  <w:rFonts w:ascii="Arial" w:cs="Arial" w:eastAsia="Arial" w:hAnsi="Arial"/>
                  <w:sz w:val="22"/>
                  <w:szCs w:val="22"/>
                  <w:color w:val="auto"/>
                </w:rPr>
                <w:t>83</w:t>
              </w:r>
            </w:hyperlink>
          </w:p>
        </w:tc>
      </w:tr>
      <w:tr>
        <w:trPr>
          <w:trHeight w:val="297"/>
        </w:trPr>
        <w:tc>
          <w:tcPr>
            <w:tcW w:w="1580" w:type="dxa"/>
            <w:vAlign w:val="bottom"/>
          </w:tcPr>
          <w:p>
            <w:pPr>
              <w:ind w:left="40"/>
              <w:spacing w:after="0"/>
              <w:rPr>
                <w:sz w:val="20"/>
                <w:szCs w:val="20"/>
                <w:color w:val="auto"/>
              </w:rPr>
            </w:pPr>
            <w:r>
              <w:rPr>
                <w:rFonts w:ascii="Arial" w:cs="Arial" w:eastAsia="Arial" w:hAnsi="Arial"/>
                <w:sz w:val="22"/>
                <w:szCs w:val="22"/>
                <w:color w:val="auto"/>
              </w:rPr>
              <w:t>Section 15.03 .</w:t>
            </w:r>
          </w:p>
        </w:tc>
        <w:tc>
          <w:tcPr>
            <w:tcW w:w="9040" w:type="dxa"/>
            <w:vAlign w:val="bottom"/>
          </w:tcPr>
          <w:p>
            <w:pPr>
              <w:ind w:left="280"/>
              <w:spacing w:after="0"/>
              <w:rPr>
                <w:sz w:val="20"/>
                <w:szCs w:val="20"/>
                <w:color w:val="auto"/>
              </w:rPr>
            </w:pPr>
            <w:r>
              <w:rPr>
                <w:rFonts w:ascii="Arial" w:cs="Arial" w:eastAsia="Arial" w:hAnsi="Arial"/>
                <w:sz w:val="22"/>
                <w:szCs w:val="22"/>
                <w:i w:val="1"/>
                <w:iCs w:val="1"/>
                <w:color w:val="auto"/>
              </w:rPr>
              <w:t>Withdrawal of Fundamental Change Repurchase Notice</w:t>
            </w:r>
          </w:p>
        </w:tc>
        <w:tc>
          <w:tcPr>
            <w:tcW w:w="680" w:type="dxa"/>
            <w:vAlign w:val="bottom"/>
          </w:tcPr>
          <w:p>
            <w:pPr>
              <w:jc w:val="right"/>
              <w:spacing w:after="0"/>
              <w:rPr>
                <w:rFonts w:ascii="Arial" w:cs="Arial" w:eastAsia="Arial" w:hAnsi="Arial"/>
                <w:sz w:val="22"/>
                <w:szCs w:val="22"/>
                <w:color w:val="auto"/>
              </w:rPr>
            </w:pPr>
            <w:hyperlink w:anchor="page159">
              <w:r>
                <w:rPr>
                  <w:rFonts w:ascii="Arial" w:cs="Arial" w:eastAsia="Arial" w:hAnsi="Arial"/>
                  <w:sz w:val="22"/>
                  <w:szCs w:val="22"/>
                  <w:color w:val="auto"/>
                </w:rPr>
                <w:t>85</w:t>
              </w:r>
            </w:hyperlink>
          </w:p>
        </w:tc>
      </w:tr>
      <w:tr>
        <w:trPr>
          <w:trHeight w:val="297"/>
        </w:trPr>
        <w:tc>
          <w:tcPr>
            <w:tcW w:w="1580" w:type="dxa"/>
            <w:vAlign w:val="bottom"/>
          </w:tcPr>
          <w:p>
            <w:pPr>
              <w:ind w:left="40"/>
              <w:spacing w:after="0"/>
              <w:rPr>
                <w:sz w:val="20"/>
                <w:szCs w:val="20"/>
                <w:color w:val="auto"/>
              </w:rPr>
            </w:pPr>
            <w:r>
              <w:rPr>
                <w:rFonts w:ascii="Arial" w:cs="Arial" w:eastAsia="Arial" w:hAnsi="Arial"/>
                <w:sz w:val="22"/>
                <w:szCs w:val="22"/>
                <w:color w:val="auto"/>
              </w:rPr>
              <w:t>Section 15.04 .</w:t>
            </w:r>
          </w:p>
        </w:tc>
        <w:tc>
          <w:tcPr>
            <w:tcW w:w="9040" w:type="dxa"/>
            <w:vAlign w:val="bottom"/>
          </w:tcPr>
          <w:p>
            <w:pPr>
              <w:ind w:left="280"/>
              <w:spacing w:after="0"/>
              <w:rPr>
                <w:sz w:val="20"/>
                <w:szCs w:val="20"/>
                <w:color w:val="auto"/>
              </w:rPr>
            </w:pPr>
            <w:r>
              <w:rPr>
                <w:rFonts w:ascii="Arial" w:cs="Arial" w:eastAsia="Arial" w:hAnsi="Arial"/>
                <w:sz w:val="22"/>
                <w:szCs w:val="22"/>
                <w:i w:val="1"/>
                <w:iCs w:val="1"/>
                <w:color w:val="auto"/>
              </w:rPr>
              <w:t>Deposit of Fundamental Change Repurchase Price</w:t>
            </w:r>
          </w:p>
        </w:tc>
        <w:tc>
          <w:tcPr>
            <w:tcW w:w="680" w:type="dxa"/>
            <w:vAlign w:val="bottom"/>
          </w:tcPr>
          <w:p>
            <w:pPr>
              <w:jc w:val="right"/>
              <w:spacing w:after="0"/>
              <w:rPr>
                <w:rFonts w:ascii="Arial" w:cs="Arial" w:eastAsia="Arial" w:hAnsi="Arial"/>
                <w:sz w:val="22"/>
                <w:szCs w:val="22"/>
                <w:color w:val="auto"/>
              </w:rPr>
            </w:pPr>
            <w:hyperlink w:anchor="page160">
              <w:r>
                <w:rPr>
                  <w:rFonts w:ascii="Arial" w:cs="Arial" w:eastAsia="Arial" w:hAnsi="Arial"/>
                  <w:sz w:val="22"/>
                  <w:szCs w:val="22"/>
                  <w:color w:val="auto"/>
                </w:rPr>
                <w:t>86</w:t>
              </w:r>
            </w:hyperlink>
          </w:p>
        </w:tc>
      </w:tr>
      <w:tr>
        <w:trPr>
          <w:trHeight w:val="297"/>
        </w:trPr>
        <w:tc>
          <w:tcPr>
            <w:tcW w:w="1580" w:type="dxa"/>
            <w:vAlign w:val="bottom"/>
          </w:tcPr>
          <w:p>
            <w:pPr>
              <w:ind w:left="40"/>
              <w:spacing w:after="0"/>
              <w:rPr>
                <w:sz w:val="20"/>
                <w:szCs w:val="20"/>
                <w:color w:val="auto"/>
              </w:rPr>
            </w:pPr>
            <w:r>
              <w:rPr>
                <w:rFonts w:ascii="Arial" w:cs="Arial" w:eastAsia="Arial" w:hAnsi="Arial"/>
                <w:sz w:val="22"/>
                <w:szCs w:val="22"/>
                <w:color w:val="auto"/>
              </w:rPr>
              <w:t>Section 15.05 .</w:t>
            </w:r>
          </w:p>
        </w:tc>
        <w:tc>
          <w:tcPr>
            <w:tcW w:w="9040" w:type="dxa"/>
            <w:vAlign w:val="bottom"/>
          </w:tcPr>
          <w:p>
            <w:pPr>
              <w:ind w:left="280"/>
              <w:spacing w:after="0"/>
              <w:rPr>
                <w:sz w:val="20"/>
                <w:szCs w:val="20"/>
                <w:color w:val="auto"/>
              </w:rPr>
            </w:pPr>
            <w:r>
              <w:rPr>
                <w:rFonts w:ascii="Arial" w:cs="Arial" w:eastAsia="Arial" w:hAnsi="Arial"/>
                <w:sz w:val="22"/>
                <w:szCs w:val="22"/>
                <w:i w:val="1"/>
                <w:iCs w:val="1"/>
                <w:color w:val="auto"/>
              </w:rPr>
              <w:t>Covenant to Comply with Applicable Laws Upon Repurchase of Notes</w:t>
            </w:r>
          </w:p>
        </w:tc>
        <w:tc>
          <w:tcPr>
            <w:tcW w:w="680" w:type="dxa"/>
            <w:vAlign w:val="bottom"/>
          </w:tcPr>
          <w:p>
            <w:pPr>
              <w:jc w:val="right"/>
              <w:spacing w:after="0"/>
              <w:rPr>
                <w:rFonts w:ascii="Arial" w:cs="Arial" w:eastAsia="Arial" w:hAnsi="Arial"/>
                <w:sz w:val="22"/>
                <w:szCs w:val="22"/>
                <w:color w:val="auto"/>
              </w:rPr>
            </w:pPr>
            <w:hyperlink w:anchor="page161">
              <w:r>
                <w:rPr>
                  <w:rFonts w:ascii="Arial" w:cs="Arial" w:eastAsia="Arial" w:hAnsi="Arial"/>
                  <w:sz w:val="22"/>
                  <w:szCs w:val="22"/>
                  <w:color w:val="auto"/>
                </w:rPr>
                <w:t>87</w:t>
              </w:r>
            </w:hyperlink>
          </w:p>
        </w:tc>
      </w:tr>
      <w:tr>
        <w:trPr>
          <w:trHeight w:val="482"/>
        </w:trPr>
        <w:tc>
          <w:tcPr>
            <w:tcW w:w="1580" w:type="dxa"/>
            <w:vAlign w:val="bottom"/>
          </w:tcPr>
          <w:p>
            <w:pPr>
              <w:spacing w:after="0"/>
              <w:rPr>
                <w:sz w:val="24"/>
                <w:szCs w:val="24"/>
                <w:color w:val="auto"/>
              </w:rPr>
            </w:pPr>
          </w:p>
        </w:tc>
        <w:tc>
          <w:tcPr>
            <w:tcW w:w="9040" w:type="dxa"/>
            <w:vAlign w:val="bottom"/>
          </w:tcPr>
          <w:p>
            <w:pPr>
              <w:jc w:val="center"/>
              <w:ind w:right="792"/>
              <w:spacing w:after="0"/>
              <w:rPr>
                <w:rFonts w:ascii="Arial" w:cs="Arial" w:eastAsia="Arial" w:hAnsi="Arial"/>
                <w:sz w:val="22"/>
                <w:szCs w:val="22"/>
                <w:color w:val="auto"/>
                <w:w w:val="95"/>
              </w:rPr>
            </w:pPr>
            <w:hyperlink w:anchor="page161">
              <w:r>
                <w:rPr>
                  <w:rFonts w:ascii="Arial" w:cs="Arial" w:eastAsia="Arial" w:hAnsi="Arial"/>
                  <w:sz w:val="22"/>
                  <w:szCs w:val="22"/>
                  <w:color w:val="auto"/>
                  <w:w w:val="95"/>
                </w:rPr>
                <w:t>ARTICLE 16</w:t>
              </w:r>
            </w:hyperlink>
          </w:p>
        </w:tc>
        <w:tc>
          <w:tcPr>
            <w:tcW w:w="680" w:type="dxa"/>
            <w:vAlign w:val="bottom"/>
          </w:tcPr>
          <w:p>
            <w:pPr>
              <w:spacing w:after="0"/>
              <w:rPr>
                <w:sz w:val="24"/>
                <w:szCs w:val="24"/>
                <w:color w:val="auto"/>
              </w:rPr>
            </w:pPr>
          </w:p>
        </w:tc>
      </w:tr>
      <w:tr>
        <w:trPr>
          <w:trHeight w:val="275"/>
        </w:trPr>
        <w:tc>
          <w:tcPr>
            <w:tcW w:w="1580" w:type="dxa"/>
            <w:vAlign w:val="bottom"/>
          </w:tcPr>
          <w:p>
            <w:pPr>
              <w:spacing w:after="0"/>
              <w:rPr>
                <w:sz w:val="23"/>
                <w:szCs w:val="23"/>
                <w:color w:val="auto"/>
              </w:rPr>
            </w:pPr>
          </w:p>
        </w:tc>
        <w:tc>
          <w:tcPr>
            <w:tcW w:w="9040" w:type="dxa"/>
            <w:vAlign w:val="bottom"/>
          </w:tcPr>
          <w:p>
            <w:pPr>
              <w:jc w:val="center"/>
              <w:ind w:right="752"/>
              <w:spacing w:after="0"/>
              <w:rPr>
                <w:sz w:val="20"/>
                <w:szCs w:val="20"/>
                <w:color w:val="auto"/>
              </w:rPr>
            </w:pPr>
            <w:r>
              <w:rPr>
                <w:rFonts w:ascii="Arial" w:cs="Arial" w:eastAsia="Arial" w:hAnsi="Arial"/>
                <w:sz w:val="22"/>
                <w:szCs w:val="22"/>
                <w:color w:val="auto"/>
                <w:w w:val="95"/>
              </w:rPr>
              <w:t>NO OPTIONAL REDEMPTION</w:t>
            </w:r>
          </w:p>
        </w:tc>
        <w:tc>
          <w:tcPr>
            <w:tcW w:w="680" w:type="dxa"/>
            <w:vAlign w:val="bottom"/>
          </w:tcPr>
          <w:p>
            <w:pPr>
              <w:spacing w:after="0"/>
              <w:rPr>
                <w:sz w:val="23"/>
                <w:szCs w:val="23"/>
                <w:color w:val="auto"/>
              </w:rPr>
            </w:pPr>
          </w:p>
        </w:tc>
      </w:tr>
      <w:tr>
        <w:trPr>
          <w:trHeight w:val="405"/>
        </w:trPr>
        <w:tc>
          <w:tcPr>
            <w:tcW w:w="1580" w:type="dxa"/>
            <w:vAlign w:val="bottom"/>
          </w:tcPr>
          <w:p>
            <w:pPr>
              <w:ind w:left="40"/>
              <w:spacing w:after="0"/>
              <w:rPr>
                <w:sz w:val="20"/>
                <w:szCs w:val="20"/>
                <w:color w:val="auto"/>
              </w:rPr>
            </w:pPr>
            <w:r>
              <w:rPr>
                <w:rFonts w:ascii="Arial" w:cs="Arial" w:eastAsia="Arial" w:hAnsi="Arial"/>
                <w:sz w:val="22"/>
                <w:szCs w:val="22"/>
                <w:color w:val="auto"/>
              </w:rPr>
              <w:t>Section 16.01 .</w:t>
            </w:r>
          </w:p>
        </w:tc>
        <w:tc>
          <w:tcPr>
            <w:tcW w:w="9040" w:type="dxa"/>
            <w:vAlign w:val="bottom"/>
          </w:tcPr>
          <w:p>
            <w:pPr>
              <w:ind w:left="280"/>
              <w:spacing w:after="0"/>
              <w:rPr>
                <w:sz w:val="20"/>
                <w:szCs w:val="20"/>
                <w:color w:val="auto"/>
              </w:rPr>
            </w:pPr>
            <w:r>
              <w:rPr>
                <w:rFonts w:ascii="Arial" w:cs="Arial" w:eastAsia="Arial" w:hAnsi="Arial"/>
                <w:sz w:val="22"/>
                <w:szCs w:val="22"/>
                <w:i w:val="1"/>
                <w:iCs w:val="1"/>
                <w:color w:val="auto"/>
              </w:rPr>
              <w:t>No Optional Redemption</w:t>
            </w:r>
          </w:p>
        </w:tc>
        <w:tc>
          <w:tcPr>
            <w:tcW w:w="680" w:type="dxa"/>
            <w:vAlign w:val="bottom"/>
          </w:tcPr>
          <w:p>
            <w:pPr>
              <w:jc w:val="right"/>
              <w:spacing w:after="0"/>
              <w:rPr>
                <w:rFonts w:ascii="Arial" w:cs="Arial" w:eastAsia="Arial" w:hAnsi="Arial"/>
                <w:sz w:val="22"/>
                <w:szCs w:val="22"/>
                <w:color w:val="auto"/>
              </w:rPr>
            </w:pPr>
            <w:hyperlink w:anchor="page161">
              <w:r>
                <w:rPr>
                  <w:rFonts w:ascii="Arial" w:cs="Arial" w:eastAsia="Arial" w:hAnsi="Arial"/>
                  <w:sz w:val="22"/>
                  <w:szCs w:val="22"/>
                  <w:color w:val="auto"/>
                </w:rPr>
                <w:t>87</w:t>
              </w:r>
            </w:hyperlink>
          </w:p>
        </w:tc>
      </w:tr>
      <w:tr>
        <w:trPr>
          <w:trHeight w:val="482"/>
        </w:trPr>
        <w:tc>
          <w:tcPr>
            <w:tcW w:w="1580" w:type="dxa"/>
            <w:vAlign w:val="bottom"/>
          </w:tcPr>
          <w:p>
            <w:pPr>
              <w:spacing w:after="0"/>
              <w:rPr>
                <w:sz w:val="24"/>
                <w:szCs w:val="24"/>
                <w:color w:val="auto"/>
              </w:rPr>
            </w:pPr>
          </w:p>
        </w:tc>
        <w:tc>
          <w:tcPr>
            <w:tcW w:w="9040" w:type="dxa"/>
            <w:vAlign w:val="bottom"/>
          </w:tcPr>
          <w:p>
            <w:pPr>
              <w:jc w:val="center"/>
              <w:ind w:right="792"/>
              <w:spacing w:after="0"/>
              <w:rPr>
                <w:rFonts w:ascii="Arial" w:cs="Arial" w:eastAsia="Arial" w:hAnsi="Arial"/>
                <w:sz w:val="22"/>
                <w:szCs w:val="22"/>
                <w:color w:val="auto"/>
                <w:w w:val="95"/>
              </w:rPr>
            </w:pPr>
            <w:hyperlink w:anchor="page161">
              <w:r>
                <w:rPr>
                  <w:rFonts w:ascii="Arial" w:cs="Arial" w:eastAsia="Arial" w:hAnsi="Arial"/>
                  <w:sz w:val="22"/>
                  <w:szCs w:val="22"/>
                  <w:color w:val="auto"/>
                  <w:w w:val="95"/>
                </w:rPr>
                <w:t>ARTICLE 17</w:t>
              </w:r>
            </w:hyperlink>
          </w:p>
        </w:tc>
        <w:tc>
          <w:tcPr>
            <w:tcW w:w="680" w:type="dxa"/>
            <w:vAlign w:val="bottom"/>
          </w:tcPr>
          <w:p>
            <w:pPr>
              <w:spacing w:after="0"/>
              <w:rPr>
                <w:sz w:val="24"/>
                <w:szCs w:val="24"/>
                <w:color w:val="auto"/>
              </w:rPr>
            </w:pPr>
          </w:p>
        </w:tc>
      </w:tr>
      <w:tr>
        <w:trPr>
          <w:trHeight w:val="275"/>
        </w:trPr>
        <w:tc>
          <w:tcPr>
            <w:tcW w:w="1580" w:type="dxa"/>
            <w:vAlign w:val="bottom"/>
          </w:tcPr>
          <w:p>
            <w:pPr>
              <w:spacing w:after="0"/>
              <w:rPr>
                <w:sz w:val="23"/>
                <w:szCs w:val="23"/>
                <w:color w:val="auto"/>
              </w:rPr>
            </w:pPr>
          </w:p>
        </w:tc>
        <w:tc>
          <w:tcPr>
            <w:tcW w:w="9040" w:type="dxa"/>
            <w:vAlign w:val="bottom"/>
          </w:tcPr>
          <w:p>
            <w:pPr>
              <w:jc w:val="center"/>
              <w:ind w:right="732"/>
              <w:spacing w:after="0"/>
              <w:rPr>
                <w:sz w:val="20"/>
                <w:szCs w:val="20"/>
                <w:color w:val="auto"/>
              </w:rPr>
            </w:pPr>
            <w:r>
              <w:rPr>
                <w:rFonts w:ascii="Arial" w:cs="Arial" w:eastAsia="Arial" w:hAnsi="Arial"/>
                <w:sz w:val="22"/>
                <w:szCs w:val="22"/>
                <w:color w:val="auto"/>
                <w:w w:val="94"/>
              </w:rPr>
              <w:t>MISCELLANEOUS PROVISIONS</w:t>
            </w:r>
          </w:p>
        </w:tc>
        <w:tc>
          <w:tcPr>
            <w:tcW w:w="680" w:type="dxa"/>
            <w:vAlign w:val="bottom"/>
          </w:tcPr>
          <w:p>
            <w:pPr>
              <w:spacing w:after="0"/>
              <w:rPr>
                <w:sz w:val="23"/>
                <w:szCs w:val="23"/>
                <w:color w:val="auto"/>
              </w:rPr>
            </w:pPr>
          </w:p>
        </w:tc>
      </w:tr>
      <w:tr>
        <w:trPr>
          <w:trHeight w:val="405"/>
        </w:trPr>
        <w:tc>
          <w:tcPr>
            <w:tcW w:w="1580" w:type="dxa"/>
            <w:vAlign w:val="bottom"/>
          </w:tcPr>
          <w:p>
            <w:pPr>
              <w:ind w:left="40"/>
              <w:spacing w:after="0"/>
              <w:rPr>
                <w:sz w:val="20"/>
                <w:szCs w:val="20"/>
                <w:color w:val="auto"/>
              </w:rPr>
            </w:pPr>
            <w:r>
              <w:rPr>
                <w:rFonts w:ascii="Arial" w:cs="Arial" w:eastAsia="Arial" w:hAnsi="Arial"/>
                <w:sz w:val="22"/>
                <w:szCs w:val="22"/>
                <w:color w:val="auto"/>
              </w:rPr>
              <w:t>Section 17.01 .</w:t>
            </w:r>
          </w:p>
        </w:tc>
        <w:tc>
          <w:tcPr>
            <w:tcW w:w="9040" w:type="dxa"/>
            <w:vAlign w:val="bottom"/>
          </w:tcPr>
          <w:p>
            <w:pPr>
              <w:ind w:left="280"/>
              <w:spacing w:after="0"/>
              <w:rPr>
                <w:sz w:val="20"/>
                <w:szCs w:val="20"/>
                <w:color w:val="auto"/>
              </w:rPr>
            </w:pPr>
            <w:r>
              <w:rPr>
                <w:rFonts w:ascii="Arial" w:cs="Arial" w:eastAsia="Arial" w:hAnsi="Arial"/>
                <w:sz w:val="22"/>
                <w:szCs w:val="22"/>
                <w:i w:val="1"/>
                <w:iCs w:val="1"/>
                <w:color w:val="auto"/>
              </w:rPr>
              <w:t>Provisions Binding on Company's Successors</w:t>
            </w:r>
          </w:p>
        </w:tc>
        <w:tc>
          <w:tcPr>
            <w:tcW w:w="680" w:type="dxa"/>
            <w:vAlign w:val="bottom"/>
          </w:tcPr>
          <w:p>
            <w:pPr>
              <w:jc w:val="right"/>
              <w:spacing w:after="0"/>
              <w:rPr>
                <w:rFonts w:ascii="Arial" w:cs="Arial" w:eastAsia="Arial" w:hAnsi="Arial"/>
                <w:sz w:val="22"/>
                <w:szCs w:val="22"/>
                <w:color w:val="auto"/>
              </w:rPr>
            </w:pPr>
            <w:hyperlink w:anchor="page161">
              <w:r>
                <w:rPr>
                  <w:rFonts w:ascii="Arial" w:cs="Arial" w:eastAsia="Arial" w:hAnsi="Arial"/>
                  <w:sz w:val="22"/>
                  <w:szCs w:val="22"/>
                  <w:color w:val="auto"/>
                </w:rPr>
                <w:t>87</w:t>
              </w:r>
            </w:hyperlink>
          </w:p>
        </w:tc>
      </w:tr>
      <w:tr>
        <w:trPr>
          <w:trHeight w:val="297"/>
        </w:trPr>
        <w:tc>
          <w:tcPr>
            <w:tcW w:w="1580" w:type="dxa"/>
            <w:vAlign w:val="bottom"/>
          </w:tcPr>
          <w:p>
            <w:pPr>
              <w:ind w:left="40"/>
              <w:spacing w:after="0"/>
              <w:rPr>
                <w:sz w:val="20"/>
                <w:szCs w:val="20"/>
                <w:color w:val="auto"/>
              </w:rPr>
            </w:pPr>
            <w:r>
              <w:rPr>
                <w:rFonts w:ascii="Arial" w:cs="Arial" w:eastAsia="Arial" w:hAnsi="Arial"/>
                <w:sz w:val="22"/>
                <w:szCs w:val="22"/>
                <w:color w:val="auto"/>
              </w:rPr>
              <w:t>Section 17.02 .</w:t>
            </w:r>
          </w:p>
        </w:tc>
        <w:tc>
          <w:tcPr>
            <w:tcW w:w="9040" w:type="dxa"/>
            <w:vAlign w:val="bottom"/>
          </w:tcPr>
          <w:p>
            <w:pPr>
              <w:ind w:left="280"/>
              <w:spacing w:after="0"/>
              <w:rPr>
                <w:sz w:val="20"/>
                <w:szCs w:val="20"/>
                <w:color w:val="auto"/>
              </w:rPr>
            </w:pPr>
            <w:r>
              <w:rPr>
                <w:rFonts w:ascii="Arial" w:cs="Arial" w:eastAsia="Arial" w:hAnsi="Arial"/>
                <w:sz w:val="22"/>
                <w:szCs w:val="22"/>
                <w:i w:val="1"/>
                <w:iCs w:val="1"/>
                <w:color w:val="auto"/>
              </w:rPr>
              <w:t>Official Acts by Successor Entity</w:t>
            </w:r>
          </w:p>
        </w:tc>
        <w:tc>
          <w:tcPr>
            <w:tcW w:w="680" w:type="dxa"/>
            <w:vAlign w:val="bottom"/>
          </w:tcPr>
          <w:p>
            <w:pPr>
              <w:jc w:val="right"/>
              <w:spacing w:after="0"/>
              <w:rPr>
                <w:rFonts w:ascii="Arial" w:cs="Arial" w:eastAsia="Arial" w:hAnsi="Arial"/>
                <w:sz w:val="22"/>
                <w:szCs w:val="22"/>
                <w:color w:val="auto"/>
              </w:rPr>
            </w:pPr>
            <w:hyperlink w:anchor="page161">
              <w:r>
                <w:rPr>
                  <w:rFonts w:ascii="Arial" w:cs="Arial" w:eastAsia="Arial" w:hAnsi="Arial"/>
                  <w:sz w:val="22"/>
                  <w:szCs w:val="22"/>
                  <w:color w:val="auto"/>
                </w:rPr>
                <w:t>87</w:t>
              </w:r>
            </w:hyperlink>
          </w:p>
        </w:tc>
      </w:tr>
      <w:tr>
        <w:trPr>
          <w:trHeight w:val="297"/>
        </w:trPr>
        <w:tc>
          <w:tcPr>
            <w:tcW w:w="1580" w:type="dxa"/>
            <w:vAlign w:val="bottom"/>
          </w:tcPr>
          <w:p>
            <w:pPr>
              <w:ind w:left="40"/>
              <w:spacing w:after="0"/>
              <w:rPr>
                <w:sz w:val="20"/>
                <w:szCs w:val="20"/>
                <w:color w:val="auto"/>
              </w:rPr>
            </w:pPr>
            <w:r>
              <w:rPr>
                <w:rFonts w:ascii="Arial" w:cs="Arial" w:eastAsia="Arial" w:hAnsi="Arial"/>
                <w:sz w:val="22"/>
                <w:szCs w:val="22"/>
                <w:color w:val="auto"/>
              </w:rPr>
              <w:t>Section 17.03 .</w:t>
            </w:r>
          </w:p>
        </w:tc>
        <w:tc>
          <w:tcPr>
            <w:tcW w:w="9040" w:type="dxa"/>
            <w:vAlign w:val="bottom"/>
          </w:tcPr>
          <w:p>
            <w:pPr>
              <w:ind w:left="280"/>
              <w:spacing w:after="0"/>
              <w:rPr>
                <w:sz w:val="20"/>
                <w:szCs w:val="20"/>
                <w:color w:val="auto"/>
              </w:rPr>
            </w:pPr>
            <w:r>
              <w:rPr>
                <w:rFonts w:ascii="Arial" w:cs="Arial" w:eastAsia="Arial" w:hAnsi="Arial"/>
                <w:sz w:val="22"/>
                <w:szCs w:val="22"/>
                <w:i w:val="1"/>
                <w:iCs w:val="1"/>
                <w:color w:val="auto"/>
              </w:rPr>
              <w:t>Addresses for Notices, Etc.</w:t>
            </w:r>
          </w:p>
        </w:tc>
        <w:tc>
          <w:tcPr>
            <w:tcW w:w="680" w:type="dxa"/>
            <w:vAlign w:val="bottom"/>
          </w:tcPr>
          <w:p>
            <w:pPr>
              <w:jc w:val="right"/>
              <w:spacing w:after="0"/>
              <w:rPr>
                <w:rFonts w:ascii="Arial" w:cs="Arial" w:eastAsia="Arial" w:hAnsi="Arial"/>
                <w:sz w:val="22"/>
                <w:szCs w:val="22"/>
                <w:color w:val="auto"/>
              </w:rPr>
            </w:pPr>
            <w:hyperlink w:anchor="page161">
              <w:r>
                <w:rPr>
                  <w:rFonts w:ascii="Arial" w:cs="Arial" w:eastAsia="Arial" w:hAnsi="Arial"/>
                  <w:sz w:val="22"/>
                  <w:szCs w:val="22"/>
                  <w:color w:val="auto"/>
                </w:rPr>
                <w:t>87</w:t>
              </w:r>
            </w:hyperlink>
          </w:p>
        </w:tc>
      </w:tr>
      <w:tr>
        <w:trPr>
          <w:trHeight w:val="297"/>
        </w:trPr>
        <w:tc>
          <w:tcPr>
            <w:tcW w:w="1580" w:type="dxa"/>
            <w:vAlign w:val="bottom"/>
          </w:tcPr>
          <w:p>
            <w:pPr>
              <w:ind w:left="40"/>
              <w:spacing w:after="0"/>
              <w:rPr>
                <w:sz w:val="20"/>
                <w:szCs w:val="20"/>
                <w:color w:val="auto"/>
              </w:rPr>
            </w:pPr>
            <w:r>
              <w:rPr>
                <w:rFonts w:ascii="Arial" w:cs="Arial" w:eastAsia="Arial" w:hAnsi="Arial"/>
                <w:sz w:val="22"/>
                <w:szCs w:val="22"/>
                <w:color w:val="auto"/>
              </w:rPr>
              <w:t>Section 17.04 .</w:t>
            </w:r>
          </w:p>
        </w:tc>
        <w:tc>
          <w:tcPr>
            <w:tcW w:w="9040" w:type="dxa"/>
            <w:vAlign w:val="bottom"/>
          </w:tcPr>
          <w:p>
            <w:pPr>
              <w:ind w:left="280"/>
              <w:spacing w:after="0"/>
              <w:rPr>
                <w:sz w:val="20"/>
                <w:szCs w:val="20"/>
                <w:color w:val="auto"/>
              </w:rPr>
            </w:pPr>
            <w:r>
              <w:rPr>
                <w:rFonts w:ascii="Arial" w:cs="Arial" w:eastAsia="Arial" w:hAnsi="Arial"/>
                <w:sz w:val="22"/>
                <w:szCs w:val="22"/>
                <w:i w:val="1"/>
                <w:iCs w:val="1"/>
                <w:color w:val="auto"/>
              </w:rPr>
              <w:t>Governing Law</w:t>
            </w:r>
          </w:p>
        </w:tc>
        <w:tc>
          <w:tcPr>
            <w:tcW w:w="680" w:type="dxa"/>
            <w:vAlign w:val="bottom"/>
          </w:tcPr>
          <w:p>
            <w:pPr>
              <w:jc w:val="right"/>
              <w:spacing w:after="0"/>
              <w:rPr>
                <w:rFonts w:ascii="Arial" w:cs="Arial" w:eastAsia="Arial" w:hAnsi="Arial"/>
                <w:sz w:val="22"/>
                <w:szCs w:val="22"/>
                <w:color w:val="auto"/>
              </w:rPr>
            </w:pPr>
            <w:hyperlink w:anchor="page162">
              <w:r>
                <w:rPr>
                  <w:rFonts w:ascii="Arial" w:cs="Arial" w:eastAsia="Arial" w:hAnsi="Arial"/>
                  <w:sz w:val="22"/>
                  <w:szCs w:val="22"/>
                  <w:color w:val="auto"/>
                </w:rPr>
                <w:t>88</w:t>
              </w:r>
            </w:hyperlink>
          </w:p>
        </w:tc>
      </w:tr>
      <w:tr>
        <w:trPr>
          <w:trHeight w:val="297"/>
        </w:trPr>
        <w:tc>
          <w:tcPr>
            <w:tcW w:w="1580" w:type="dxa"/>
            <w:vAlign w:val="bottom"/>
          </w:tcPr>
          <w:p>
            <w:pPr>
              <w:ind w:left="40"/>
              <w:spacing w:after="0"/>
              <w:rPr>
                <w:sz w:val="20"/>
                <w:szCs w:val="20"/>
                <w:color w:val="auto"/>
              </w:rPr>
            </w:pPr>
            <w:r>
              <w:rPr>
                <w:rFonts w:ascii="Arial" w:cs="Arial" w:eastAsia="Arial" w:hAnsi="Arial"/>
                <w:sz w:val="22"/>
                <w:szCs w:val="22"/>
                <w:color w:val="auto"/>
              </w:rPr>
              <w:t>Section 17.05 .</w:t>
            </w:r>
          </w:p>
        </w:tc>
        <w:tc>
          <w:tcPr>
            <w:tcW w:w="9040" w:type="dxa"/>
            <w:vAlign w:val="bottom"/>
          </w:tcPr>
          <w:p>
            <w:pPr>
              <w:ind w:left="280"/>
              <w:spacing w:after="0"/>
              <w:rPr>
                <w:sz w:val="20"/>
                <w:szCs w:val="20"/>
                <w:color w:val="auto"/>
              </w:rPr>
            </w:pPr>
            <w:r>
              <w:rPr>
                <w:rFonts w:ascii="Arial" w:cs="Arial" w:eastAsia="Arial" w:hAnsi="Arial"/>
                <w:sz w:val="22"/>
                <w:szCs w:val="22"/>
                <w:i w:val="1"/>
                <w:iCs w:val="1"/>
                <w:color w:val="auto"/>
              </w:rPr>
              <w:t>Intentionally Omitted</w:t>
            </w:r>
          </w:p>
        </w:tc>
        <w:tc>
          <w:tcPr>
            <w:tcW w:w="680" w:type="dxa"/>
            <w:vAlign w:val="bottom"/>
          </w:tcPr>
          <w:p>
            <w:pPr>
              <w:jc w:val="right"/>
              <w:spacing w:after="0"/>
              <w:rPr>
                <w:rFonts w:ascii="Arial" w:cs="Arial" w:eastAsia="Arial" w:hAnsi="Arial"/>
                <w:sz w:val="22"/>
                <w:szCs w:val="22"/>
                <w:color w:val="auto"/>
              </w:rPr>
            </w:pPr>
            <w:hyperlink w:anchor="page163">
              <w:r>
                <w:rPr>
                  <w:rFonts w:ascii="Arial" w:cs="Arial" w:eastAsia="Arial" w:hAnsi="Arial"/>
                  <w:sz w:val="22"/>
                  <w:szCs w:val="22"/>
                  <w:color w:val="auto"/>
                </w:rPr>
                <w:t>89</w:t>
              </w:r>
            </w:hyperlink>
          </w:p>
        </w:tc>
      </w:tr>
      <w:tr>
        <w:trPr>
          <w:trHeight w:val="297"/>
        </w:trPr>
        <w:tc>
          <w:tcPr>
            <w:tcW w:w="1580" w:type="dxa"/>
            <w:vAlign w:val="bottom"/>
          </w:tcPr>
          <w:p>
            <w:pPr>
              <w:ind w:left="40"/>
              <w:spacing w:after="0"/>
              <w:rPr>
                <w:sz w:val="20"/>
                <w:szCs w:val="20"/>
                <w:color w:val="auto"/>
              </w:rPr>
            </w:pPr>
            <w:r>
              <w:rPr>
                <w:rFonts w:ascii="Arial" w:cs="Arial" w:eastAsia="Arial" w:hAnsi="Arial"/>
                <w:sz w:val="22"/>
                <w:szCs w:val="22"/>
                <w:color w:val="auto"/>
              </w:rPr>
              <w:t>Section 17.06 .</w:t>
            </w:r>
          </w:p>
        </w:tc>
        <w:tc>
          <w:tcPr>
            <w:tcW w:w="9040" w:type="dxa"/>
            <w:vAlign w:val="bottom"/>
          </w:tcPr>
          <w:p>
            <w:pPr>
              <w:ind w:left="280"/>
              <w:spacing w:after="0"/>
              <w:rPr>
                <w:sz w:val="20"/>
                <w:szCs w:val="20"/>
                <w:color w:val="auto"/>
              </w:rPr>
            </w:pPr>
            <w:r>
              <w:rPr>
                <w:rFonts w:ascii="Arial" w:cs="Arial" w:eastAsia="Arial" w:hAnsi="Arial"/>
                <w:sz w:val="22"/>
                <w:szCs w:val="22"/>
                <w:i w:val="1"/>
                <w:iCs w:val="1"/>
                <w:color w:val="auto"/>
                <w:w w:val="89"/>
              </w:rPr>
              <w:t>Evidence of Compliance with Conditions Precedent; Certificates and Opinions of Counsel to Trustee</w:t>
            </w:r>
          </w:p>
        </w:tc>
        <w:tc>
          <w:tcPr>
            <w:tcW w:w="680" w:type="dxa"/>
            <w:vAlign w:val="bottom"/>
          </w:tcPr>
          <w:p>
            <w:pPr>
              <w:jc w:val="right"/>
              <w:spacing w:after="0"/>
              <w:rPr>
                <w:rFonts w:ascii="Arial" w:cs="Arial" w:eastAsia="Arial" w:hAnsi="Arial"/>
                <w:sz w:val="22"/>
                <w:szCs w:val="22"/>
                <w:color w:val="auto"/>
              </w:rPr>
            </w:pPr>
            <w:hyperlink w:anchor="page163">
              <w:r>
                <w:rPr>
                  <w:rFonts w:ascii="Arial" w:cs="Arial" w:eastAsia="Arial" w:hAnsi="Arial"/>
                  <w:sz w:val="22"/>
                  <w:szCs w:val="22"/>
                  <w:color w:val="auto"/>
                </w:rPr>
                <w:t>89</w:t>
              </w:r>
            </w:hyperlink>
          </w:p>
        </w:tc>
      </w:tr>
      <w:tr>
        <w:trPr>
          <w:trHeight w:val="297"/>
        </w:trPr>
        <w:tc>
          <w:tcPr>
            <w:tcW w:w="1580" w:type="dxa"/>
            <w:vAlign w:val="bottom"/>
          </w:tcPr>
          <w:p>
            <w:pPr>
              <w:ind w:left="40"/>
              <w:spacing w:after="0"/>
              <w:rPr>
                <w:sz w:val="20"/>
                <w:szCs w:val="20"/>
                <w:color w:val="auto"/>
              </w:rPr>
            </w:pPr>
            <w:r>
              <w:rPr>
                <w:rFonts w:ascii="Arial" w:cs="Arial" w:eastAsia="Arial" w:hAnsi="Arial"/>
                <w:sz w:val="22"/>
                <w:szCs w:val="22"/>
                <w:color w:val="auto"/>
              </w:rPr>
              <w:t>Section 17.07 .</w:t>
            </w:r>
          </w:p>
        </w:tc>
        <w:tc>
          <w:tcPr>
            <w:tcW w:w="9040" w:type="dxa"/>
            <w:vAlign w:val="bottom"/>
          </w:tcPr>
          <w:p>
            <w:pPr>
              <w:ind w:left="280"/>
              <w:spacing w:after="0"/>
              <w:rPr>
                <w:sz w:val="20"/>
                <w:szCs w:val="20"/>
                <w:color w:val="auto"/>
              </w:rPr>
            </w:pPr>
            <w:r>
              <w:rPr>
                <w:rFonts w:ascii="Arial" w:cs="Arial" w:eastAsia="Arial" w:hAnsi="Arial"/>
                <w:sz w:val="22"/>
                <w:szCs w:val="22"/>
                <w:i w:val="1"/>
                <w:iCs w:val="1"/>
                <w:color w:val="auto"/>
              </w:rPr>
              <w:t>Legal Holidays</w:t>
            </w:r>
          </w:p>
        </w:tc>
        <w:tc>
          <w:tcPr>
            <w:tcW w:w="680" w:type="dxa"/>
            <w:vAlign w:val="bottom"/>
          </w:tcPr>
          <w:p>
            <w:pPr>
              <w:jc w:val="right"/>
              <w:spacing w:after="0"/>
              <w:rPr>
                <w:rFonts w:ascii="Arial" w:cs="Arial" w:eastAsia="Arial" w:hAnsi="Arial"/>
                <w:sz w:val="22"/>
                <w:szCs w:val="22"/>
                <w:color w:val="auto"/>
              </w:rPr>
            </w:pPr>
            <w:hyperlink w:anchor="page163">
              <w:r>
                <w:rPr>
                  <w:rFonts w:ascii="Arial" w:cs="Arial" w:eastAsia="Arial" w:hAnsi="Arial"/>
                  <w:sz w:val="22"/>
                  <w:szCs w:val="22"/>
                  <w:color w:val="auto"/>
                </w:rPr>
                <w:t>89</w:t>
              </w:r>
            </w:hyperlink>
          </w:p>
        </w:tc>
      </w:tr>
      <w:tr>
        <w:trPr>
          <w:trHeight w:val="297"/>
        </w:trPr>
        <w:tc>
          <w:tcPr>
            <w:tcW w:w="1580" w:type="dxa"/>
            <w:vAlign w:val="bottom"/>
          </w:tcPr>
          <w:p>
            <w:pPr>
              <w:ind w:left="40"/>
              <w:spacing w:after="0"/>
              <w:rPr>
                <w:sz w:val="20"/>
                <w:szCs w:val="20"/>
                <w:color w:val="auto"/>
              </w:rPr>
            </w:pPr>
            <w:r>
              <w:rPr>
                <w:rFonts w:ascii="Arial" w:cs="Arial" w:eastAsia="Arial" w:hAnsi="Arial"/>
                <w:sz w:val="22"/>
                <w:szCs w:val="22"/>
                <w:color w:val="auto"/>
              </w:rPr>
              <w:t>Section 17.08 .</w:t>
            </w:r>
          </w:p>
        </w:tc>
        <w:tc>
          <w:tcPr>
            <w:tcW w:w="9040" w:type="dxa"/>
            <w:vAlign w:val="bottom"/>
          </w:tcPr>
          <w:p>
            <w:pPr>
              <w:ind w:left="280"/>
              <w:spacing w:after="0"/>
              <w:rPr>
                <w:sz w:val="20"/>
                <w:szCs w:val="20"/>
                <w:color w:val="auto"/>
              </w:rPr>
            </w:pPr>
            <w:r>
              <w:rPr>
                <w:rFonts w:ascii="Arial" w:cs="Arial" w:eastAsia="Arial" w:hAnsi="Arial"/>
                <w:sz w:val="22"/>
                <w:szCs w:val="22"/>
                <w:i w:val="1"/>
                <w:iCs w:val="1"/>
                <w:color w:val="auto"/>
              </w:rPr>
              <w:t>No Security Interest Created</w:t>
            </w:r>
          </w:p>
        </w:tc>
        <w:tc>
          <w:tcPr>
            <w:tcW w:w="680" w:type="dxa"/>
            <w:vAlign w:val="bottom"/>
          </w:tcPr>
          <w:p>
            <w:pPr>
              <w:jc w:val="right"/>
              <w:spacing w:after="0"/>
              <w:rPr>
                <w:rFonts w:ascii="Arial" w:cs="Arial" w:eastAsia="Arial" w:hAnsi="Arial"/>
                <w:sz w:val="22"/>
                <w:szCs w:val="22"/>
                <w:color w:val="auto"/>
              </w:rPr>
            </w:pPr>
            <w:hyperlink w:anchor="page163">
              <w:r>
                <w:rPr>
                  <w:rFonts w:ascii="Arial" w:cs="Arial" w:eastAsia="Arial" w:hAnsi="Arial"/>
                  <w:sz w:val="22"/>
                  <w:szCs w:val="22"/>
                  <w:color w:val="auto"/>
                </w:rPr>
                <w:t>89</w:t>
              </w:r>
            </w:hyperlink>
          </w:p>
        </w:tc>
      </w:tr>
      <w:tr>
        <w:trPr>
          <w:trHeight w:val="297"/>
        </w:trPr>
        <w:tc>
          <w:tcPr>
            <w:tcW w:w="1580" w:type="dxa"/>
            <w:vAlign w:val="bottom"/>
          </w:tcPr>
          <w:p>
            <w:pPr>
              <w:ind w:left="40"/>
              <w:spacing w:after="0"/>
              <w:rPr>
                <w:sz w:val="20"/>
                <w:szCs w:val="20"/>
                <w:color w:val="auto"/>
              </w:rPr>
            </w:pPr>
            <w:r>
              <w:rPr>
                <w:rFonts w:ascii="Arial" w:cs="Arial" w:eastAsia="Arial" w:hAnsi="Arial"/>
                <w:sz w:val="22"/>
                <w:szCs w:val="22"/>
                <w:color w:val="auto"/>
              </w:rPr>
              <w:t>Section 17.09 .</w:t>
            </w:r>
          </w:p>
        </w:tc>
        <w:tc>
          <w:tcPr>
            <w:tcW w:w="9040" w:type="dxa"/>
            <w:vAlign w:val="bottom"/>
          </w:tcPr>
          <w:p>
            <w:pPr>
              <w:ind w:left="280"/>
              <w:spacing w:after="0"/>
              <w:rPr>
                <w:sz w:val="20"/>
                <w:szCs w:val="20"/>
                <w:color w:val="auto"/>
              </w:rPr>
            </w:pPr>
            <w:r>
              <w:rPr>
                <w:rFonts w:ascii="Arial" w:cs="Arial" w:eastAsia="Arial" w:hAnsi="Arial"/>
                <w:sz w:val="22"/>
                <w:szCs w:val="22"/>
                <w:i w:val="1"/>
                <w:iCs w:val="1"/>
                <w:color w:val="auto"/>
              </w:rPr>
              <w:t>Benefits of Indenture</w:t>
            </w:r>
          </w:p>
        </w:tc>
        <w:tc>
          <w:tcPr>
            <w:tcW w:w="680" w:type="dxa"/>
            <w:vAlign w:val="bottom"/>
          </w:tcPr>
          <w:p>
            <w:pPr>
              <w:jc w:val="right"/>
              <w:spacing w:after="0"/>
              <w:rPr>
                <w:rFonts w:ascii="Arial" w:cs="Arial" w:eastAsia="Arial" w:hAnsi="Arial"/>
                <w:sz w:val="22"/>
                <w:szCs w:val="22"/>
                <w:color w:val="auto"/>
              </w:rPr>
            </w:pPr>
            <w:hyperlink w:anchor="page163">
              <w:r>
                <w:rPr>
                  <w:rFonts w:ascii="Arial" w:cs="Arial" w:eastAsia="Arial" w:hAnsi="Arial"/>
                  <w:sz w:val="22"/>
                  <w:szCs w:val="22"/>
                  <w:color w:val="auto"/>
                </w:rPr>
                <w:t>89</w:t>
              </w:r>
            </w:hyperlink>
          </w:p>
        </w:tc>
      </w:tr>
      <w:tr>
        <w:trPr>
          <w:trHeight w:val="297"/>
        </w:trPr>
        <w:tc>
          <w:tcPr>
            <w:tcW w:w="1580" w:type="dxa"/>
            <w:vAlign w:val="bottom"/>
          </w:tcPr>
          <w:p>
            <w:pPr>
              <w:ind w:left="40"/>
              <w:spacing w:after="0"/>
              <w:rPr>
                <w:sz w:val="20"/>
                <w:szCs w:val="20"/>
                <w:color w:val="auto"/>
              </w:rPr>
            </w:pPr>
            <w:r>
              <w:rPr>
                <w:rFonts w:ascii="Arial" w:cs="Arial" w:eastAsia="Arial" w:hAnsi="Arial"/>
                <w:sz w:val="22"/>
                <w:szCs w:val="22"/>
                <w:color w:val="auto"/>
              </w:rPr>
              <w:t>Section 17.10 .</w:t>
            </w:r>
          </w:p>
        </w:tc>
        <w:tc>
          <w:tcPr>
            <w:tcW w:w="9040" w:type="dxa"/>
            <w:vAlign w:val="bottom"/>
          </w:tcPr>
          <w:p>
            <w:pPr>
              <w:ind w:left="280"/>
              <w:spacing w:after="0"/>
              <w:rPr>
                <w:sz w:val="20"/>
                <w:szCs w:val="20"/>
                <w:color w:val="auto"/>
              </w:rPr>
            </w:pPr>
            <w:r>
              <w:rPr>
                <w:rFonts w:ascii="Arial" w:cs="Arial" w:eastAsia="Arial" w:hAnsi="Arial"/>
                <w:sz w:val="22"/>
                <w:szCs w:val="22"/>
                <w:i w:val="1"/>
                <w:iCs w:val="1"/>
                <w:color w:val="auto"/>
              </w:rPr>
              <w:t>Table of Contents, Headings, Etc.</w:t>
            </w:r>
          </w:p>
        </w:tc>
        <w:tc>
          <w:tcPr>
            <w:tcW w:w="680" w:type="dxa"/>
            <w:vAlign w:val="bottom"/>
          </w:tcPr>
          <w:p>
            <w:pPr>
              <w:jc w:val="right"/>
              <w:spacing w:after="0"/>
              <w:rPr>
                <w:rFonts w:ascii="Arial" w:cs="Arial" w:eastAsia="Arial" w:hAnsi="Arial"/>
                <w:sz w:val="22"/>
                <w:szCs w:val="22"/>
                <w:color w:val="auto"/>
              </w:rPr>
            </w:pPr>
            <w:hyperlink w:anchor="page163">
              <w:r>
                <w:rPr>
                  <w:rFonts w:ascii="Arial" w:cs="Arial" w:eastAsia="Arial" w:hAnsi="Arial"/>
                  <w:sz w:val="22"/>
                  <w:szCs w:val="22"/>
                  <w:color w:val="auto"/>
                </w:rPr>
                <w:t>89</w:t>
              </w:r>
            </w:hyperlink>
          </w:p>
        </w:tc>
      </w:tr>
      <w:tr>
        <w:trPr>
          <w:trHeight w:val="297"/>
        </w:trPr>
        <w:tc>
          <w:tcPr>
            <w:tcW w:w="1580" w:type="dxa"/>
            <w:vAlign w:val="bottom"/>
          </w:tcPr>
          <w:p>
            <w:pPr>
              <w:ind w:left="40"/>
              <w:spacing w:after="0"/>
              <w:rPr>
                <w:sz w:val="20"/>
                <w:szCs w:val="20"/>
                <w:color w:val="auto"/>
              </w:rPr>
            </w:pPr>
            <w:r>
              <w:rPr>
                <w:rFonts w:ascii="Arial" w:cs="Arial" w:eastAsia="Arial" w:hAnsi="Arial"/>
                <w:sz w:val="22"/>
                <w:szCs w:val="22"/>
                <w:color w:val="auto"/>
              </w:rPr>
              <w:t>Section 17.11 .</w:t>
            </w:r>
          </w:p>
        </w:tc>
        <w:tc>
          <w:tcPr>
            <w:tcW w:w="9040" w:type="dxa"/>
            <w:vAlign w:val="bottom"/>
          </w:tcPr>
          <w:p>
            <w:pPr>
              <w:ind w:left="280"/>
              <w:spacing w:after="0"/>
              <w:rPr>
                <w:sz w:val="20"/>
                <w:szCs w:val="20"/>
                <w:color w:val="auto"/>
              </w:rPr>
            </w:pPr>
            <w:r>
              <w:rPr>
                <w:rFonts w:ascii="Arial" w:cs="Arial" w:eastAsia="Arial" w:hAnsi="Arial"/>
                <w:sz w:val="22"/>
                <w:szCs w:val="22"/>
                <w:i w:val="1"/>
                <w:iCs w:val="1"/>
                <w:color w:val="auto"/>
              </w:rPr>
              <w:t>Authenticating Agent</w:t>
            </w:r>
          </w:p>
        </w:tc>
        <w:tc>
          <w:tcPr>
            <w:tcW w:w="680" w:type="dxa"/>
            <w:vAlign w:val="bottom"/>
          </w:tcPr>
          <w:p>
            <w:pPr>
              <w:jc w:val="right"/>
              <w:spacing w:after="0"/>
              <w:rPr>
                <w:rFonts w:ascii="Arial" w:cs="Arial" w:eastAsia="Arial" w:hAnsi="Arial"/>
                <w:sz w:val="22"/>
                <w:szCs w:val="22"/>
                <w:color w:val="auto"/>
              </w:rPr>
            </w:pPr>
            <w:hyperlink w:anchor="page163">
              <w:r>
                <w:rPr>
                  <w:rFonts w:ascii="Arial" w:cs="Arial" w:eastAsia="Arial" w:hAnsi="Arial"/>
                  <w:sz w:val="22"/>
                  <w:szCs w:val="22"/>
                  <w:color w:val="auto"/>
                </w:rPr>
                <w:t>89</w:t>
              </w:r>
            </w:hyperlink>
          </w:p>
        </w:tc>
      </w:tr>
      <w:tr>
        <w:trPr>
          <w:trHeight w:val="297"/>
        </w:trPr>
        <w:tc>
          <w:tcPr>
            <w:tcW w:w="1580" w:type="dxa"/>
            <w:vAlign w:val="bottom"/>
          </w:tcPr>
          <w:p>
            <w:pPr>
              <w:ind w:left="40"/>
              <w:spacing w:after="0"/>
              <w:rPr>
                <w:sz w:val="20"/>
                <w:szCs w:val="20"/>
                <w:color w:val="auto"/>
              </w:rPr>
            </w:pPr>
            <w:r>
              <w:rPr>
                <w:rFonts w:ascii="Arial" w:cs="Arial" w:eastAsia="Arial" w:hAnsi="Arial"/>
                <w:sz w:val="22"/>
                <w:szCs w:val="22"/>
                <w:color w:val="auto"/>
              </w:rPr>
              <w:t>Section 17.12 .</w:t>
            </w:r>
          </w:p>
        </w:tc>
        <w:tc>
          <w:tcPr>
            <w:tcW w:w="9040" w:type="dxa"/>
            <w:vAlign w:val="bottom"/>
          </w:tcPr>
          <w:p>
            <w:pPr>
              <w:ind w:left="280"/>
              <w:spacing w:after="0"/>
              <w:rPr>
                <w:sz w:val="20"/>
                <w:szCs w:val="20"/>
                <w:color w:val="auto"/>
              </w:rPr>
            </w:pPr>
            <w:r>
              <w:rPr>
                <w:rFonts w:ascii="Arial" w:cs="Arial" w:eastAsia="Arial" w:hAnsi="Arial"/>
                <w:sz w:val="22"/>
                <w:szCs w:val="22"/>
                <w:i w:val="1"/>
                <w:iCs w:val="1"/>
                <w:color w:val="auto"/>
              </w:rPr>
              <w:t>Execution in Counterparts</w:t>
            </w:r>
          </w:p>
        </w:tc>
        <w:tc>
          <w:tcPr>
            <w:tcW w:w="680" w:type="dxa"/>
            <w:vAlign w:val="bottom"/>
          </w:tcPr>
          <w:p>
            <w:pPr>
              <w:jc w:val="right"/>
              <w:spacing w:after="0"/>
              <w:rPr>
                <w:rFonts w:ascii="Arial" w:cs="Arial" w:eastAsia="Arial" w:hAnsi="Arial"/>
                <w:sz w:val="22"/>
                <w:szCs w:val="22"/>
                <w:color w:val="auto"/>
              </w:rPr>
            </w:pPr>
            <w:hyperlink w:anchor="page165">
              <w:r>
                <w:rPr>
                  <w:rFonts w:ascii="Arial" w:cs="Arial" w:eastAsia="Arial" w:hAnsi="Arial"/>
                  <w:sz w:val="22"/>
                  <w:szCs w:val="22"/>
                  <w:color w:val="auto"/>
                </w:rPr>
                <w:t>91</w:t>
              </w:r>
            </w:hyperlink>
          </w:p>
        </w:tc>
      </w:tr>
      <w:tr>
        <w:trPr>
          <w:trHeight w:val="297"/>
        </w:trPr>
        <w:tc>
          <w:tcPr>
            <w:tcW w:w="1580" w:type="dxa"/>
            <w:vAlign w:val="bottom"/>
          </w:tcPr>
          <w:p>
            <w:pPr>
              <w:ind w:left="40"/>
              <w:spacing w:after="0"/>
              <w:rPr>
                <w:sz w:val="20"/>
                <w:szCs w:val="20"/>
                <w:color w:val="auto"/>
              </w:rPr>
            </w:pPr>
            <w:r>
              <w:rPr>
                <w:rFonts w:ascii="Arial" w:cs="Arial" w:eastAsia="Arial" w:hAnsi="Arial"/>
                <w:sz w:val="22"/>
                <w:szCs w:val="22"/>
                <w:color w:val="auto"/>
              </w:rPr>
              <w:t>Section 17.13 .</w:t>
            </w:r>
          </w:p>
        </w:tc>
        <w:tc>
          <w:tcPr>
            <w:tcW w:w="9040" w:type="dxa"/>
            <w:vAlign w:val="bottom"/>
          </w:tcPr>
          <w:p>
            <w:pPr>
              <w:ind w:left="280"/>
              <w:spacing w:after="0"/>
              <w:rPr>
                <w:sz w:val="20"/>
                <w:szCs w:val="20"/>
                <w:color w:val="auto"/>
              </w:rPr>
            </w:pPr>
            <w:r>
              <w:rPr>
                <w:rFonts w:ascii="Arial" w:cs="Arial" w:eastAsia="Arial" w:hAnsi="Arial"/>
                <w:sz w:val="22"/>
                <w:szCs w:val="22"/>
                <w:i w:val="1"/>
                <w:iCs w:val="1"/>
                <w:color w:val="auto"/>
              </w:rPr>
              <w:t>Severability</w:t>
            </w:r>
          </w:p>
        </w:tc>
        <w:tc>
          <w:tcPr>
            <w:tcW w:w="680" w:type="dxa"/>
            <w:vAlign w:val="bottom"/>
          </w:tcPr>
          <w:p>
            <w:pPr>
              <w:jc w:val="right"/>
              <w:spacing w:after="0"/>
              <w:rPr>
                <w:rFonts w:ascii="Arial" w:cs="Arial" w:eastAsia="Arial" w:hAnsi="Arial"/>
                <w:sz w:val="22"/>
                <w:szCs w:val="22"/>
                <w:color w:val="auto"/>
              </w:rPr>
            </w:pPr>
            <w:hyperlink w:anchor="page165">
              <w:r>
                <w:rPr>
                  <w:rFonts w:ascii="Arial" w:cs="Arial" w:eastAsia="Arial" w:hAnsi="Arial"/>
                  <w:sz w:val="22"/>
                  <w:szCs w:val="22"/>
                  <w:color w:val="auto"/>
                </w:rPr>
                <w:t>91</w:t>
              </w:r>
            </w:hyperlink>
          </w:p>
        </w:tc>
      </w:tr>
      <w:tr>
        <w:trPr>
          <w:trHeight w:val="297"/>
        </w:trPr>
        <w:tc>
          <w:tcPr>
            <w:tcW w:w="1580" w:type="dxa"/>
            <w:vAlign w:val="bottom"/>
          </w:tcPr>
          <w:p>
            <w:pPr>
              <w:ind w:left="40"/>
              <w:spacing w:after="0"/>
              <w:rPr>
                <w:sz w:val="20"/>
                <w:szCs w:val="20"/>
                <w:color w:val="auto"/>
              </w:rPr>
            </w:pPr>
            <w:r>
              <w:rPr>
                <w:rFonts w:ascii="Arial" w:cs="Arial" w:eastAsia="Arial" w:hAnsi="Arial"/>
                <w:sz w:val="22"/>
                <w:szCs w:val="22"/>
                <w:color w:val="auto"/>
              </w:rPr>
              <w:t>Section 17.14 .</w:t>
            </w:r>
          </w:p>
        </w:tc>
        <w:tc>
          <w:tcPr>
            <w:tcW w:w="9040" w:type="dxa"/>
            <w:vAlign w:val="bottom"/>
          </w:tcPr>
          <w:p>
            <w:pPr>
              <w:ind w:left="280"/>
              <w:spacing w:after="0"/>
              <w:rPr>
                <w:sz w:val="20"/>
                <w:szCs w:val="20"/>
                <w:color w:val="auto"/>
              </w:rPr>
            </w:pPr>
            <w:r>
              <w:rPr>
                <w:rFonts w:ascii="Arial" w:cs="Arial" w:eastAsia="Arial" w:hAnsi="Arial"/>
                <w:sz w:val="22"/>
                <w:szCs w:val="22"/>
                <w:i w:val="1"/>
                <w:iCs w:val="1"/>
                <w:color w:val="auto"/>
              </w:rPr>
              <w:t>Waiver of Jury Trial; Submission of Jurisdiction</w:t>
            </w:r>
          </w:p>
        </w:tc>
        <w:tc>
          <w:tcPr>
            <w:tcW w:w="680" w:type="dxa"/>
            <w:vAlign w:val="bottom"/>
          </w:tcPr>
          <w:p>
            <w:pPr>
              <w:jc w:val="right"/>
              <w:spacing w:after="0"/>
              <w:rPr>
                <w:rFonts w:ascii="Arial" w:cs="Arial" w:eastAsia="Arial" w:hAnsi="Arial"/>
                <w:sz w:val="22"/>
                <w:szCs w:val="22"/>
                <w:color w:val="auto"/>
              </w:rPr>
            </w:pPr>
            <w:hyperlink w:anchor="page165">
              <w:r>
                <w:rPr>
                  <w:rFonts w:ascii="Arial" w:cs="Arial" w:eastAsia="Arial" w:hAnsi="Arial"/>
                  <w:sz w:val="22"/>
                  <w:szCs w:val="22"/>
                  <w:color w:val="auto"/>
                </w:rPr>
                <w:t>91</w:t>
              </w:r>
            </w:hyperlink>
          </w:p>
        </w:tc>
      </w:tr>
      <w:tr>
        <w:trPr>
          <w:trHeight w:val="297"/>
        </w:trPr>
        <w:tc>
          <w:tcPr>
            <w:tcW w:w="1580" w:type="dxa"/>
            <w:vAlign w:val="bottom"/>
          </w:tcPr>
          <w:p>
            <w:pPr>
              <w:ind w:left="40"/>
              <w:spacing w:after="0"/>
              <w:rPr>
                <w:sz w:val="20"/>
                <w:szCs w:val="20"/>
                <w:color w:val="auto"/>
              </w:rPr>
            </w:pPr>
            <w:r>
              <w:rPr>
                <w:rFonts w:ascii="Arial" w:cs="Arial" w:eastAsia="Arial" w:hAnsi="Arial"/>
                <w:sz w:val="22"/>
                <w:szCs w:val="22"/>
                <w:color w:val="auto"/>
              </w:rPr>
              <w:t>Section 17.15 .</w:t>
            </w:r>
          </w:p>
        </w:tc>
        <w:tc>
          <w:tcPr>
            <w:tcW w:w="9040" w:type="dxa"/>
            <w:vAlign w:val="bottom"/>
          </w:tcPr>
          <w:p>
            <w:pPr>
              <w:ind w:left="280"/>
              <w:spacing w:after="0"/>
              <w:rPr>
                <w:sz w:val="20"/>
                <w:szCs w:val="20"/>
                <w:color w:val="auto"/>
              </w:rPr>
            </w:pPr>
            <w:r>
              <w:rPr>
                <w:rFonts w:ascii="Arial" w:cs="Arial" w:eastAsia="Arial" w:hAnsi="Arial"/>
                <w:sz w:val="22"/>
                <w:szCs w:val="22"/>
                <w:i w:val="1"/>
                <w:iCs w:val="1"/>
                <w:color w:val="auto"/>
              </w:rPr>
              <w:t>Force Majeure</w:t>
            </w:r>
          </w:p>
        </w:tc>
        <w:tc>
          <w:tcPr>
            <w:tcW w:w="680" w:type="dxa"/>
            <w:vAlign w:val="bottom"/>
          </w:tcPr>
          <w:p>
            <w:pPr>
              <w:jc w:val="right"/>
              <w:spacing w:after="0"/>
              <w:rPr>
                <w:rFonts w:ascii="Arial" w:cs="Arial" w:eastAsia="Arial" w:hAnsi="Arial"/>
                <w:sz w:val="22"/>
                <w:szCs w:val="22"/>
                <w:color w:val="auto"/>
              </w:rPr>
            </w:pPr>
            <w:hyperlink w:anchor="page165">
              <w:r>
                <w:rPr>
                  <w:rFonts w:ascii="Arial" w:cs="Arial" w:eastAsia="Arial" w:hAnsi="Arial"/>
                  <w:sz w:val="22"/>
                  <w:szCs w:val="22"/>
                  <w:color w:val="auto"/>
                </w:rPr>
                <w:t>91</w:t>
              </w:r>
            </w:hyperlink>
          </w:p>
        </w:tc>
      </w:tr>
      <w:tr>
        <w:trPr>
          <w:trHeight w:val="297"/>
        </w:trPr>
        <w:tc>
          <w:tcPr>
            <w:tcW w:w="1580" w:type="dxa"/>
            <w:vAlign w:val="bottom"/>
          </w:tcPr>
          <w:p>
            <w:pPr>
              <w:ind w:left="40"/>
              <w:spacing w:after="0"/>
              <w:rPr>
                <w:sz w:val="20"/>
                <w:szCs w:val="20"/>
                <w:color w:val="auto"/>
              </w:rPr>
            </w:pPr>
            <w:r>
              <w:rPr>
                <w:rFonts w:ascii="Arial" w:cs="Arial" w:eastAsia="Arial" w:hAnsi="Arial"/>
                <w:sz w:val="22"/>
                <w:szCs w:val="22"/>
                <w:color w:val="auto"/>
              </w:rPr>
              <w:t>Section 17.16 .</w:t>
            </w:r>
          </w:p>
        </w:tc>
        <w:tc>
          <w:tcPr>
            <w:tcW w:w="9040" w:type="dxa"/>
            <w:vAlign w:val="bottom"/>
          </w:tcPr>
          <w:p>
            <w:pPr>
              <w:ind w:left="280"/>
              <w:spacing w:after="0"/>
              <w:rPr>
                <w:sz w:val="20"/>
                <w:szCs w:val="20"/>
                <w:color w:val="auto"/>
              </w:rPr>
            </w:pPr>
            <w:r>
              <w:rPr>
                <w:rFonts w:ascii="Arial" w:cs="Arial" w:eastAsia="Arial" w:hAnsi="Arial"/>
                <w:sz w:val="22"/>
                <w:szCs w:val="22"/>
                <w:i w:val="1"/>
                <w:iCs w:val="1"/>
                <w:color w:val="auto"/>
              </w:rPr>
              <w:t>Calculations</w:t>
            </w:r>
          </w:p>
        </w:tc>
        <w:tc>
          <w:tcPr>
            <w:tcW w:w="680" w:type="dxa"/>
            <w:vAlign w:val="bottom"/>
          </w:tcPr>
          <w:p>
            <w:pPr>
              <w:jc w:val="right"/>
              <w:spacing w:after="0"/>
              <w:rPr>
                <w:rFonts w:ascii="Arial" w:cs="Arial" w:eastAsia="Arial" w:hAnsi="Arial"/>
                <w:sz w:val="22"/>
                <w:szCs w:val="22"/>
                <w:color w:val="auto"/>
              </w:rPr>
            </w:pPr>
            <w:hyperlink w:anchor="page165">
              <w:r>
                <w:rPr>
                  <w:rFonts w:ascii="Arial" w:cs="Arial" w:eastAsia="Arial" w:hAnsi="Arial"/>
                  <w:sz w:val="22"/>
                  <w:szCs w:val="22"/>
                  <w:color w:val="auto"/>
                </w:rPr>
                <w:t>91</w:t>
              </w:r>
            </w:hyperlink>
          </w:p>
        </w:tc>
      </w:tr>
      <w:tr>
        <w:trPr>
          <w:trHeight w:val="297"/>
        </w:trPr>
        <w:tc>
          <w:tcPr>
            <w:tcW w:w="1580" w:type="dxa"/>
            <w:vAlign w:val="bottom"/>
          </w:tcPr>
          <w:p>
            <w:pPr>
              <w:ind w:left="40"/>
              <w:spacing w:after="0"/>
              <w:rPr>
                <w:sz w:val="20"/>
                <w:szCs w:val="20"/>
                <w:color w:val="auto"/>
              </w:rPr>
            </w:pPr>
            <w:r>
              <w:rPr>
                <w:rFonts w:ascii="Arial" w:cs="Arial" w:eastAsia="Arial" w:hAnsi="Arial"/>
                <w:sz w:val="22"/>
                <w:szCs w:val="22"/>
                <w:color w:val="auto"/>
              </w:rPr>
              <w:t>Section 17.17 .</w:t>
            </w:r>
          </w:p>
        </w:tc>
        <w:tc>
          <w:tcPr>
            <w:tcW w:w="9040" w:type="dxa"/>
            <w:vAlign w:val="bottom"/>
          </w:tcPr>
          <w:p>
            <w:pPr>
              <w:ind w:left="280"/>
              <w:spacing w:after="0"/>
              <w:rPr>
                <w:sz w:val="20"/>
                <w:szCs w:val="20"/>
                <w:color w:val="auto"/>
              </w:rPr>
            </w:pPr>
            <w:r>
              <w:rPr>
                <w:rFonts w:ascii="Arial" w:cs="Arial" w:eastAsia="Arial" w:hAnsi="Arial"/>
                <w:sz w:val="22"/>
                <w:szCs w:val="22"/>
                <w:i w:val="1"/>
                <w:iCs w:val="1"/>
                <w:color w:val="auto"/>
              </w:rPr>
              <w:t>U.S.A. Patriot Act</w:t>
            </w:r>
          </w:p>
        </w:tc>
        <w:tc>
          <w:tcPr>
            <w:tcW w:w="680" w:type="dxa"/>
            <w:vAlign w:val="bottom"/>
          </w:tcPr>
          <w:p>
            <w:pPr>
              <w:jc w:val="right"/>
              <w:spacing w:after="0"/>
              <w:rPr>
                <w:rFonts w:ascii="Arial" w:cs="Arial" w:eastAsia="Arial" w:hAnsi="Arial"/>
                <w:sz w:val="22"/>
                <w:szCs w:val="22"/>
                <w:color w:val="auto"/>
              </w:rPr>
            </w:pPr>
            <w:hyperlink w:anchor="page166">
              <w:r>
                <w:rPr>
                  <w:rFonts w:ascii="Arial" w:cs="Arial" w:eastAsia="Arial" w:hAnsi="Arial"/>
                  <w:sz w:val="22"/>
                  <w:szCs w:val="22"/>
                  <w:color w:val="auto"/>
                </w:rPr>
                <w:t>92</w:t>
              </w:r>
            </w:hyperlink>
          </w:p>
        </w:tc>
      </w:tr>
      <w:tr>
        <w:trPr>
          <w:trHeight w:val="297"/>
        </w:trPr>
        <w:tc>
          <w:tcPr>
            <w:tcW w:w="1580" w:type="dxa"/>
            <w:vAlign w:val="bottom"/>
          </w:tcPr>
          <w:p>
            <w:pPr>
              <w:ind w:left="40"/>
              <w:spacing w:after="0"/>
              <w:rPr>
                <w:sz w:val="20"/>
                <w:szCs w:val="20"/>
                <w:color w:val="auto"/>
              </w:rPr>
            </w:pPr>
            <w:r>
              <w:rPr>
                <w:rFonts w:ascii="Arial" w:cs="Arial" w:eastAsia="Arial" w:hAnsi="Arial"/>
                <w:sz w:val="22"/>
                <w:szCs w:val="22"/>
                <w:color w:val="auto"/>
              </w:rPr>
              <w:t>Section 17.18 .</w:t>
            </w:r>
          </w:p>
        </w:tc>
        <w:tc>
          <w:tcPr>
            <w:tcW w:w="9040" w:type="dxa"/>
            <w:vAlign w:val="bottom"/>
          </w:tcPr>
          <w:p>
            <w:pPr>
              <w:ind w:left="280"/>
              <w:spacing w:after="0"/>
              <w:rPr>
                <w:sz w:val="20"/>
                <w:szCs w:val="20"/>
                <w:color w:val="auto"/>
              </w:rPr>
            </w:pPr>
            <w:r>
              <w:rPr>
                <w:rFonts w:ascii="Arial" w:cs="Arial" w:eastAsia="Arial" w:hAnsi="Arial"/>
                <w:sz w:val="22"/>
                <w:szCs w:val="22"/>
                <w:i w:val="1"/>
                <w:iCs w:val="1"/>
                <w:color w:val="auto"/>
              </w:rPr>
              <w:t>FATCA</w:t>
            </w:r>
          </w:p>
        </w:tc>
        <w:tc>
          <w:tcPr>
            <w:tcW w:w="680" w:type="dxa"/>
            <w:vAlign w:val="bottom"/>
          </w:tcPr>
          <w:p>
            <w:pPr>
              <w:jc w:val="right"/>
              <w:spacing w:after="0"/>
              <w:rPr>
                <w:rFonts w:ascii="Arial" w:cs="Arial" w:eastAsia="Arial" w:hAnsi="Arial"/>
                <w:sz w:val="22"/>
                <w:szCs w:val="22"/>
                <w:color w:val="auto"/>
              </w:rPr>
            </w:pPr>
            <w:hyperlink w:anchor="page166">
              <w:r>
                <w:rPr>
                  <w:rFonts w:ascii="Arial" w:cs="Arial" w:eastAsia="Arial" w:hAnsi="Arial"/>
                  <w:sz w:val="22"/>
                  <w:szCs w:val="22"/>
                  <w:color w:val="auto"/>
                </w:rPr>
                <w:t>92</w:t>
              </w:r>
            </w:hyperlink>
          </w:p>
        </w:tc>
      </w:tr>
      <w:tr>
        <w:trPr>
          <w:trHeight w:val="500"/>
        </w:trPr>
        <w:tc>
          <w:tcPr>
            <w:tcW w:w="1580" w:type="dxa"/>
            <w:vAlign w:val="bottom"/>
          </w:tcPr>
          <w:p>
            <w:pPr>
              <w:spacing w:after="0"/>
              <w:rPr>
                <w:sz w:val="24"/>
                <w:szCs w:val="24"/>
                <w:color w:val="auto"/>
              </w:rPr>
            </w:pPr>
          </w:p>
        </w:tc>
        <w:tc>
          <w:tcPr>
            <w:tcW w:w="9040" w:type="dxa"/>
            <w:vAlign w:val="bottom"/>
          </w:tcPr>
          <w:p>
            <w:pPr>
              <w:jc w:val="center"/>
              <w:ind w:right="732"/>
              <w:spacing w:after="0"/>
              <w:rPr>
                <w:sz w:val="20"/>
                <w:szCs w:val="20"/>
                <w:color w:val="auto"/>
              </w:rPr>
            </w:pPr>
            <w:r>
              <w:rPr>
                <w:rFonts w:ascii="Arial" w:cs="Arial" w:eastAsia="Arial" w:hAnsi="Arial"/>
                <w:sz w:val="22"/>
                <w:szCs w:val="22"/>
                <w:b w:val="1"/>
                <w:bCs w:val="1"/>
                <w:color w:val="auto"/>
              </w:rPr>
              <w:t>EXHIBITS</w:t>
            </w:r>
          </w:p>
        </w:tc>
        <w:tc>
          <w:tcPr>
            <w:tcW w:w="680" w:type="dxa"/>
            <w:vAlign w:val="bottom"/>
          </w:tcPr>
          <w:p>
            <w:pPr>
              <w:spacing w:after="0"/>
              <w:rPr>
                <w:sz w:val="24"/>
                <w:szCs w:val="24"/>
                <w:color w:val="auto"/>
              </w:rPr>
            </w:pPr>
          </w:p>
        </w:tc>
      </w:tr>
      <w:tr>
        <w:trPr>
          <w:trHeight w:val="405"/>
        </w:trPr>
        <w:tc>
          <w:tcPr>
            <w:tcW w:w="1580" w:type="dxa"/>
            <w:vAlign w:val="bottom"/>
          </w:tcPr>
          <w:p>
            <w:pPr>
              <w:spacing w:after="0"/>
              <w:rPr>
                <w:sz w:val="20"/>
                <w:szCs w:val="20"/>
                <w:color w:val="auto"/>
              </w:rPr>
            </w:pPr>
            <w:r>
              <w:rPr>
                <w:rFonts w:ascii="Arial" w:cs="Arial" w:eastAsia="Arial" w:hAnsi="Arial"/>
                <w:sz w:val="22"/>
                <w:szCs w:val="22"/>
                <w:color w:val="auto"/>
              </w:rPr>
              <w:t>Exhibit A</w:t>
            </w:r>
          </w:p>
        </w:tc>
        <w:tc>
          <w:tcPr>
            <w:tcW w:w="9040" w:type="dxa"/>
            <w:vAlign w:val="bottom"/>
          </w:tcPr>
          <w:p>
            <w:pPr>
              <w:ind w:left="240"/>
              <w:spacing w:after="0"/>
              <w:rPr>
                <w:sz w:val="20"/>
                <w:szCs w:val="20"/>
                <w:color w:val="auto"/>
              </w:rPr>
            </w:pPr>
            <w:r>
              <w:rPr>
                <w:rFonts w:ascii="Arial" w:cs="Arial" w:eastAsia="Arial" w:hAnsi="Arial"/>
                <w:sz w:val="22"/>
                <w:szCs w:val="22"/>
                <w:color w:val="auto"/>
              </w:rPr>
              <w:t>Form of Note</w:t>
            </w:r>
          </w:p>
        </w:tc>
        <w:tc>
          <w:tcPr>
            <w:tcW w:w="680" w:type="dxa"/>
            <w:vAlign w:val="bottom"/>
          </w:tcPr>
          <w:p>
            <w:pPr>
              <w:ind w:left="20"/>
              <w:spacing w:after="0"/>
              <w:rPr>
                <w:rFonts w:ascii="Arial" w:cs="Arial" w:eastAsia="Arial" w:hAnsi="Arial"/>
                <w:sz w:val="22"/>
                <w:szCs w:val="22"/>
                <w:color w:val="auto"/>
              </w:rPr>
            </w:pPr>
            <w:hyperlink w:anchor="page178">
              <w:r>
                <w:rPr>
                  <w:rFonts w:ascii="Arial" w:cs="Arial" w:eastAsia="Arial" w:hAnsi="Arial"/>
                  <w:sz w:val="22"/>
                  <w:szCs w:val="22"/>
                  <w:color w:val="auto"/>
                </w:rPr>
                <w:t>A-1</w:t>
              </w:r>
            </w:hyperlink>
          </w:p>
        </w:tc>
      </w:tr>
      <w:tr>
        <w:trPr>
          <w:trHeight w:val="297"/>
        </w:trPr>
        <w:tc>
          <w:tcPr>
            <w:tcW w:w="1580" w:type="dxa"/>
            <w:vAlign w:val="bottom"/>
          </w:tcPr>
          <w:p>
            <w:pPr>
              <w:spacing w:after="0"/>
              <w:rPr>
                <w:sz w:val="20"/>
                <w:szCs w:val="20"/>
                <w:color w:val="auto"/>
              </w:rPr>
            </w:pPr>
            <w:r>
              <w:rPr>
                <w:rFonts w:ascii="Arial" w:cs="Arial" w:eastAsia="Arial" w:hAnsi="Arial"/>
                <w:sz w:val="22"/>
                <w:szCs w:val="22"/>
                <w:color w:val="auto"/>
              </w:rPr>
              <w:t>Exhibit B</w:t>
            </w:r>
          </w:p>
        </w:tc>
        <w:tc>
          <w:tcPr>
            <w:tcW w:w="9040" w:type="dxa"/>
            <w:vAlign w:val="bottom"/>
          </w:tcPr>
          <w:p>
            <w:pPr>
              <w:ind w:left="240"/>
              <w:spacing w:after="0"/>
              <w:rPr>
                <w:sz w:val="20"/>
                <w:szCs w:val="20"/>
                <w:color w:val="auto"/>
              </w:rPr>
            </w:pPr>
            <w:r>
              <w:rPr>
                <w:rFonts w:ascii="Arial" w:cs="Arial" w:eastAsia="Arial" w:hAnsi="Arial"/>
                <w:sz w:val="22"/>
                <w:szCs w:val="22"/>
                <w:color w:val="auto"/>
              </w:rPr>
              <w:t>Form of Free Transferability Certificate</w:t>
            </w:r>
          </w:p>
        </w:tc>
        <w:tc>
          <w:tcPr>
            <w:tcW w:w="680" w:type="dxa"/>
            <w:vAlign w:val="bottom"/>
          </w:tcPr>
          <w:p>
            <w:pPr>
              <w:ind w:left="20"/>
              <w:spacing w:after="0"/>
              <w:rPr>
                <w:rFonts w:ascii="Arial" w:cs="Arial" w:eastAsia="Arial" w:hAnsi="Arial"/>
                <w:sz w:val="22"/>
                <w:szCs w:val="22"/>
                <w:color w:val="auto"/>
              </w:rPr>
            </w:pPr>
            <w:hyperlink w:anchor="page183">
              <w:r>
                <w:rPr>
                  <w:rFonts w:ascii="Arial" w:cs="Arial" w:eastAsia="Arial" w:hAnsi="Arial"/>
                  <w:sz w:val="22"/>
                  <w:szCs w:val="22"/>
                  <w:color w:val="auto"/>
                </w:rPr>
                <w:t>B-1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00"/>
          </w:cols>
          <w:pgMar w:left="280" w:top="591" w:right="319" w:bottom="1440" w:gutter="0" w:footer="0" w:header="0"/>
        </w:sectPr>
      </w:pPr>
    </w:p>
    <w:bookmarkStart w:id="78" w:name="page79"/>
    <w:bookmarkEnd w:id="78"/>
    <w:p>
      <w:pPr>
        <w:ind w:firstLine="648"/>
        <w:spacing w:after="0" w:line="250" w:lineRule="auto"/>
        <w:rPr>
          <w:sz w:val="20"/>
          <w:szCs w:val="20"/>
          <w:color w:val="auto"/>
        </w:rPr>
      </w:pPr>
      <w:r>
        <w:rPr>
          <w:rFonts w:ascii="Arial" w:cs="Arial" w:eastAsia="Arial" w:hAnsi="Arial"/>
          <w:sz w:val="22"/>
          <w:szCs w:val="22"/>
          <w:color w:val="auto"/>
        </w:rPr>
        <w:t>INDENTURE dated as of September 25, 2017 between Marriott Vacations Worldwide Corporation, a Delaware corporation, as issuer (the “</w:t>
      </w:r>
      <w:r>
        <w:rPr>
          <w:rFonts w:ascii="Arial" w:cs="Arial" w:eastAsia="Arial" w:hAnsi="Arial"/>
          <w:sz w:val="22"/>
          <w:szCs w:val="22"/>
          <w:b w:val="1"/>
          <w:bCs w:val="1"/>
          <w:color w:val="auto"/>
        </w:rPr>
        <w:t>Company</w:t>
      </w:r>
      <w:r>
        <w:rPr>
          <w:rFonts w:ascii="Arial" w:cs="Arial" w:eastAsia="Arial" w:hAnsi="Arial"/>
          <w:sz w:val="22"/>
          <w:szCs w:val="22"/>
          <w:color w:val="auto"/>
        </w:rPr>
        <w:t>”, as more fully set forth in Section 1.01), and The Bank of New York Mellon Trust Company, N.A., a national banking association organized under the laws of the United States of America, as trustee (the “</w:t>
      </w:r>
      <w:r>
        <w:rPr>
          <w:rFonts w:ascii="Arial" w:cs="Arial" w:eastAsia="Arial" w:hAnsi="Arial"/>
          <w:sz w:val="22"/>
          <w:szCs w:val="22"/>
          <w:b w:val="1"/>
          <w:bCs w:val="1"/>
          <w:color w:val="auto"/>
        </w:rPr>
        <w:t>Trustee</w:t>
      </w:r>
      <w:r>
        <w:rPr>
          <w:rFonts w:ascii="Arial" w:cs="Arial" w:eastAsia="Arial" w:hAnsi="Arial"/>
          <w:sz w:val="22"/>
          <w:szCs w:val="22"/>
          <w:color w:val="auto"/>
        </w:rPr>
        <w:t>”, as more fully set forth in Section 1.01).</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WHEREAS, for its lawful corporate purposes, the Company has duly authorized the issuance of its 1.50% Convertible Senior Notes due 2022 (the “</w:t>
      </w:r>
      <w:r>
        <w:rPr>
          <w:rFonts w:ascii="Arial" w:cs="Arial" w:eastAsia="Arial" w:hAnsi="Arial"/>
          <w:sz w:val="22"/>
          <w:szCs w:val="22"/>
          <w:b w:val="1"/>
          <w:bCs w:val="1"/>
          <w:color w:val="auto"/>
        </w:rPr>
        <w:t>Notes</w:t>
      </w:r>
      <w:r>
        <w:rPr>
          <w:rFonts w:ascii="Arial" w:cs="Arial" w:eastAsia="Arial" w:hAnsi="Arial"/>
          <w:sz w:val="22"/>
          <w:szCs w:val="22"/>
          <w:color w:val="auto"/>
        </w:rPr>
        <w:t>”), initially in an aggregate principal amount of $230,000,000, and in order to provide the terms and conditions upon which the Notes are to be authenticated, issued and delivered, the Company has duly authorized the execution and delivery of this Indenture; and</w:t>
      </w:r>
    </w:p>
    <w:p>
      <w:pPr>
        <w:spacing w:after="0" w:line="188" w:lineRule="exact"/>
        <w:rPr>
          <w:sz w:val="20"/>
          <w:szCs w:val="20"/>
          <w:color w:val="auto"/>
        </w:rPr>
      </w:pPr>
    </w:p>
    <w:p>
      <w:pPr>
        <w:ind w:right="420" w:firstLine="648"/>
        <w:spacing w:after="0" w:line="253" w:lineRule="auto"/>
        <w:rPr>
          <w:sz w:val="20"/>
          <w:szCs w:val="20"/>
          <w:color w:val="auto"/>
        </w:rPr>
      </w:pPr>
      <w:r>
        <w:rPr>
          <w:rFonts w:ascii="Arial" w:cs="Arial" w:eastAsia="Arial" w:hAnsi="Arial"/>
          <w:sz w:val="22"/>
          <w:szCs w:val="22"/>
          <w:color w:val="auto"/>
        </w:rPr>
        <w:t>WHEREAS, the Form of Note, the certificate of authentication to be borne by each Note, the Form of Notice of Conversion, the Form of Fundamental Change Repurchase Notice and the Form of Assignment and Transfer to be borne by the Notes are to be substantially in the forms hereinafter provided; and</w:t>
      </w:r>
    </w:p>
    <w:p>
      <w:pPr>
        <w:spacing w:after="0" w:line="186" w:lineRule="exact"/>
        <w:rPr>
          <w:sz w:val="20"/>
          <w:szCs w:val="20"/>
          <w:color w:val="auto"/>
        </w:rPr>
      </w:pPr>
    </w:p>
    <w:p>
      <w:pPr>
        <w:ind w:right="280" w:firstLine="648"/>
        <w:spacing w:after="0" w:line="302" w:lineRule="auto"/>
        <w:rPr>
          <w:sz w:val="20"/>
          <w:szCs w:val="20"/>
          <w:color w:val="auto"/>
        </w:rPr>
      </w:pPr>
      <w:r>
        <w:rPr>
          <w:rFonts w:ascii="Arial" w:cs="Arial" w:eastAsia="Arial" w:hAnsi="Arial"/>
          <w:sz w:val="19"/>
          <w:szCs w:val="19"/>
          <w:color w:val="auto"/>
        </w:rPr>
        <w:t>WHEREAS, all acts and things necessary to make the Notes, when executed by the Company and authenticated and delivered by the Trustee or a duly authorized authenticating agent, as provided in this Indenture, the valid, binding and legal obligations of the Company, and this Indenture the valid, binding and legal obligations of the Company, have been done and performed, and the execution of this Indenture and the issuance hereunder of the Notes have in all respects been duly authorized.</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THIS INDENTURE WITNESSETH:</w:t>
      </w:r>
    </w:p>
    <w:p>
      <w:pPr>
        <w:spacing w:after="0" w:line="220"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1</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w:t>
      </w:r>
      <w:r>
        <w:rPr>
          <w:rFonts w:ascii="Arial" w:cs="Arial" w:eastAsia="Arial" w:hAnsi="Arial"/>
          <w:sz w:val="18"/>
          <w:szCs w:val="18"/>
          <w:color w:val="auto"/>
        </w:rPr>
        <w:t>EFINITIONS</w:t>
      </w:r>
    </w:p>
    <w:p>
      <w:pPr>
        <w:spacing w:after="0" w:line="161" w:lineRule="exact"/>
        <w:rPr>
          <w:sz w:val="20"/>
          <w:szCs w:val="20"/>
          <w:color w:val="auto"/>
        </w:rPr>
      </w:pPr>
    </w:p>
    <w:p>
      <w:pPr>
        <w:ind w:right="320"/>
        <w:spacing w:after="0" w:line="248" w:lineRule="auto"/>
        <w:rPr>
          <w:sz w:val="20"/>
          <w:szCs w:val="20"/>
          <w:color w:val="auto"/>
        </w:rPr>
      </w:pPr>
      <w:r>
        <w:rPr>
          <w:rFonts w:ascii="Arial" w:cs="Arial" w:eastAsia="Arial" w:hAnsi="Arial"/>
          <w:sz w:val="22"/>
          <w:szCs w:val="22"/>
          <w:color w:val="auto"/>
        </w:rPr>
        <w:t>Section 1.01</w:t>
      </w:r>
      <w:r>
        <w:rPr>
          <w:rFonts w:ascii="Arial" w:cs="Arial" w:eastAsia="Arial" w:hAnsi="Arial"/>
          <w:sz w:val="22"/>
          <w:szCs w:val="22"/>
          <w:i w:val="1"/>
          <w:iCs w:val="1"/>
          <w:color w:val="auto"/>
        </w:rPr>
        <w:t>. Definitions.</w:t>
      </w:r>
      <w:r>
        <w:rPr>
          <w:rFonts w:ascii="Arial" w:cs="Arial" w:eastAsia="Arial" w:hAnsi="Arial"/>
          <w:sz w:val="22"/>
          <w:szCs w:val="22"/>
          <w:color w:val="auto"/>
        </w:rPr>
        <w:t xml:space="preserve"> 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w:t>
      </w:r>
    </w:p>
    <w:p>
      <w:pPr>
        <w:spacing w:after="0" w:line="146" w:lineRule="exact"/>
        <w:rPr>
          <w:sz w:val="20"/>
          <w:szCs w:val="20"/>
          <w:color w:val="auto"/>
        </w:rPr>
      </w:pPr>
    </w:p>
    <w:p>
      <w:pPr>
        <w:ind w:left="660" w:right="2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Interest</w:t>
      </w:r>
      <w:r>
        <w:rPr>
          <w:rFonts w:ascii="Arial" w:cs="Arial" w:eastAsia="Arial" w:hAnsi="Arial"/>
          <w:sz w:val="22"/>
          <w:szCs w:val="22"/>
          <w:color w:val="auto"/>
        </w:rPr>
        <w:t>” means all amounts, if any, payable pursuant to Section 4.06(d), Section 4.06(e) and Section 6.03, as applicable.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75" w:right="239" w:bottom="1440" w:gutter="0" w:footer="0" w:header="0"/>
        </w:sectPr>
      </w:pPr>
    </w:p>
    <w:bookmarkStart w:id="79" w:name="page80"/>
    <w:bookmarkEnd w:id="79"/>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Shares</w:t>
      </w:r>
      <w:r>
        <w:rPr>
          <w:rFonts w:ascii="Arial" w:cs="Arial" w:eastAsia="Arial" w:hAnsi="Arial"/>
          <w:sz w:val="22"/>
          <w:szCs w:val="22"/>
          <w:color w:val="auto"/>
        </w:rPr>
        <w:t>” shall have the meaning specified in Section 14.03(a).</w:t>
      </w:r>
    </w:p>
    <w:p>
      <w:pPr>
        <w:spacing w:after="0" w:line="179" w:lineRule="exact"/>
        <w:rPr>
          <w:sz w:val="20"/>
          <w:szCs w:val="20"/>
          <w:color w:val="auto"/>
        </w:rPr>
      </w:pPr>
    </w:p>
    <w:p>
      <w:pPr>
        <w:ind w:right="160"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“Affiliate” of another Person for purposes of this Indenture shall be made based on the facts at the time such determination is made or required to be made, as the case may be, hereunder.</w:t>
      </w:r>
    </w:p>
    <w:p>
      <w:pPr>
        <w:spacing w:after="0" w:line="105" w:lineRule="exact"/>
        <w:rPr>
          <w:sz w:val="20"/>
          <w:szCs w:val="20"/>
          <w:color w:val="auto"/>
        </w:rPr>
      </w:pPr>
    </w:p>
    <w:p>
      <w:pPr>
        <w:jc w:val="both"/>
        <w:ind w:right="7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Procedures</w:t>
      </w:r>
      <w:r>
        <w:rPr>
          <w:rFonts w:ascii="Arial" w:cs="Arial" w:eastAsia="Arial" w:hAnsi="Arial"/>
          <w:sz w:val="22"/>
          <w:szCs w:val="22"/>
          <w:color w:val="auto"/>
        </w:rPr>
        <w:t>” means, with respect to a Depositary, as to any matter at any time, the policies and procedures of such Depositary, if any, that are applicable to such matter at such time.</w:t>
      </w:r>
    </w:p>
    <w:p>
      <w:pPr>
        <w:spacing w:after="0" w:line="122" w:lineRule="exact"/>
        <w:rPr>
          <w:sz w:val="20"/>
          <w:szCs w:val="20"/>
          <w:color w:val="auto"/>
        </w:rPr>
      </w:pPr>
    </w:p>
    <w:p>
      <w:pPr>
        <w:ind w:right="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Bankruptcy Law</w:t>
      </w:r>
      <w:r>
        <w:rPr>
          <w:rFonts w:ascii="Arial" w:cs="Arial" w:eastAsia="Arial" w:hAnsi="Arial"/>
          <w:sz w:val="22"/>
          <w:szCs w:val="22"/>
          <w:color w:val="auto"/>
        </w:rPr>
        <w:t>” means Title 11, U.S. Code, as amended, or any similar federal, state or foreign law for the relief of debtors.</w:t>
      </w:r>
    </w:p>
    <w:p>
      <w:pPr>
        <w:spacing w:after="0" w:line="122" w:lineRule="exact"/>
        <w:rPr>
          <w:sz w:val="20"/>
          <w:szCs w:val="20"/>
          <w:color w:val="auto"/>
        </w:rPr>
      </w:pPr>
    </w:p>
    <w:p>
      <w:pPr>
        <w:ind w:right="32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Bid Solicitation Agent</w:t>
      </w:r>
      <w:r>
        <w:rPr>
          <w:rFonts w:ascii="Arial" w:cs="Arial" w:eastAsia="Arial" w:hAnsi="Arial"/>
          <w:sz w:val="19"/>
          <w:szCs w:val="19"/>
          <w:color w:val="auto"/>
        </w:rPr>
        <w:t>” means the Person appointed by the Company to solicit bids for the Trading Price of the Notes in accordance with Section 14.01(b)(i). The Company shall initially act as the Bid Solicitation Agent.</w:t>
      </w:r>
    </w:p>
    <w:p>
      <w:pPr>
        <w:spacing w:after="0" w:line="52" w:lineRule="exact"/>
        <w:rPr>
          <w:sz w:val="20"/>
          <w:szCs w:val="20"/>
          <w:color w:val="auto"/>
        </w:rPr>
      </w:pPr>
    </w:p>
    <w:p>
      <w:pPr>
        <w:ind w:right="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 of Directors</w:t>
      </w:r>
      <w:r>
        <w:rPr>
          <w:rFonts w:ascii="Arial" w:cs="Arial" w:eastAsia="Arial" w:hAnsi="Arial"/>
          <w:sz w:val="22"/>
          <w:szCs w:val="22"/>
          <w:color w:val="auto"/>
        </w:rPr>
        <w:t>” means the board of directors of the Company or a committee of such board duly authorized to act for it hereunder.</w:t>
      </w:r>
    </w:p>
    <w:p>
      <w:pPr>
        <w:spacing w:after="0" w:line="122" w:lineRule="exact"/>
        <w:rPr>
          <w:sz w:val="20"/>
          <w:szCs w:val="20"/>
          <w:color w:val="auto"/>
        </w:rPr>
      </w:pPr>
    </w:p>
    <w:p>
      <w:pPr>
        <w:jc w:val="both"/>
        <w:ind w:right="7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 Resolution</w:t>
      </w:r>
      <w:r>
        <w:rPr>
          <w:rFonts w:ascii="Arial" w:cs="Arial" w:eastAsia="Arial" w:hAnsi="Arial"/>
          <w:sz w:val="22"/>
          <w:szCs w:val="22"/>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36" w:lineRule="exact"/>
        <w:rPr>
          <w:sz w:val="20"/>
          <w:szCs w:val="20"/>
          <w:color w:val="auto"/>
        </w:rPr>
      </w:pPr>
    </w:p>
    <w:p>
      <w:pPr>
        <w:ind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 means any day other than a Saturday, a Sunday or a day on which the Federal Reserve Bank of New York or banking institutions in New York are authorized or required by law or executive order to close or be closed.</w:t>
      </w:r>
    </w:p>
    <w:p>
      <w:pPr>
        <w:spacing w:after="0" w:line="52" w:lineRule="exact"/>
        <w:rPr>
          <w:sz w:val="20"/>
          <w:szCs w:val="20"/>
          <w:color w:val="auto"/>
        </w:rPr>
      </w:pPr>
    </w:p>
    <w:p>
      <w:pPr>
        <w:ind w:right="460"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Stock</w:t>
      </w:r>
      <w:r>
        <w:rPr>
          <w:rFonts w:ascii="Arial" w:cs="Arial" w:eastAsia="Arial" w:hAnsi="Arial"/>
          <w:sz w:val="22"/>
          <w:szCs w:val="22"/>
          <w:color w:val="auto"/>
        </w:rPr>
        <w:t xml:space="preserve">” means, for any entity, any and all shares, interests, rights to purchase, warrants, options, participations or other equivalents of or interests in (however designated) stock issued by that entity;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debt securities that are convertible into or exchangeable for Capital Stock shall not constitute Capital Stock prior to their conversion or exchange, as the case may be.</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 Settlement</w:t>
      </w:r>
      <w:r>
        <w:rPr>
          <w:rFonts w:ascii="Arial" w:cs="Arial" w:eastAsia="Arial" w:hAnsi="Arial"/>
          <w:sz w:val="22"/>
          <w:szCs w:val="22"/>
          <w:color w:val="auto"/>
        </w:rPr>
        <w:t>” shall have the meaning provided in Section 14.02(a).</w:t>
      </w:r>
    </w:p>
    <w:p>
      <w:pPr>
        <w:spacing w:after="0" w:line="179" w:lineRule="exact"/>
        <w:rPr>
          <w:sz w:val="20"/>
          <w:szCs w:val="20"/>
          <w:color w:val="auto"/>
        </w:rPr>
      </w:pPr>
    </w:p>
    <w:p>
      <w:pPr>
        <w:ind w:right="2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Certificated Notes</w:t>
      </w:r>
      <w:r>
        <w:rPr>
          <w:rFonts w:ascii="Arial" w:cs="Arial" w:eastAsia="Arial" w:hAnsi="Arial"/>
          <w:sz w:val="22"/>
          <w:szCs w:val="22"/>
          <w:color w:val="auto"/>
        </w:rPr>
        <w:t>” means permanent certificated Notes in registered form issued in minimum denominations of $1,000 principal amount and integral multiples thereof.</w:t>
      </w:r>
    </w:p>
    <w:p>
      <w:pPr>
        <w:spacing w:after="0" w:line="37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60"/>
          </w:cols>
          <w:pgMar w:left="900" w:top="369" w:right="239" w:bottom="1440" w:gutter="0" w:footer="0" w:header="0"/>
        </w:sectPr>
      </w:pPr>
    </w:p>
    <w:bookmarkStart w:id="80" w:name="page81"/>
    <w:bookmarkEnd w:id="80"/>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Clause A Distribution</w:t>
      </w:r>
      <w:r>
        <w:rPr>
          <w:rFonts w:ascii="Arial" w:cs="Arial" w:eastAsia="Arial" w:hAnsi="Arial"/>
          <w:sz w:val="22"/>
          <w:szCs w:val="22"/>
          <w:color w:val="auto"/>
        </w:rPr>
        <w:t>” shall have the meaning specified in Section 14.04(c).</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Clause B Distribution</w:t>
      </w:r>
      <w:r>
        <w:rPr>
          <w:rFonts w:ascii="Arial" w:cs="Arial" w:eastAsia="Arial" w:hAnsi="Arial"/>
          <w:sz w:val="22"/>
          <w:szCs w:val="22"/>
          <w:color w:val="auto"/>
        </w:rPr>
        <w:t>” shall have the meaning specified in Section 14.04(c).</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Clause C Distribution</w:t>
      </w:r>
      <w:r>
        <w:rPr>
          <w:rFonts w:ascii="Arial" w:cs="Arial" w:eastAsia="Arial" w:hAnsi="Arial"/>
          <w:sz w:val="22"/>
          <w:szCs w:val="22"/>
          <w:color w:val="auto"/>
        </w:rPr>
        <w:t>” shall have the meaning specified in Section 14.04(c).</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close of business</w:t>
      </w:r>
      <w:r>
        <w:rPr>
          <w:rFonts w:ascii="Arial" w:cs="Arial" w:eastAsia="Arial" w:hAnsi="Arial"/>
          <w:sz w:val="22"/>
          <w:szCs w:val="22"/>
          <w:color w:val="auto"/>
        </w:rPr>
        <w:t>” means 5:00 p.m. (New York City time).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Combination Settlement</w:t>
      </w:r>
      <w:r>
        <w:rPr>
          <w:rFonts w:ascii="Arial" w:cs="Arial" w:eastAsia="Arial" w:hAnsi="Arial"/>
          <w:sz w:val="22"/>
          <w:szCs w:val="22"/>
          <w:color w:val="auto"/>
        </w:rPr>
        <w:t>” shall have the meaning provided in Section 14.02(a).</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Commission</w:t>
      </w:r>
      <w:r>
        <w:rPr>
          <w:rFonts w:ascii="Arial" w:cs="Arial" w:eastAsia="Arial" w:hAnsi="Arial"/>
          <w:sz w:val="22"/>
          <w:szCs w:val="22"/>
          <w:color w:val="auto"/>
        </w:rPr>
        <w:t>” means the U.S. Securities and Exchange Commission.</w:t>
      </w:r>
    </w:p>
    <w:p>
      <w:pPr>
        <w:spacing w:after="0" w:line="179" w:lineRule="exact"/>
        <w:rPr>
          <w:sz w:val="20"/>
          <w:szCs w:val="20"/>
          <w:color w:val="auto"/>
        </w:rPr>
      </w:pPr>
    </w:p>
    <w:p>
      <w:pPr>
        <w:ind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Common Equity</w:t>
      </w:r>
      <w:r>
        <w:rPr>
          <w:rFonts w:ascii="Arial" w:cs="Arial" w:eastAsia="Arial" w:hAnsi="Arial"/>
          <w:sz w:val="19"/>
          <w:szCs w:val="19"/>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Common Stock</w:t>
      </w:r>
      <w:r>
        <w:rPr>
          <w:rFonts w:ascii="Arial" w:cs="Arial" w:eastAsia="Arial" w:hAnsi="Arial"/>
          <w:sz w:val="19"/>
          <w:szCs w:val="19"/>
          <w:color w:val="auto"/>
        </w:rPr>
        <w:t>” means the common stock of the Company, par value $0.01 per share, subject to Section 14.07.</w:t>
      </w:r>
    </w:p>
    <w:p>
      <w:pPr>
        <w:spacing w:after="0" w:line="214" w:lineRule="exact"/>
        <w:rPr>
          <w:sz w:val="20"/>
          <w:szCs w:val="20"/>
          <w:color w:val="auto"/>
        </w:rPr>
      </w:pPr>
    </w:p>
    <w:p>
      <w:pPr>
        <w:ind w:right="2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shall have the meaning specified in the first paragraph of this Indenture, and subject to the provisions of Article 11, shall include its successors and assigns.</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Order</w:t>
      </w:r>
      <w:r>
        <w:rPr>
          <w:rFonts w:ascii="Arial" w:cs="Arial" w:eastAsia="Arial" w:hAnsi="Arial"/>
          <w:sz w:val="22"/>
          <w:szCs w:val="22"/>
          <w:color w:val="auto"/>
        </w:rPr>
        <w:t>” means a written order of the Company, signed by an Officer of the Company.</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Agent</w:t>
      </w:r>
      <w:r>
        <w:rPr>
          <w:rFonts w:ascii="Arial" w:cs="Arial" w:eastAsia="Arial" w:hAnsi="Arial"/>
          <w:sz w:val="22"/>
          <w:szCs w:val="22"/>
          <w:color w:val="auto"/>
        </w:rPr>
        <w:t>” shall have the meaning specified in Section 4.02.</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Consideration</w:t>
      </w:r>
      <w:r>
        <w:rPr>
          <w:rFonts w:ascii="Arial" w:cs="Arial" w:eastAsia="Arial" w:hAnsi="Arial"/>
          <w:sz w:val="22"/>
          <w:szCs w:val="22"/>
          <w:color w:val="auto"/>
        </w:rPr>
        <w:t>” shall have the meaning specified in Section 14.02(j).</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Date</w:t>
      </w:r>
      <w:r>
        <w:rPr>
          <w:rFonts w:ascii="Arial" w:cs="Arial" w:eastAsia="Arial" w:hAnsi="Arial"/>
          <w:sz w:val="22"/>
          <w:szCs w:val="22"/>
          <w:color w:val="auto"/>
        </w:rPr>
        <w:t>” shall have the meaning specified in Section 14.02(c).</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Obligation</w:t>
      </w:r>
      <w:r>
        <w:rPr>
          <w:rFonts w:ascii="Arial" w:cs="Arial" w:eastAsia="Arial" w:hAnsi="Arial"/>
          <w:sz w:val="22"/>
          <w:szCs w:val="22"/>
          <w:color w:val="auto"/>
        </w:rPr>
        <w:t>” shall have the meaning specified in Section 14.01(a).</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Price</w:t>
      </w:r>
      <w:r>
        <w:rPr>
          <w:rFonts w:ascii="Arial" w:cs="Arial" w:eastAsia="Arial" w:hAnsi="Arial"/>
          <w:sz w:val="22"/>
          <w:szCs w:val="22"/>
          <w:color w:val="auto"/>
        </w:rPr>
        <w:t xml:space="preserve">” means as of any date, $1,000,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the Conversion Rate as of such date.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Rate</w:t>
      </w:r>
      <w:r>
        <w:rPr>
          <w:rFonts w:ascii="Arial" w:cs="Arial" w:eastAsia="Arial" w:hAnsi="Arial"/>
          <w:sz w:val="22"/>
          <w:szCs w:val="22"/>
          <w:color w:val="auto"/>
        </w:rPr>
        <w:t>” shall have the meaning specified in Section 14.01(a).</w:t>
      </w:r>
    </w:p>
    <w:p>
      <w:pPr>
        <w:spacing w:after="0" w:line="179" w:lineRule="exact"/>
        <w:rPr>
          <w:sz w:val="20"/>
          <w:szCs w:val="20"/>
          <w:color w:val="auto"/>
        </w:rPr>
      </w:pPr>
    </w:p>
    <w:p>
      <w:pPr>
        <w:ind w:right="12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Corporate Trust Office</w:t>
      </w:r>
      <w:r>
        <w:rPr>
          <w:rFonts w:ascii="Arial" w:cs="Arial" w:eastAsia="Arial" w:hAnsi="Arial"/>
          <w:sz w:val="22"/>
          <w:szCs w:val="22"/>
          <w:color w:val="auto"/>
        </w:rPr>
        <w:t>” means the principal designated office of the Trustee at which at any time its corporate trust business shall be administered, which office at the date hereof is located at 10161 Centurion Parkway, 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Floor, Jacksonville, Florida 32256, Attention: Corporate Trust Administration, or such other address as the Trustee may designate from time to time by notice to the Holders and the Company, or the principal designated corporate trust office of any successor Trustee (or such other address</w:t>
      </w:r>
    </w:p>
    <w:p>
      <w:pPr>
        <w:spacing w:after="0" w:line="200" w:lineRule="exact"/>
        <w:rPr>
          <w:sz w:val="20"/>
          <w:szCs w:val="20"/>
          <w:color w:val="auto"/>
        </w:rPr>
      </w:pPr>
    </w:p>
    <w:p>
      <w:pPr>
        <w:spacing w:after="0" w:line="202"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760"/>
          </w:cols>
          <w:pgMar w:left="900" w:top="369" w:right="239" w:bottom="1440" w:gutter="0" w:footer="0" w:header="0"/>
        </w:sectPr>
      </w:pPr>
    </w:p>
    <w:bookmarkStart w:id="81" w:name="page82"/>
    <w:bookmarkEnd w:id="81"/>
    <w:p>
      <w:pPr>
        <w:spacing w:after="0"/>
        <w:rPr>
          <w:sz w:val="20"/>
          <w:szCs w:val="20"/>
          <w:color w:val="auto"/>
        </w:rPr>
      </w:pPr>
      <w:r>
        <w:rPr>
          <w:rFonts w:ascii="Arial" w:cs="Arial" w:eastAsia="Arial" w:hAnsi="Arial"/>
          <w:sz w:val="22"/>
          <w:szCs w:val="22"/>
          <w:color w:val="auto"/>
        </w:rPr>
        <w:t>as such successor Trustee may designate from time to time by notice to the Holders and the Company).</w:t>
      </w:r>
    </w:p>
    <w:p>
      <w:pPr>
        <w:spacing w:after="0" w:line="173" w:lineRule="exact"/>
        <w:rPr>
          <w:sz w:val="20"/>
          <w:szCs w:val="20"/>
          <w:color w:val="auto"/>
        </w:rPr>
      </w:pPr>
    </w:p>
    <w:p>
      <w:pPr>
        <w:ind w:right="1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Custodian</w:t>
      </w:r>
      <w:r>
        <w:rPr>
          <w:rFonts w:ascii="Arial" w:cs="Arial" w:eastAsia="Arial" w:hAnsi="Arial"/>
          <w:sz w:val="22"/>
          <w:szCs w:val="22"/>
          <w:color w:val="auto"/>
        </w:rPr>
        <w:t>” means the Trustee, as custodian for The Depository Trust Company, with respect to the Global Notes, or any successor entity thereto.</w:t>
      </w:r>
    </w:p>
    <w:p>
      <w:pPr>
        <w:spacing w:after="0" w:line="122" w:lineRule="exact"/>
        <w:rPr>
          <w:sz w:val="20"/>
          <w:szCs w:val="20"/>
          <w:color w:val="auto"/>
        </w:rPr>
      </w:pPr>
    </w:p>
    <w:p>
      <w:pPr>
        <w:jc w:val="both"/>
        <w:ind w:right="4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Daily Conversion Value</w:t>
      </w:r>
      <w:r>
        <w:rPr>
          <w:rFonts w:ascii="Arial" w:cs="Arial" w:eastAsia="Arial" w:hAnsi="Arial"/>
          <w:sz w:val="22"/>
          <w:szCs w:val="22"/>
          <w:color w:val="auto"/>
        </w:rPr>
        <w:t>” means, for each of the 30 consecutive VWAP Trading Days during the Observation Period, 1/30th of the product of (i) the Conversion Rate on such VWAP Trading Day and (ii) the Daily VWAP for such VWAP Trading Day.</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Daily Measurement Value</w:t>
      </w:r>
      <w:r>
        <w:rPr>
          <w:rFonts w:ascii="Arial" w:cs="Arial" w:eastAsia="Arial" w:hAnsi="Arial"/>
          <w:sz w:val="21"/>
          <w:szCs w:val="21"/>
          <w:color w:val="auto"/>
        </w:rPr>
        <w:t>” shall have the meaning specified in the definition of “Daily Settlement Amount.”</w:t>
      </w:r>
    </w:p>
    <w:p>
      <w:pPr>
        <w:spacing w:after="0" w:line="191" w:lineRule="exact"/>
        <w:rPr>
          <w:sz w:val="20"/>
          <w:szCs w:val="20"/>
          <w:color w:val="auto"/>
        </w:rPr>
      </w:pPr>
    </w:p>
    <w:p>
      <w:pPr>
        <w:ind w:right="2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Daily Settlement Amount</w:t>
      </w:r>
      <w:r>
        <w:rPr>
          <w:rFonts w:ascii="Arial" w:cs="Arial" w:eastAsia="Arial" w:hAnsi="Arial"/>
          <w:sz w:val="22"/>
          <w:szCs w:val="22"/>
          <w:color w:val="auto"/>
        </w:rPr>
        <w:t>,” for each of the 30 consecutive VWAP Trading Days during the Observation Period, shall consist of:</w:t>
      </w:r>
    </w:p>
    <w:p>
      <w:pPr>
        <w:spacing w:after="0" w:line="128" w:lineRule="exact"/>
        <w:rPr>
          <w:sz w:val="20"/>
          <w:szCs w:val="20"/>
          <w:color w:val="auto"/>
        </w:rPr>
      </w:pPr>
    </w:p>
    <w:p>
      <w:pPr>
        <w:ind w:right="220" w:firstLine="645"/>
        <w:spacing w:after="0" w:line="287" w:lineRule="auto"/>
        <w:tabs>
          <w:tab w:leader="none" w:pos="1104" w:val="left"/>
        </w:tabs>
        <w:numPr>
          <w:ilvl w:val="0"/>
          <w:numId w:val="40"/>
        </w:numPr>
        <w:rPr>
          <w:rFonts w:ascii="Arial" w:cs="Arial" w:eastAsia="Arial" w:hAnsi="Arial"/>
          <w:sz w:val="21"/>
          <w:szCs w:val="21"/>
          <w:color w:val="auto"/>
        </w:rPr>
      </w:pPr>
      <w:r>
        <w:rPr>
          <w:rFonts w:ascii="Arial" w:cs="Arial" w:eastAsia="Arial" w:hAnsi="Arial"/>
          <w:sz w:val="21"/>
          <w:szCs w:val="21"/>
          <w:color w:val="auto"/>
        </w:rPr>
        <w:t xml:space="preserve">cash in an amount equal to the lesser of (i) the Specified Dollar Amount, if any, </w:t>
      </w:r>
      <w:r>
        <w:rPr>
          <w:rFonts w:ascii="Arial" w:cs="Arial" w:eastAsia="Arial" w:hAnsi="Arial"/>
          <w:sz w:val="21"/>
          <w:szCs w:val="21"/>
          <w:i w:val="1"/>
          <w:iCs w:val="1"/>
          <w:color w:val="auto"/>
        </w:rPr>
        <w:t>divided by</w:t>
      </w:r>
      <w:r>
        <w:rPr>
          <w:rFonts w:ascii="Arial" w:cs="Arial" w:eastAsia="Arial" w:hAnsi="Arial"/>
          <w:sz w:val="21"/>
          <w:szCs w:val="21"/>
          <w:color w:val="auto"/>
        </w:rPr>
        <w:t xml:space="preserve"> 30 (such quotient, the “</w:t>
      </w:r>
      <w:r>
        <w:rPr>
          <w:rFonts w:ascii="Arial" w:cs="Arial" w:eastAsia="Arial" w:hAnsi="Arial"/>
          <w:sz w:val="21"/>
          <w:szCs w:val="21"/>
          <w:b w:val="1"/>
          <w:bCs w:val="1"/>
          <w:color w:val="auto"/>
        </w:rPr>
        <w:t>Daily Measurement Value</w:t>
      </w:r>
      <w:r>
        <w:rPr>
          <w:rFonts w:ascii="Arial" w:cs="Arial" w:eastAsia="Arial" w:hAnsi="Arial"/>
          <w:sz w:val="21"/>
          <w:szCs w:val="21"/>
          <w:color w:val="auto"/>
        </w:rPr>
        <w:t>”) and (ii) the Daily Conversion Value for such VWAP Trading Day; and</w:t>
      </w:r>
    </w:p>
    <w:p>
      <w:pPr>
        <w:spacing w:after="0" w:line="111" w:lineRule="exact"/>
        <w:rPr>
          <w:rFonts w:ascii="Arial" w:cs="Arial" w:eastAsia="Arial" w:hAnsi="Arial"/>
          <w:sz w:val="21"/>
          <w:szCs w:val="21"/>
          <w:color w:val="auto"/>
        </w:rPr>
      </w:pPr>
    </w:p>
    <w:p>
      <w:pPr>
        <w:jc w:val="both"/>
        <w:ind w:firstLine="645"/>
        <w:spacing w:after="0" w:line="253" w:lineRule="auto"/>
        <w:tabs>
          <w:tab w:leader="none" w:pos="1116" w:val="left"/>
        </w:tabs>
        <w:numPr>
          <w:ilvl w:val="0"/>
          <w:numId w:val="40"/>
        </w:numPr>
        <w:rPr>
          <w:rFonts w:ascii="Arial" w:cs="Arial" w:eastAsia="Arial" w:hAnsi="Arial"/>
          <w:sz w:val="22"/>
          <w:szCs w:val="22"/>
          <w:color w:val="auto"/>
        </w:rPr>
      </w:pPr>
      <w:r>
        <w:rPr>
          <w:rFonts w:ascii="Arial" w:cs="Arial" w:eastAsia="Arial" w:hAnsi="Arial"/>
          <w:sz w:val="22"/>
          <w:szCs w:val="22"/>
          <w:color w:val="auto"/>
        </w:rPr>
        <w:t xml:space="preserve">if the Daily Conversion Value on such VWAP Trading Day exceeds the Daily Measurement Value, a number of shares of Common Stock equal to (i) the difference between the Daily Conversion Value and the Daily Measurement Value, </w:t>
      </w:r>
      <w:r>
        <w:rPr>
          <w:rFonts w:ascii="Arial" w:cs="Arial" w:eastAsia="Arial" w:hAnsi="Arial"/>
          <w:sz w:val="22"/>
          <w:szCs w:val="22"/>
          <w:i w:val="1"/>
          <w:iCs w:val="1"/>
          <w:color w:val="auto"/>
        </w:rPr>
        <w:t xml:space="preserve">divided by </w:t>
      </w:r>
      <w:r>
        <w:rPr>
          <w:rFonts w:ascii="Arial" w:cs="Arial" w:eastAsia="Arial" w:hAnsi="Arial"/>
          <w:sz w:val="22"/>
          <w:szCs w:val="22"/>
          <w:color w:val="auto"/>
        </w:rPr>
        <w:t>(ii) the Daily VWAP for such VWAP Trading Day.</w:t>
      </w:r>
    </w:p>
    <w:p>
      <w:pPr>
        <w:spacing w:after="0" w:line="13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Daily VWAP</w:t>
      </w:r>
      <w:r>
        <w:rPr>
          <w:rFonts w:ascii="Arial" w:cs="Arial" w:eastAsia="Arial" w:hAnsi="Arial"/>
          <w:sz w:val="19"/>
          <w:szCs w:val="19"/>
          <w:color w:val="auto"/>
        </w:rPr>
        <w:t>” means, for each of the 30 consecutive VWAP Trading Days during the Observation Period, the per share volume-weighted average price as displayed under the heading “Bloomberg VWAP” on Bloomberg page “VAC&lt;equity&gt; AQR” (or its equivalent successor if such page is not available)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method, by a nationally recognized independent investment banking firm retained for this purpose by the Company). The “</w:t>
      </w:r>
      <w:r>
        <w:rPr>
          <w:rFonts w:ascii="Arial" w:cs="Arial" w:eastAsia="Arial" w:hAnsi="Arial"/>
          <w:sz w:val="19"/>
          <w:szCs w:val="19"/>
          <w:b w:val="1"/>
          <w:bCs w:val="1"/>
          <w:color w:val="auto"/>
        </w:rPr>
        <w:t>Daily VWAP</w:t>
      </w:r>
      <w:r>
        <w:rPr>
          <w:rFonts w:ascii="Arial" w:cs="Arial" w:eastAsia="Arial" w:hAnsi="Arial"/>
          <w:sz w:val="19"/>
          <w:szCs w:val="19"/>
          <w:color w:val="auto"/>
        </w:rPr>
        <w:t>” shall be determined without regard to after-hours trading or any other trading outside of the regular trading session trading hours.</w:t>
      </w:r>
    </w:p>
    <w:p>
      <w:pPr>
        <w:spacing w:after="0" w:line="10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Default</w:t>
      </w:r>
      <w:r>
        <w:rPr>
          <w:rFonts w:ascii="Arial" w:cs="Arial" w:eastAsia="Arial" w:hAnsi="Arial"/>
          <w:sz w:val="21"/>
          <w:szCs w:val="21"/>
          <w:color w:val="auto"/>
        </w:rPr>
        <w:t>” means any event that is, or after notice or passage of time, or both, would be, an Event of Default.</w:t>
      </w:r>
    </w:p>
    <w:p>
      <w:pPr>
        <w:spacing w:after="0" w:line="191" w:lineRule="exact"/>
        <w:rPr>
          <w:sz w:val="20"/>
          <w:szCs w:val="20"/>
          <w:color w:val="auto"/>
        </w:rPr>
      </w:pPr>
    </w:p>
    <w:p>
      <w:pPr>
        <w:ind w:right="36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Defaulted Amounts</w:t>
      </w:r>
      <w:r>
        <w:rPr>
          <w:rFonts w:ascii="Arial" w:cs="Arial" w:eastAsia="Arial" w:hAnsi="Arial"/>
          <w:sz w:val="19"/>
          <w:szCs w:val="19"/>
          <w:color w:val="auto"/>
        </w:rPr>
        <w:t>” means any amounts on any Note (including, without limitation, the Fundamental Change Repurchase Price, principal and interest) that are payable but are not punctually paid or duly provided for.</w:t>
      </w:r>
    </w:p>
    <w:p>
      <w:pPr>
        <w:spacing w:after="0" w:line="52" w:lineRule="exact"/>
        <w:rPr>
          <w:sz w:val="20"/>
          <w:szCs w:val="20"/>
          <w:color w:val="auto"/>
        </w:rPr>
      </w:pPr>
    </w:p>
    <w:p>
      <w:pPr>
        <w:ind w:right="340"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Depositary</w:t>
      </w:r>
      <w:r>
        <w:rPr>
          <w:rFonts w:ascii="Arial" w:cs="Arial" w:eastAsia="Arial" w:hAnsi="Arial"/>
          <w:sz w:val="19"/>
          <w:szCs w:val="19"/>
          <w:color w:val="auto"/>
        </w:rPr>
        <w:t>” means, with respect to each Global Note, the Person specified in Section 2.05(b) as the Depositary with respect to such Notes, until a successor shall have been appointed and become such pursuant to the applicable provisions of this Indenture, and thereafter, “</w:t>
      </w:r>
      <w:r>
        <w:rPr>
          <w:rFonts w:ascii="Arial" w:cs="Arial" w:eastAsia="Arial" w:hAnsi="Arial"/>
          <w:sz w:val="19"/>
          <w:szCs w:val="19"/>
          <w:b w:val="1"/>
          <w:bCs w:val="1"/>
          <w:color w:val="auto"/>
        </w:rPr>
        <w:t>Depositary</w:t>
      </w:r>
      <w:r>
        <w:rPr>
          <w:rFonts w:ascii="Arial" w:cs="Arial" w:eastAsia="Arial" w:hAnsi="Arial"/>
          <w:sz w:val="19"/>
          <w:szCs w:val="19"/>
          <w:color w:val="auto"/>
        </w:rPr>
        <w:t>” shall mean or include such successor.</w:t>
      </w:r>
    </w:p>
    <w:p>
      <w:pPr>
        <w:spacing w:after="0" w:line="334"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740"/>
          </w:cols>
          <w:pgMar w:left="900" w:top="375" w:right="259" w:bottom="1440" w:gutter="0" w:footer="0" w:header="0"/>
        </w:sectPr>
      </w:pPr>
    </w:p>
    <w:bookmarkStart w:id="82" w:name="page83"/>
    <w:bookmarkEnd w:id="82"/>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Designated Financial Institution</w:t>
      </w:r>
      <w:r>
        <w:rPr>
          <w:rFonts w:ascii="Arial" w:cs="Arial" w:eastAsia="Arial" w:hAnsi="Arial"/>
          <w:sz w:val="22"/>
          <w:szCs w:val="22"/>
          <w:color w:val="auto"/>
        </w:rPr>
        <w:t>” shall have the meaning specified in Section 14.02(j).</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Distributed Property</w:t>
      </w:r>
      <w:r>
        <w:rPr>
          <w:rFonts w:ascii="Arial" w:cs="Arial" w:eastAsia="Arial" w:hAnsi="Arial"/>
          <w:sz w:val="22"/>
          <w:szCs w:val="22"/>
          <w:color w:val="auto"/>
        </w:rPr>
        <w:t>” shall have the meaning specified in Section 14.04(c).</w:t>
      </w:r>
    </w:p>
    <w:p>
      <w:pPr>
        <w:spacing w:after="0" w:line="179" w:lineRule="exact"/>
        <w:rPr>
          <w:sz w:val="20"/>
          <w:szCs w:val="20"/>
          <w:color w:val="auto"/>
        </w:rPr>
      </w:pPr>
    </w:p>
    <w:p>
      <w:pPr>
        <w:ind w:right="140" w:firstLine="648"/>
        <w:spacing w:after="0" w:line="269" w:lineRule="auto"/>
        <w:rPr>
          <w:sz w:val="20"/>
          <w:szCs w:val="20"/>
          <w:color w:val="auto"/>
        </w:rPr>
      </w:pPr>
      <w:r>
        <w:rPr>
          <w:rFonts w:ascii="Arial" w:cs="Arial" w:eastAsia="Arial" w:hAnsi="Arial"/>
          <w:sz w:val="22"/>
          <w:szCs w:val="22"/>
          <w:b w:val="1"/>
          <w:bCs w:val="1"/>
          <w:color w:val="auto"/>
        </w:rPr>
        <w:t xml:space="preserve">“effective date” </w:t>
      </w:r>
      <w:r>
        <w:rPr>
          <w:rFonts w:ascii="Arial" w:cs="Arial" w:eastAsia="Arial" w:hAnsi="Arial"/>
          <w:sz w:val="22"/>
          <w:szCs w:val="22"/>
          <w:color w:val="auto"/>
        </w:rPr>
        <w:t>means the first date on which shares of the Common Stock trade on the Relevant Stock Exchange,</w:t>
      </w:r>
      <w:r>
        <w:rPr>
          <w:rFonts w:ascii="Arial" w:cs="Arial" w:eastAsia="Arial" w:hAnsi="Arial"/>
          <w:sz w:val="22"/>
          <w:szCs w:val="22"/>
          <w:b w:val="1"/>
          <w:bCs w:val="1"/>
          <w:color w:val="auto"/>
        </w:rPr>
        <w:t xml:space="preserve"> </w:t>
      </w:r>
      <w:r>
        <w:rPr>
          <w:rFonts w:ascii="Arial" w:cs="Arial" w:eastAsia="Arial" w:hAnsi="Arial"/>
          <w:sz w:val="22"/>
          <w:szCs w:val="22"/>
          <w:color w:val="auto"/>
        </w:rPr>
        <w:t>regular way, reflecting the relevant share split or share combination, as applicable.</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means, for purposes of Section 14.03, the meaning specified in Section 14.03(c).</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Event of Default</w:t>
      </w:r>
      <w:r>
        <w:rPr>
          <w:rFonts w:ascii="Arial" w:cs="Arial" w:eastAsia="Arial" w:hAnsi="Arial"/>
          <w:sz w:val="22"/>
          <w:szCs w:val="22"/>
          <w:color w:val="auto"/>
        </w:rPr>
        <w:t>” shall have the meaning specified in Section 6.01.</w:t>
      </w:r>
    </w:p>
    <w:p>
      <w:pPr>
        <w:spacing w:after="0" w:line="179" w:lineRule="exact"/>
        <w:rPr>
          <w:sz w:val="20"/>
          <w:szCs w:val="20"/>
          <w:color w:val="auto"/>
        </w:rPr>
      </w:pPr>
    </w:p>
    <w:p>
      <w:pPr>
        <w:ind w:right="100"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Ex-Dividend Date</w:t>
      </w:r>
      <w:r>
        <w:rPr>
          <w:rFonts w:ascii="Arial" w:cs="Arial" w:eastAsia="Arial" w:hAnsi="Arial"/>
          <w:sz w:val="22"/>
          <w:szCs w:val="22"/>
          <w:color w:val="auto"/>
        </w:rPr>
        <w:t>” means the first date on which shares of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w:t>
      </w:r>
    </w:p>
    <w:p>
      <w:pPr>
        <w:spacing w:after="0" w:line="140" w:lineRule="exact"/>
        <w:rPr>
          <w:sz w:val="20"/>
          <w:szCs w:val="20"/>
          <w:color w:val="auto"/>
        </w:rPr>
      </w:pPr>
    </w:p>
    <w:p>
      <w:pPr>
        <w:ind w:right="11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Securities Exchange Act of 1934, as amended, and the rules and regulations promulgated thereunder.</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“Exchange Election</w:t>
      </w:r>
      <w:r>
        <w:rPr>
          <w:rFonts w:ascii="Arial" w:cs="Arial" w:eastAsia="Arial" w:hAnsi="Arial"/>
          <w:sz w:val="22"/>
          <w:szCs w:val="22"/>
          <w:color w:val="auto"/>
        </w:rPr>
        <w:t>” shall have the meaning specified in Section 14.02(j).</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Expiration Date</w:t>
      </w:r>
      <w:r>
        <w:rPr>
          <w:rFonts w:ascii="Arial" w:cs="Arial" w:eastAsia="Arial" w:hAnsi="Arial"/>
          <w:sz w:val="22"/>
          <w:szCs w:val="22"/>
          <w:color w:val="auto"/>
        </w:rPr>
        <w:t>” shall have the meaning specified in Section 14.04(e).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Expiration Time</w:t>
      </w:r>
      <w:r>
        <w:rPr>
          <w:rFonts w:ascii="Arial" w:cs="Arial" w:eastAsia="Arial" w:hAnsi="Arial"/>
          <w:sz w:val="22"/>
          <w:szCs w:val="22"/>
          <w:color w:val="auto"/>
        </w:rPr>
        <w:t>” shall have the meaning specified in Section 14.04(e).</w:t>
      </w:r>
    </w:p>
    <w:p>
      <w:pPr>
        <w:spacing w:after="0" w:line="179" w:lineRule="exact"/>
        <w:rPr>
          <w:sz w:val="20"/>
          <w:szCs w:val="20"/>
          <w:color w:val="auto"/>
        </w:rPr>
      </w:pPr>
    </w:p>
    <w:p>
      <w:pPr>
        <w:ind w:right="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Form of Assignment and Transfer</w:t>
      </w:r>
      <w:r>
        <w:rPr>
          <w:rFonts w:ascii="Arial" w:cs="Arial" w:eastAsia="Arial" w:hAnsi="Arial"/>
          <w:sz w:val="22"/>
          <w:szCs w:val="22"/>
          <w:color w:val="auto"/>
        </w:rPr>
        <w:t>” shall mean the “Form of Assignment and Transfer” attached as Attachment 3 to the Form of Note attached hereto as Exhibit A.</w:t>
      </w:r>
    </w:p>
    <w:p>
      <w:pPr>
        <w:spacing w:after="0" w:line="122" w:lineRule="exact"/>
        <w:rPr>
          <w:sz w:val="20"/>
          <w:szCs w:val="20"/>
          <w:color w:val="auto"/>
        </w:rPr>
      </w:pPr>
    </w:p>
    <w:p>
      <w:pPr>
        <w:ind w:right="2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Form of Fundamental Change Repurchase Notice</w:t>
      </w:r>
      <w:r>
        <w:rPr>
          <w:rFonts w:ascii="Arial" w:cs="Arial" w:eastAsia="Arial" w:hAnsi="Arial"/>
          <w:sz w:val="22"/>
          <w:szCs w:val="22"/>
          <w:color w:val="auto"/>
        </w:rPr>
        <w:t>” shall mean the “Form of Fundamental Change Repurchase Notice” attached as Attachment 2 to the Form of Note attached hereto as Exhibit A.</w:t>
      </w:r>
    </w:p>
    <w:p>
      <w:pPr>
        <w:spacing w:after="0" w:line="122" w:lineRule="exact"/>
        <w:rPr>
          <w:sz w:val="20"/>
          <w:szCs w:val="20"/>
          <w:color w:val="auto"/>
        </w:rPr>
      </w:pPr>
    </w:p>
    <w:p>
      <w:pPr>
        <w:ind w:right="2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Form of Notice of Conversion</w:t>
      </w:r>
      <w:r>
        <w:rPr>
          <w:rFonts w:ascii="Arial" w:cs="Arial" w:eastAsia="Arial" w:hAnsi="Arial"/>
          <w:sz w:val="22"/>
          <w:szCs w:val="22"/>
          <w:color w:val="auto"/>
        </w:rPr>
        <w:t>” shall mean the “Form of Notice of Conversion” attached as Attachment 1 to the Form of Note attached hereto as Exhibit A.</w:t>
      </w:r>
    </w:p>
    <w:p>
      <w:pPr>
        <w:spacing w:after="0" w:line="122" w:lineRule="exact"/>
        <w:rPr>
          <w:sz w:val="20"/>
          <w:szCs w:val="20"/>
          <w:color w:val="auto"/>
        </w:rPr>
      </w:pPr>
    </w:p>
    <w:p>
      <w:pPr>
        <w:ind w:right="1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Fundamental Change</w:t>
      </w:r>
      <w:r>
        <w:rPr>
          <w:rFonts w:ascii="Arial" w:cs="Arial" w:eastAsia="Arial" w:hAnsi="Arial"/>
          <w:sz w:val="22"/>
          <w:szCs w:val="22"/>
          <w:color w:val="auto"/>
        </w:rPr>
        <w:t>” shall be deemed to have occurred at the time after the Notes are originally issued if any of the following occurs:</w:t>
      </w:r>
    </w:p>
    <w:p>
      <w:pPr>
        <w:spacing w:after="0" w:line="128" w:lineRule="exact"/>
        <w:rPr>
          <w:sz w:val="20"/>
          <w:szCs w:val="20"/>
          <w:color w:val="auto"/>
        </w:rPr>
      </w:pPr>
    </w:p>
    <w:p>
      <w:pPr>
        <w:ind w:firstLine="645"/>
        <w:spacing w:after="0" w:line="250" w:lineRule="auto"/>
        <w:tabs>
          <w:tab w:leader="none" w:pos="1104" w:val="left"/>
        </w:tabs>
        <w:numPr>
          <w:ilvl w:val="0"/>
          <w:numId w:val="41"/>
        </w:numPr>
        <w:rPr>
          <w:rFonts w:ascii="Arial" w:cs="Arial" w:eastAsia="Arial" w:hAnsi="Arial"/>
          <w:sz w:val="22"/>
          <w:szCs w:val="22"/>
          <w:color w:val="auto"/>
        </w:rPr>
      </w:pPr>
      <w:r>
        <w:rPr>
          <w:rFonts w:ascii="Arial" w:cs="Arial" w:eastAsia="Arial" w:hAnsi="Arial"/>
          <w:sz w:val="22"/>
          <w:szCs w:val="22"/>
          <w:color w:val="auto"/>
        </w:rPr>
        <w:t>a “person” or “group” within the meaning of Section 13(d) of the Exchange Act, other than the Company, its Wholly-Owned Subsidiaries and their respective employee benefit plans files a Schedule TO or any schedule, form or report under the Exchange Act disclosing that such person or group has become the direct or indirect “beneficial owner,” as defined in Rule 13d-3 under the Exchange Act, of the</w:t>
      </w:r>
    </w:p>
    <w:p>
      <w:pPr>
        <w:spacing w:after="0" w:line="39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760"/>
          </w:cols>
          <w:pgMar w:left="900" w:top="369" w:right="239" w:bottom="1440" w:gutter="0" w:footer="0" w:header="0"/>
        </w:sectPr>
      </w:pPr>
    </w:p>
    <w:bookmarkStart w:id="83" w:name="page84"/>
    <w:bookmarkEnd w:id="83"/>
    <w:p>
      <w:pPr>
        <w:spacing w:after="0"/>
        <w:rPr>
          <w:sz w:val="20"/>
          <w:szCs w:val="20"/>
          <w:color w:val="auto"/>
        </w:rPr>
      </w:pPr>
      <w:r>
        <w:rPr>
          <w:rFonts w:ascii="Arial" w:cs="Arial" w:eastAsia="Arial" w:hAnsi="Arial"/>
          <w:sz w:val="21"/>
          <w:szCs w:val="21"/>
          <w:color w:val="auto"/>
        </w:rPr>
        <w:t>Company’s Common Equity representing more than 50% of the voting power of the Company’s Common Equity;</w:t>
      </w:r>
    </w:p>
    <w:p>
      <w:pPr>
        <w:spacing w:after="0" w:line="191" w:lineRule="exact"/>
        <w:rPr>
          <w:sz w:val="20"/>
          <w:szCs w:val="20"/>
          <w:color w:val="auto"/>
        </w:rPr>
      </w:pPr>
    </w:p>
    <w:p>
      <w:pPr>
        <w:ind w:firstLine="645"/>
        <w:spacing w:after="0" w:line="288" w:lineRule="auto"/>
        <w:tabs>
          <w:tab w:leader="none" w:pos="1116"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the consummation of (A) any recapitalization, reclassification or change of the Common Stock (other than changes resulting from a subdivision or combination) as a result of which the Common Stock would be converted into, or exchanged for, stock, other securities, or other property or assets; (B) any share exchange, consolidation or merger of the Company pursuant to which the Common Stock will be converted into cash, securities or other property or assets (including any combination thereof); or (C) any sale, lease or other transfer in one transaction or a series of transactions of all or substantially all of the Company’s and its Subsidiaries’ consolidated assets, taken as a whole, to any Person other than one of the Company’s Wholly-Owned Subsidiaries;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transaction described in clause (A) or (B) in which the holders of all classes of the Company’s Common Equity immediately prior to such transaction own, directly or indirectly, more than 50% of all classes of the Common Equity of the continuing or surviving corporation or transferee or the parent thereof immediately after such transaction in substantially the same proportions (relative to each other) as such ownership immediately prior to such transaction shall not be a Fundamental Change pursuant to this clause (b);</w:t>
      </w:r>
    </w:p>
    <w:p>
      <w:pPr>
        <w:spacing w:after="0" w:line="114" w:lineRule="exact"/>
        <w:rPr>
          <w:rFonts w:ascii="Arial" w:cs="Arial" w:eastAsia="Arial" w:hAnsi="Arial"/>
          <w:sz w:val="19"/>
          <w:szCs w:val="19"/>
          <w:color w:val="auto"/>
        </w:rPr>
      </w:pPr>
    </w:p>
    <w:p>
      <w:pPr>
        <w:ind w:right="780" w:firstLine="645"/>
        <w:spacing w:after="0" w:line="263" w:lineRule="auto"/>
        <w:tabs>
          <w:tab w:leader="none" w:pos="1104"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stockholders of the Company approve any plan or proposal for the liquidation or dissolution of the Company; or</w:t>
      </w:r>
    </w:p>
    <w:p>
      <w:pPr>
        <w:spacing w:after="0" w:line="134" w:lineRule="exact"/>
        <w:rPr>
          <w:rFonts w:ascii="Arial" w:cs="Arial" w:eastAsia="Arial" w:hAnsi="Arial"/>
          <w:sz w:val="22"/>
          <w:szCs w:val="22"/>
          <w:color w:val="auto"/>
        </w:rPr>
      </w:pPr>
    </w:p>
    <w:p>
      <w:pPr>
        <w:ind w:right="140" w:firstLine="645"/>
        <w:spacing w:after="0" w:line="253" w:lineRule="auto"/>
        <w:tabs>
          <w:tab w:leader="none" w:pos="1116"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Common Stock (or other common stock underlying the Notes) ceases to be listed or quoted on any of The New York Stock Exchange, The NASDAQ Global Select Market or The NASDAQ Global Market (or any of their respective successors);</w:t>
      </w:r>
    </w:p>
    <w:p>
      <w:pPr>
        <w:spacing w:after="0" w:line="145" w:lineRule="exact"/>
        <w:rPr>
          <w:sz w:val="20"/>
          <w:szCs w:val="20"/>
          <w:color w:val="auto"/>
        </w:rPr>
      </w:pPr>
    </w:p>
    <w:p>
      <w:pPr>
        <w:ind w:right="20"/>
        <w:spacing w:after="0" w:line="290"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a transaction or transactions described in clauses (a) or (b) above shall not constitute a Fundamental</w:t>
      </w:r>
      <w:r>
        <w:rPr>
          <w:rFonts w:ascii="Arial" w:cs="Arial" w:eastAsia="Arial" w:hAnsi="Arial"/>
          <w:sz w:val="19"/>
          <w:szCs w:val="19"/>
          <w:i w:val="1"/>
          <w:iCs w:val="1"/>
          <w:color w:val="auto"/>
        </w:rPr>
        <w:t xml:space="preserve"> </w:t>
      </w:r>
      <w:r>
        <w:rPr>
          <w:rFonts w:ascii="Arial" w:cs="Arial" w:eastAsia="Arial" w:hAnsi="Arial"/>
          <w:sz w:val="19"/>
          <w:szCs w:val="19"/>
          <w:color w:val="auto"/>
        </w:rPr>
        <w:t>Change, if at least 90% of the consideration received or to be received by the holders of the Company’s Common Stock, excluding cash payments for fractional shares and cash payments made in respect of dissenters’ appraisal rights, in connection with such transaction or transactions consists of shares of common stock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 of such transaction or transactions such consideration becomes the Reference Property for the Notes (subject to the provisions set forth in Section 14.02).</w:t>
      </w:r>
    </w:p>
    <w:p>
      <w:pPr>
        <w:spacing w:after="0" w:line="116" w:lineRule="exact"/>
        <w:rPr>
          <w:sz w:val="20"/>
          <w:szCs w:val="20"/>
          <w:color w:val="auto"/>
        </w:rPr>
      </w:pPr>
    </w:p>
    <w:p>
      <w:pPr>
        <w:ind w:right="340"/>
        <w:spacing w:after="0" w:line="263" w:lineRule="auto"/>
        <w:rPr>
          <w:sz w:val="20"/>
          <w:szCs w:val="20"/>
          <w:color w:val="auto"/>
        </w:rPr>
      </w:pPr>
      <w:r>
        <w:rPr>
          <w:rFonts w:ascii="Arial" w:cs="Arial" w:eastAsia="Arial" w:hAnsi="Arial"/>
          <w:sz w:val="22"/>
          <w:szCs w:val="22"/>
          <w:color w:val="auto"/>
        </w:rPr>
        <w:t>If any event, transaction or series of related transactions that constitute a Fundamental Change under both clause (a) and clause (b) above occurs, only clause (b) above shall apply.</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Fundamental Change Company Notice</w:t>
      </w:r>
      <w:r>
        <w:rPr>
          <w:rFonts w:ascii="Arial" w:cs="Arial" w:eastAsia="Arial" w:hAnsi="Arial"/>
          <w:sz w:val="22"/>
          <w:szCs w:val="22"/>
          <w:color w:val="auto"/>
        </w:rPr>
        <w:t>” shall have the meaning specified in Section 15.02(c).</w:t>
      </w:r>
    </w:p>
    <w:p>
      <w:pPr>
        <w:spacing w:after="0" w:line="200" w:lineRule="exact"/>
        <w:rPr>
          <w:sz w:val="20"/>
          <w:szCs w:val="20"/>
          <w:color w:val="auto"/>
        </w:rPr>
      </w:pPr>
    </w:p>
    <w:p>
      <w:pPr>
        <w:spacing w:after="0" w:line="22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720"/>
          </w:cols>
          <w:pgMar w:left="900" w:top="375" w:right="279" w:bottom="1440" w:gutter="0" w:footer="0" w:header="0"/>
        </w:sectPr>
      </w:pPr>
    </w:p>
    <w:bookmarkStart w:id="84" w:name="page85"/>
    <w:bookmarkEnd w:id="84"/>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Fundamental Change Repurchase Date</w:t>
      </w:r>
      <w:r>
        <w:rPr>
          <w:rFonts w:ascii="Arial" w:cs="Arial" w:eastAsia="Arial" w:hAnsi="Arial"/>
          <w:sz w:val="22"/>
          <w:szCs w:val="22"/>
          <w:color w:val="auto"/>
        </w:rPr>
        <w:t>” shall have the meaning specified in Section 15.02(a).</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Fundamental Change Repurchase Notice</w:t>
      </w:r>
      <w:r>
        <w:rPr>
          <w:rFonts w:ascii="Arial" w:cs="Arial" w:eastAsia="Arial" w:hAnsi="Arial"/>
          <w:sz w:val="22"/>
          <w:szCs w:val="22"/>
          <w:color w:val="auto"/>
        </w:rPr>
        <w:t>” shall have the meaning specified in Section 15.02(b)(i).</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Fundamental Change Repurchase Price</w:t>
      </w:r>
      <w:r>
        <w:rPr>
          <w:rFonts w:ascii="Arial" w:cs="Arial" w:eastAsia="Arial" w:hAnsi="Arial"/>
          <w:sz w:val="22"/>
          <w:szCs w:val="22"/>
          <w:color w:val="auto"/>
        </w:rPr>
        <w:t>” shall have the meaning specified in Section 15.02(a).</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Global Note</w:t>
      </w:r>
      <w:r>
        <w:rPr>
          <w:rFonts w:ascii="Arial" w:cs="Arial" w:eastAsia="Arial" w:hAnsi="Arial"/>
          <w:sz w:val="22"/>
          <w:szCs w:val="22"/>
          <w:color w:val="auto"/>
        </w:rPr>
        <w:t>” shall have the meaning specified in Section 2.05(a).</w:t>
      </w:r>
    </w:p>
    <w:p>
      <w:pPr>
        <w:spacing w:after="0" w:line="1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Holder</w:t>
      </w:r>
      <w:r>
        <w:rPr>
          <w:rFonts w:ascii="Arial" w:cs="Arial" w:eastAsia="Arial" w:hAnsi="Arial"/>
          <w:sz w:val="22"/>
          <w:szCs w:val="22"/>
          <w:color w:val="auto"/>
        </w:rPr>
        <w:t>,” as applied to any Note, or other similar terms (but excluding the term “beneficial holder”), shall mean any person in whose name at the time a particular Note is registered on the Note Register. The registered Holder of a Note shall be treated as its owner for all purposes.</w:t>
      </w:r>
    </w:p>
    <w:p>
      <w:pPr>
        <w:spacing w:after="0" w:line="136" w:lineRule="exact"/>
        <w:rPr>
          <w:sz w:val="20"/>
          <w:szCs w:val="20"/>
          <w:color w:val="auto"/>
        </w:rPr>
      </w:pPr>
    </w:p>
    <w:p>
      <w:pPr>
        <w:ind w:right="1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Indenture</w:t>
      </w:r>
      <w:r>
        <w:rPr>
          <w:rFonts w:ascii="Arial" w:cs="Arial" w:eastAsia="Arial" w:hAnsi="Arial"/>
          <w:sz w:val="22"/>
          <w:szCs w:val="22"/>
          <w:color w:val="auto"/>
        </w:rPr>
        <w:t>” means this instrument as originally executed or, if amended or supplemented as herein provided, as so amended or supplemented.</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Dividend Threshold</w:t>
      </w:r>
      <w:r>
        <w:rPr>
          <w:rFonts w:ascii="Arial" w:cs="Arial" w:eastAsia="Arial" w:hAnsi="Arial"/>
          <w:sz w:val="22"/>
          <w:szCs w:val="22"/>
          <w:color w:val="auto"/>
        </w:rPr>
        <w:t>” shall have the meaning specified in Section 14.04(d).</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Interest Payment Date</w:t>
      </w:r>
      <w:r>
        <w:rPr>
          <w:rFonts w:ascii="Arial" w:cs="Arial" w:eastAsia="Arial" w:hAnsi="Arial"/>
          <w:sz w:val="21"/>
          <w:szCs w:val="21"/>
          <w:color w:val="auto"/>
        </w:rPr>
        <w:t>” means March 15 and September 15 of each year, beginning on March 15, 2018.</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Issue Date</w:t>
      </w:r>
      <w:r>
        <w:rPr>
          <w:rFonts w:ascii="Arial" w:cs="Arial" w:eastAsia="Arial" w:hAnsi="Arial"/>
          <w:sz w:val="22"/>
          <w:szCs w:val="22"/>
          <w:color w:val="auto"/>
        </w:rPr>
        <w:t>” means September 25, 2017.</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Last Reported Sale Price</w:t>
      </w:r>
      <w:r>
        <w:rPr>
          <w:rFonts w:ascii="Arial" w:cs="Arial" w:eastAsia="Arial" w:hAnsi="Arial"/>
          <w:sz w:val="22"/>
          <w:szCs w:val="22"/>
          <w:color w:val="auto"/>
        </w:rPr>
        <w:t>” of the Common Stock on any date means:</w:t>
      </w:r>
    </w:p>
    <w:p>
      <w:pPr>
        <w:spacing w:after="0" w:line="185" w:lineRule="exact"/>
        <w:rPr>
          <w:sz w:val="20"/>
          <w:szCs w:val="20"/>
          <w:color w:val="auto"/>
        </w:rPr>
      </w:pPr>
    </w:p>
    <w:p>
      <w:pPr>
        <w:ind w:right="180" w:firstLine="645"/>
        <w:spacing w:after="0" w:line="253" w:lineRule="auto"/>
        <w:tabs>
          <w:tab w:leader="none" w:pos="1104"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closing sale price per share (or if no closing sale price is reported, the average of the bid and ask prices or, if more than one in either case, the average of the average bid and the average ask prices) on such date as reported in composite transactions for the Relevant Stock Exchange;</w:t>
      </w:r>
    </w:p>
    <w:p>
      <w:pPr>
        <w:spacing w:after="0" w:line="145" w:lineRule="exact"/>
        <w:rPr>
          <w:rFonts w:ascii="Arial" w:cs="Arial" w:eastAsia="Arial" w:hAnsi="Arial"/>
          <w:sz w:val="22"/>
          <w:szCs w:val="22"/>
          <w:color w:val="auto"/>
        </w:rPr>
      </w:pPr>
    </w:p>
    <w:p>
      <w:pPr>
        <w:ind w:right="120" w:firstLine="645"/>
        <w:spacing w:after="0" w:line="253" w:lineRule="auto"/>
        <w:tabs>
          <w:tab w:leader="none" w:pos="1116" w:val="left"/>
        </w:tabs>
        <w:numPr>
          <w:ilvl w:val="0"/>
          <w:numId w:val="43"/>
        </w:numPr>
        <w:rPr>
          <w:rFonts w:ascii="Arial" w:cs="Arial" w:eastAsia="Arial" w:hAnsi="Arial"/>
          <w:sz w:val="22"/>
          <w:szCs w:val="22"/>
          <w:color w:val="auto"/>
        </w:rPr>
      </w:pPr>
      <w:r>
        <w:rPr>
          <w:rFonts w:ascii="Arial" w:cs="Arial" w:eastAsia="Arial" w:hAnsi="Arial"/>
          <w:sz w:val="22"/>
          <w:szCs w:val="22"/>
          <w:color w:val="auto"/>
        </w:rPr>
        <w:t>if the Common Stock is not listed for trading on a Relevant Stock Exchange on such date, the last quoted bid price per share for the Common Stock in the over-the-counter market on such date as reported by OTC Markets Group Inc. or a similar organization; and</w:t>
      </w:r>
    </w:p>
    <w:p>
      <w:pPr>
        <w:spacing w:after="0" w:line="145" w:lineRule="exact"/>
        <w:rPr>
          <w:rFonts w:ascii="Arial" w:cs="Arial" w:eastAsia="Arial" w:hAnsi="Arial"/>
          <w:sz w:val="22"/>
          <w:szCs w:val="22"/>
          <w:color w:val="auto"/>
        </w:rPr>
      </w:pPr>
    </w:p>
    <w:p>
      <w:pPr>
        <w:ind w:right="180" w:firstLine="645"/>
        <w:spacing w:after="0" w:line="253" w:lineRule="auto"/>
        <w:tabs>
          <w:tab w:leader="none" w:pos="1104" w:val="left"/>
        </w:tabs>
        <w:numPr>
          <w:ilvl w:val="0"/>
          <w:numId w:val="43"/>
        </w:numPr>
        <w:rPr>
          <w:rFonts w:ascii="Arial" w:cs="Arial" w:eastAsia="Arial" w:hAnsi="Arial"/>
          <w:sz w:val="22"/>
          <w:szCs w:val="22"/>
          <w:color w:val="auto"/>
        </w:rPr>
      </w:pPr>
      <w:r>
        <w:rPr>
          <w:rFonts w:ascii="Arial" w:cs="Arial" w:eastAsia="Arial" w:hAnsi="Arial"/>
          <w:sz w:val="22"/>
          <w:szCs w:val="22"/>
          <w:color w:val="auto"/>
        </w:rPr>
        <w:t>if the Common Stock is not so quoted, the average of the mid-point of the last bid and ask prices per share for the Common Stock on such date from each of at least three nationally recognized independent investment banking firms selected by the Company for this purpose.</w:t>
      </w:r>
    </w:p>
    <w:p>
      <w:pPr>
        <w:spacing w:after="0" w:line="139" w:lineRule="exact"/>
        <w:rPr>
          <w:sz w:val="20"/>
          <w:szCs w:val="20"/>
          <w:color w:val="auto"/>
        </w:rPr>
      </w:pPr>
    </w:p>
    <w:p>
      <w:pPr>
        <w:jc w:val="both"/>
        <w:ind w:right="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Make-Whole Fundamental Change</w:t>
      </w:r>
      <w:r>
        <w:rPr>
          <w:rFonts w:ascii="Arial" w:cs="Arial" w:eastAsia="Arial" w:hAnsi="Arial"/>
          <w:sz w:val="22"/>
          <w:szCs w:val="22"/>
          <w:color w:val="auto"/>
        </w:rPr>
        <w:t xml:space="preserve">” means any transaction or event that constitutes a Fundamental Change, after giving effect to any exceptions to or exclusions from the definition thereof, but without regard to the </w:t>
      </w:r>
      <w:r>
        <w:rPr>
          <w:rFonts w:ascii="Arial" w:cs="Arial" w:eastAsia="Arial" w:hAnsi="Arial"/>
          <w:sz w:val="22"/>
          <w:szCs w:val="22"/>
          <w:i w:val="1"/>
          <w:iCs w:val="1"/>
          <w:color w:val="auto"/>
        </w:rPr>
        <w:t>proviso</w:t>
      </w:r>
      <w:r>
        <w:rPr>
          <w:rFonts w:ascii="Arial" w:cs="Arial" w:eastAsia="Arial" w:hAnsi="Arial"/>
          <w:sz w:val="22"/>
          <w:szCs w:val="22"/>
          <w:color w:val="auto"/>
        </w:rPr>
        <w:t xml:space="preserve"> in clause (b) of the definition thereof.</w:t>
      </w:r>
    </w:p>
    <w:p>
      <w:pPr>
        <w:spacing w:after="0" w:line="385"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760"/>
          </w:cols>
          <w:pgMar w:left="900" w:top="369" w:right="239" w:bottom="1440" w:gutter="0" w:footer="0" w:header="0"/>
        </w:sectPr>
      </w:pPr>
    </w:p>
    <w:bookmarkStart w:id="85" w:name="page86"/>
    <w:bookmarkEnd w:id="85"/>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Make-Whole Fundamental Change Company Notice</w:t>
      </w:r>
      <w:r>
        <w:rPr>
          <w:rFonts w:ascii="Arial" w:cs="Arial" w:eastAsia="Arial" w:hAnsi="Arial"/>
          <w:sz w:val="19"/>
          <w:szCs w:val="19"/>
          <w:color w:val="auto"/>
        </w:rPr>
        <w:t>” shall have the meaning specified in Section 14.03(b).</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Market Disruption Event</w:t>
      </w:r>
      <w:r>
        <w:rPr>
          <w:rFonts w:ascii="Arial" w:cs="Arial" w:eastAsia="Arial" w:hAnsi="Arial"/>
          <w:sz w:val="22"/>
          <w:szCs w:val="22"/>
          <w:color w:val="auto"/>
        </w:rPr>
        <w:t>” means:</w:t>
      </w:r>
    </w:p>
    <w:p>
      <w:pPr>
        <w:spacing w:after="0" w:line="185" w:lineRule="exact"/>
        <w:rPr>
          <w:sz w:val="20"/>
          <w:szCs w:val="20"/>
          <w:color w:val="auto"/>
        </w:rPr>
      </w:pPr>
    </w:p>
    <w:p>
      <w:pPr>
        <w:ind w:left="1160" w:hanging="515"/>
        <w:spacing w:after="0"/>
        <w:tabs>
          <w:tab w:leader="none" w:pos="11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a failure by the Relevant Stock Exchange to open for trading during its regular trading session; or</w:t>
      </w:r>
    </w:p>
    <w:p>
      <w:pPr>
        <w:spacing w:after="0" w:line="179" w:lineRule="exact"/>
        <w:rPr>
          <w:rFonts w:ascii="Arial" w:cs="Arial" w:eastAsia="Arial" w:hAnsi="Arial"/>
          <w:sz w:val="22"/>
          <w:szCs w:val="22"/>
          <w:color w:val="auto"/>
        </w:rPr>
      </w:pPr>
    </w:p>
    <w:p>
      <w:pPr>
        <w:ind w:firstLine="645"/>
        <w:spacing w:after="0" w:line="302" w:lineRule="auto"/>
        <w:tabs>
          <w:tab w:leader="none" w:pos="1170"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 contracts or futures contracts relating to the Common Stock.</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Maturity Date</w:t>
      </w:r>
      <w:r>
        <w:rPr>
          <w:rFonts w:ascii="Arial" w:cs="Arial" w:eastAsia="Arial" w:hAnsi="Arial"/>
          <w:sz w:val="22"/>
          <w:szCs w:val="22"/>
          <w:color w:val="auto"/>
        </w:rPr>
        <w:t>” means September 15, 2022.</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Measurement Period</w:t>
      </w:r>
      <w:r>
        <w:rPr>
          <w:rFonts w:ascii="Arial" w:cs="Arial" w:eastAsia="Arial" w:hAnsi="Arial"/>
          <w:sz w:val="22"/>
          <w:szCs w:val="22"/>
          <w:color w:val="auto"/>
        </w:rPr>
        <w:t>” shall have the meaning specified in Section 14.01(b)(i).</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Note</w:t>
      </w:r>
      <w:r>
        <w:rPr>
          <w:rFonts w:ascii="Arial" w:cs="Arial" w:eastAsia="Arial" w:hAnsi="Arial"/>
          <w:sz w:val="21"/>
          <w:szCs w:val="21"/>
          <w:color w:val="auto"/>
        </w:rPr>
        <w:t>” or “</w:t>
      </w:r>
      <w:r>
        <w:rPr>
          <w:rFonts w:ascii="Arial" w:cs="Arial" w:eastAsia="Arial" w:hAnsi="Arial"/>
          <w:sz w:val="21"/>
          <w:szCs w:val="21"/>
          <w:b w:val="1"/>
          <w:bCs w:val="1"/>
          <w:color w:val="auto"/>
        </w:rPr>
        <w:t>Notes</w:t>
      </w:r>
      <w:r>
        <w:rPr>
          <w:rFonts w:ascii="Arial" w:cs="Arial" w:eastAsia="Arial" w:hAnsi="Arial"/>
          <w:sz w:val="21"/>
          <w:szCs w:val="21"/>
          <w:color w:val="auto"/>
        </w:rPr>
        <w:t>” shall have the meaning specified in the first paragraph of the recitals of this Indenture.</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Note Register</w:t>
      </w:r>
      <w:r>
        <w:rPr>
          <w:rFonts w:ascii="Arial" w:cs="Arial" w:eastAsia="Arial" w:hAnsi="Arial"/>
          <w:sz w:val="22"/>
          <w:szCs w:val="22"/>
          <w:color w:val="auto"/>
        </w:rPr>
        <w:t>” shall have the meaning specified in Section 2.05.</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Note Registrar</w:t>
      </w:r>
      <w:r>
        <w:rPr>
          <w:rFonts w:ascii="Arial" w:cs="Arial" w:eastAsia="Arial" w:hAnsi="Arial"/>
          <w:sz w:val="22"/>
          <w:szCs w:val="22"/>
          <w:color w:val="auto"/>
        </w:rPr>
        <w:t>” shall have the meaning specified in Section 2.05.</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Notice of Conversion</w:t>
      </w:r>
      <w:r>
        <w:rPr>
          <w:rFonts w:ascii="Arial" w:cs="Arial" w:eastAsia="Arial" w:hAnsi="Arial"/>
          <w:sz w:val="22"/>
          <w:szCs w:val="22"/>
          <w:color w:val="auto"/>
        </w:rPr>
        <w:t>” shall have the meaning specified in Section 14.02(b)(ii).</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Observation Period</w:t>
      </w:r>
      <w:r>
        <w:rPr>
          <w:rFonts w:ascii="Arial" w:cs="Arial" w:eastAsia="Arial" w:hAnsi="Arial"/>
          <w:sz w:val="22"/>
          <w:szCs w:val="22"/>
          <w:color w:val="auto"/>
        </w:rPr>
        <w:t>” with respect to any Note surrendered for conversion means:</w:t>
      </w:r>
    </w:p>
    <w:p>
      <w:pPr>
        <w:spacing w:after="0" w:line="185" w:lineRule="exact"/>
        <w:rPr>
          <w:sz w:val="20"/>
          <w:szCs w:val="20"/>
          <w:color w:val="auto"/>
        </w:rPr>
      </w:pPr>
    </w:p>
    <w:p>
      <w:pPr>
        <w:ind w:right="220" w:firstLine="645"/>
        <w:spacing w:after="0" w:line="343" w:lineRule="auto"/>
        <w:tabs>
          <w:tab w:leader="none" w:pos="1104" w:val="left"/>
        </w:tabs>
        <w:numPr>
          <w:ilvl w:val="0"/>
          <w:numId w:val="45"/>
        </w:numPr>
        <w:rPr>
          <w:rFonts w:ascii="Arial" w:cs="Arial" w:eastAsia="Arial" w:hAnsi="Arial"/>
          <w:sz w:val="19"/>
          <w:szCs w:val="19"/>
          <w:color w:val="auto"/>
        </w:rPr>
      </w:pPr>
      <w:r>
        <w:rPr>
          <w:rFonts w:ascii="Arial" w:cs="Arial" w:eastAsia="Arial" w:hAnsi="Arial"/>
          <w:sz w:val="19"/>
          <w:szCs w:val="19"/>
          <w:color w:val="auto"/>
        </w:rPr>
        <w:t>if the relevant Conversion Date occurs prior to June 15, 2022, the 30 consecutive VWAP Trading Day period beginning on, and including, the second VWAP Trading Day immediately succeeding such Conversion Date; and</w:t>
      </w:r>
    </w:p>
    <w:p>
      <w:pPr>
        <w:spacing w:after="0" w:line="64" w:lineRule="exact"/>
        <w:rPr>
          <w:rFonts w:ascii="Arial" w:cs="Arial" w:eastAsia="Arial" w:hAnsi="Arial"/>
          <w:sz w:val="19"/>
          <w:szCs w:val="19"/>
          <w:color w:val="auto"/>
        </w:rPr>
      </w:pPr>
    </w:p>
    <w:p>
      <w:pPr>
        <w:ind w:right="560" w:firstLine="645"/>
        <w:spacing w:after="0" w:line="343" w:lineRule="auto"/>
        <w:tabs>
          <w:tab w:leader="none" w:pos="1116" w:val="left"/>
        </w:tabs>
        <w:numPr>
          <w:ilvl w:val="0"/>
          <w:numId w:val="45"/>
        </w:numPr>
        <w:rPr>
          <w:rFonts w:ascii="Arial" w:cs="Arial" w:eastAsia="Arial" w:hAnsi="Arial"/>
          <w:sz w:val="19"/>
          <w:szCs w:val="19"/>
          <w:color w:val="auto"/>
        </w:rPr>
      </w:pPr>
      <w:r>
        <w:rPr>
          <w:rFonts w:ascii="Arial" w:cs="Arial" w:eastAsia="Arial" w:hAnsi="Arial"/>
          <w:sz w:val="19"/>
          <w:szCs w:val="19"/>
          <w:color w:val="auto"/>
        </w:rPr>
        <w:t>if the relevant Conversion Date occurs on or after June 15, 2022, the 30 consecutive VWAP Trading Day period beginning on, and including, the 32nd Scheduled Trading Day immediately preceding the Maturity Date.</w:t>
      </w:r>
    </w:p>
    <w:p>
      <w:pPr>
        <w:spacing w:after="0" w:line="58" w:lineRule="exact"/>
        <w:rPr>
          <w:sz w:val="20"/>
          <w:szCs w:val="20"/>
          <w:color w:val="auto"/>
        </w:rPr>
      </w:pPr>
    </w:p>
    <w:p>
      <w:pPr>
        <w:ind w:right="12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Offering Memorandum</w:t>
      </w:r>
      <w:r>
        <w:rPr>
          <w:rFonts w:ascii="Arial" w:cs="Arial" w:eastAsia="Arial" w:hAnsi="Arial"/>
          <w:sz w:val="19"/>
          <w:szCs w:val="19"/>
          <w:color w:val="auto"/>
        </w:rPr>
        <w:t>” means the preliminary offering memorandum dated September 19, 2017, relating to the offering and sale of the Notes, as supplemented by the related pricing term sheet dated September 20, 2017.</w:t>
      </w:r>
    </w:p>
    <w:p>
      <w:pPr>
        <w:spacing w:after="0" w:line="52" w:lineRule="exact"/>
        <w:rPr>
          <w:sz w:val="20"/>
          <w:szCs w:val="20"/>
          <w:color w:val="auto"/>
        </w:rPr>
      </w:pPr>
    </w:p>
    <w:p>
      <w:pPr>
        <w:ind w:right="40"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Officer</w:t>
      </w:r>
      <w:r>
        <w:rPr>
          <w:rFonts w:ascii="Arial" w:cs="Arial" w:eastAsia="Arial" w:hAnsi="Arial"/>
          <w:sz w:val="22"/>
          <w:szCs w:val="22"/>
          <w:color w:val="auto"/>
        </w:rPr>
        <w:t>” means, with respect to any Person, the Chairman of the Board of Directors, the Chief Executive Officer, the President, the Chief Operating Officer, the Chief Financial Officer, the Treasurer, any Assistant Treasurer, any Vice President, any Executive Vice President, the Controller, the Secretary, any Assistant Secretary or any Vice President of such Person.</w:t>
      </w:r>
    </w:p>
    <w:p>
      <w:pPr>
        <w:spacing w:after="0" w:line="389"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740"/>
          </w:cols>
          <w:pgMar w:left="900" w:top="369" w:right="259" w:bottom="1440" w:gutter="0" w:footer="0" w:header="0"/>
        </w:sectPr>
      </w:pPr>
    </w:p>
    <w:bookmarkStart w:id="86" w:name="page87"/>
    <w:bookmarkEnd w:id="86"/>
    <w:p>
      <w:pPr>
        <w:ind w:right="1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Officers’ Certificate</w:t>
      </w:r>
      <w:r>
        <w:rPr>
          <w:rFonts w:ascii="Arial" w:cs="Arial" w:eastAsia="Arial" w:hAnsi="Arial"/>
          <w:sz w:val="22"/>
          <w:szCs w:val="22"/>
          <w:color w:val="auto"/>
        </w:rPr>
        <w:t>” means a certificate signed on behalf of the Company by two Officers of the Company, one of whom must be the principal executive officer, the principal financial officer, the treasurer or the principal accounting officer of the Company, that meets the requirements of Section 17.06.</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open of business</w:t>
      </w:r>
      <w:r>
        <w:rPr>
          <w:rFonts w:ascii="Arial" w:cs="Arial" w:eastAsia="Arial" w:hAnsi="Arial"/>
          <w:sz w:val="22"/>
          <w:szCs w:val="22"/>
          <w:color w:val="auto"/>
        </w:rPr>
        <w:t>” means 9:00 a.m. (New York City time).</w:t>
      </w:r>
    </w:p>
    <w:p>
      <w:pPr>
        <w:spacing w:after="0" w:line="179" w:lineRule="exact"/>
        <w:rPr>
          <w:sz w:val="20"/>
          <w:szCs w:val="20"/>
          <w:color w:val="auto"/>
        </w:rPr>
      </w:pPr>
    </w:p>
    <w:p>
      <w:pPr>
        <w:ind w:right="80"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Opinion of Counsel</w:t>
      </w:r>
      <w:r>
        <w:rPr>
          <w:rFonts w:ascii="Arial" w:cs="Arial" w:eastAsia="Arial" w:hAnsi="Arial"/>
          <w:sz w:val="19"/>
          <w:szCs w:val="19"/>
          <w:color w:val="auto"/>
        </w:rPr>
        <w:t>” means an opinion from legal counsel which is reasonably acceptable to the Trustee, that meets the requirements of Section 17.06, which opinion may contain customary exemptions and qualifications as to the matters set forth herein. The counsel may be an employee of or counsel to the Company or any Subsidiary of the Company.</w:t>
      </w:r>
    </w:p>
    <w:p>
      <w:pPr>
        <w:spacing w:after="0" w:line="85" w:lineRule="exact"/>
        <w:rPr>
          <w:sz w:val="20"/>
          <w:szCs w:val="20"/>
          <w:color w:val="auto"/>
        </w:rPr>
      </w:pPr>
    </w:p>
    <w:p>
      <w:pPr>
        <w:ind w:right="140"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outstanding</w:t>
      </w:r>
      <w:r>
        <w:rPr>
          <w:rFonts w:ascii="Arial" w:cs="Arial" w:eastAsia="Arial" w:hAnsi="Arial"/>
          <w:sz w:val="21"/>
          <w:szCs w:val="21"/>
          <w:color w:val="auto"/>
        </w:rPr>
        <w:t>,” when used with reference to Notes, shall, subject to the provisions of Section 8.04, mean, as of any particular time, all Notes authenticated and delivered by the Trustee under this Indenture, except:</w:t>
      </w:r>
    </w:p>
    <w:p>
      <w:pPr>
        <w:spacing w:after="0" w:line="105" w:lineRule="exact"/>
        <w:rPr>
          <w:sz w:val="20"/>
          <w:szCs w:val="20"/>
          <w:color w:val="auto"/>
        </w:rPr>
      </w:pPr>
    </w:p>
    <w:p>
      <w:pPr>
        <w:ind w:left="1100" w:hanging="455"/>
        <w:spacing w:after="0"/>
        <w:tabs>
          <w:tab w:leader="none" w:pos="11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Notes theretofore canceled by the Trustee or accepted by the Trustee for cancellation;</w:t>
      </w:r>
    </w:p>
    <w:p>
      <w:pPr>
        <w:spacing w:after="0" w:line="179" w:lineRule="exact"/>
        <w:rPr>
          <w:rFonts w:ascii="Arial" w:cs="Arial" w:eastAsia="Arial" w:hAnsi="Arial"/>
          <w:sz w:val="22"/>
          <w:szCs w:val="22"/>
          <w:color w:val="auto"/>
        </w:rPr>
      </w:pPr>
    </w:p>
    <w:p>
      <w:pPr>
        <w:ind w:firstLine="645"/>
        <w:spacing w:after="0" w:line="312" w:lineRule="auto"/>
        <w:tabs>
          <w:tab w:leader="none" w:pos="1116" w:val="left"/>
        </w:tabs>
        <w:numPr>
          <w:ilvl w:val="0"/>
          <w:numId w:val="46"/>
        </w:numPr>
        <w:rPr>
          <w:rFonts w:ascii="Arial" w:cs="Arial" w:eastAsia="Arial" w:hAnsi="Arial"/>
          <w:sz w:val="19"/>
          <w:szCs w:val="19"/>
          <w:color w:val="auto"/>
        </w:rPr>
      </w:pPr>
      <w:r>
        <w:rPr>
          <w:rFonts w:ascii="Arial" w:cs="Arial" w:eastAsia="Arial" w:hAnsi="Arial"/>
          <w:sz w:val="19"/>
          <w:szCs w:val="19"/>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93" w:lineRule="exact"/>
        <w:rPr>
          <w:rFonts w:ascii="Arial" w:cs="Arial" w:eastAsia="Arial" w:hAnsi="Arial"/>
          <w:sz w:val="19"/>
          <w:szCs w:val="19"/>
          <w:color w:val="auto"/>
        </w:rPr>
      </w:pPr>
    </w:p>
    <w:p>
      <w:pPr>
        <w:ind w:right="40" w:firstLine="645"/>
        <w:spacing w:after="0" w:line="271" w:lineRule="auto"/>
        <w:tabs>
          <w:tab w:leader="none" w:pos="1104" w:val="left"/>
        </w:tabs>
        <w:numPr>
          <w:ilvl w:val="0"/>
          <w:numId w:val="46"/>
        </w:numPr>
        <w:rPr>
          <w:rFonts w:ascii="Arial" w:cs="Arial" w:eastAsia="Arial" w:hAnsi="Arial"/>
          <w:sz w:val="21"/>
          <w:szCs w:val="21"/>
          <w:color w:val="auto"/>
        </w:rPr>
      </w:pPr>
      <w:r>
        <w:rPr>
          <w:rFonts w:ascii="Arial" w:cs="Arial" w:eastAsia="Arial" w:hAnsi="Arial"/>
          <w:sz w:val="21"/>
          <w:szCs w:val="21"/>
          <w:color w:val="auto"/>
        </w:rPr>
        <w:t>Notes that have been paid pursuant to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w:t>
      </w:r>
    </w:p>
    <w:p>
      <w:pPr>
        <w:spacing w:after="0" w:line="127" w:lineRule="exact"/>
        <w:rPr>
          <w:rFonts w:ascii="Arial" w:cs="Arial" w:eastAsia="Arial" w:hAnsi="Arial"/>
          <w:sz w:val="21"/>
          <w:szCs w:val="21"/>
          <w:color w:val="auto"/>
        </w:rPr>
      </w:pPr>
    </w:p>
    <w:p>
      <w:pPr>
        <w:ind w:right="700" w:firstLine="645"/>
        <w:spacing w:after="0" w:line="287" w:lineRule="auto"/>
        <w:tabs>
          <w:tab w:leader="none" w:pos="1116" w:val="left"/>
        </w:tabs>
        <w:numPr>
          <w:ilvl w:val="0"/>
          <w:numId w:val="46"/>
        </w:numPr>
        <w:rPr>
          <w:rFonts w:ascii="Arial" w:cs="Arial" w:eastAsia="Arial" w:hAnsi="Arial"/>
          <w:sz w:val="21"/>
          <w:szCs w:val="21"/>
          <w:color w:val="auto"/>
        </w:rPr>
      </w:pPr>
      <w:r>
        <w:rPr>
          <w:rFonts w:ascii="Arial" w:cs="Arial" w:eastAsia="Arial" w:hAnsi="Arial"/>
          <w:sz w:val="21"/>
          <w:szCs w:val="21"/>
          <w:color w:val="auto"/>
        </w:rPr>
        <w:t>Notes surrendered for purchase in accordance with Article 15 for which the Paying Agent holds money sufficient to pay the Fundamental Change Repurchase Price, in accordance with Section 15.04(b);</w:t>
      </w:r>
    </w:p>
    <w:p>
      <w:pPr>
        <w:spacing w:after="0" w:line="111" w:lineRule="exact"/>
        <w:rPr>
          <w:rFonts w:ascii="Arial" w:cs="Arial" w:eastAsia="Arial" w:hAnsi="Arial"/>
          <w:sz w:val="21"/>
          <w:szCs w:val="21"/>
          <w:color w:val="auto"/>
        </w:rPr>
      </w:pPr>
    </w:p>
    <w:p>
      <w:pPr>
        <w:ind w:left="1100" w:hanging="455"/>
        <w:spacing w:after="0"/>
        <w:tabs>
          <w:tab w:leader="none" w:pos="11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Notes converted pursuant to Article 14 and required to be cancelled pursuant to Section 2.08; and</w:t>
      </w:r>
    </w:p>
    <w:p>
      <w:pPr>
        <w:spacing w:after="0" w:line="179" w:lineRule="exact"/>
        <w:rPr>
          <w:rFonts w:ascii="Arial" w:cs="Arial" w:eastAsia="Arial" w:hAnsi="Arial"/>
          <w:sz w:val="22"/>
          <w:szCs w:val="22"/>
          <w:color w:val="auto"/>
        </w:rPr>
      </w:pPr>
    </w:p>
    <w:p>
      <w:pPr>
        <w:ind w:left="1080" w:hanging="435"/>
        <w:spacing w:after="0"/>
        <w:tabs>
          <w:tab w:leader="none" w:pos="10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Notes repurchased by the Company.</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Paying Agent</w:t>
      </w:r>
      <w:r>
        <w:rPr>
          <w:rFonts w:ascii="Arial" w:cs="Arial" w:eastAsia="Arial" w:hAnsi="Arial"/>
          <w:sz w:val="22"/>
          <w:szCs w:val="22"/>
          <w:color w:val="auto"/>
        </w:rPr>
        <w:t>” shall have the meaning specified in Section 4.02.</w:t>
      </w:r>
    </w:p>
    <w:p>
      <w:pPr>
        <w:spacing w:after="0" w:line="179" w:lineRule="exact"/>
        <w:rPr>
          <w:sz w:val="20"/>
          <w:szCs w:val="20"/>
          <w:color w:val="auto"/>
        </w:rPr>
      </w:pPr>
    </w:p>
    <w:p>
      <w:pPr>
        <w:ind w:right="5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corporation, partnership, joint venture, association, joint-stock company, trust, unincorporated organization, limited liability company or government or other entity.</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Physical Settlement</w:t>
      </w:r>
      <w:r>
        <w:rPr>
          <w:rFonts w:ascii="Arial" w:cs="Arial" w:eastAsia="Arial" w:hAnsi="Arial"/>
          <w:sz w:val="22"/>
          <w:szCs w:val="22"/>
          <w:color w:val="auto"/>
        </w:rPr>
        <w:t>” shall have the meaning provided in Section 14.02(a).</w:t>
      </w:r>
    </w:p>
    <w:p>
      <w:pPr>
        <w:spacing w:after="0" w:line="200" w:lineRule="exact"/>
        <w:rPr>
          <w:sz w:val="20"/>
          <w:szCs w:val="20"/>
          <w:color w:val="auto"/>
        </w:rPr>
      </w:pPr>
    </w:p>
    <w:p>
      <w:pPr>
        <w:spacing w:after="0" w:line="22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740"/>
          </w:cols>
          <w:pgMar w:left="900" w:top="369" w:right="259" w:bottom="1440" w:gutter="0" w:footer="0" w:header="0"/>
        </w:sectPr>
      </w:pPr>
    </w:p>
    <w:bookmarkStart w:id="87" w:name="page88"/>
    <w:bookmarkEnd w:id="87"/>
    <w:p>
      <w:pPr>
        <w:ind w:right="160"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Predecessor Note</w:t>
      </w:r>
      <w:r>
        <w:rPr>
          <w:rFonts w:ascii="Arial" w:cs="Arial" w:eastAsia="Arial" w:hAnsi="Arial"/>
          <w:sz w:val="21"/>
          <w:szCs w:val="21"/>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spacing w:after="0" w:line="127"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Record Date</w:t>
      </w:r>
      <w:r>
        <w:rPr>
          <w:rFonts w:ascii="Arial" w:cs="Arial" w:eastAsia="Arial" w:hAnsi="Arial"/>
          <w:sz w:val="22"/>
          <w:szCs w:val="22"/>
          <w:color w:val="auto"/>
        </w:rPr>
        <w:t>” means, with respect to any dividend, distribution or other transaction or event in which the holders of Common Stock have the right to receive any cash, securities or other property or in which the Common Stock is exchanged for or converted into any combination of cash, securities or other property, the date fixed for determination of holders of Common Stock entitled to receive such cash, securities or other property (whether such date is fixed by the Board of Directors, statute, contract or otherwise).</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Reference Property</w:t>
      </w:r>
      <w:r>
        <w:rPr>
          <w:rFonts w:ascii="Arial" w:cs="Arial" w:eastAsia="Arial" w:hAnsi="Arial"/>
          <w:sz w:val="22"/>
          <w:szCs w:val="22"/>
          <w:color w:val="auto"/>
        </w:rPr>
        <w:t>” shall have the meaning specified in Section 14.07(a).</w:t>
      </w:r>
    </w:p>
    <w:p>
      <w:pPr>
        <w:spacing w:after="0" w:line="179" w:lineRule="exact"/>
        <w:rPr>
          <w:sz w:val="20"/>
          <w:szCs w:val="20"/>
          <w:color w:val="auto"/>
        </w:rPr>
      </w:pPr>
    </w:p>
    <w:p>
      <w:pPr>
        <w:jc w:val="both"/>
        <w:ind w:right="60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Regular Record Date</w:t>
      </w:r>
      <w:r>
        <w:rPr>
          <w:rFonts w:ascii="Arial" w:cs="Arial" w:eastAsia="Arial" w:hAnsi="Arial"/>
          <w:sz w:val="19"/>
          <w:szCs w:val="19"/>
          <w:color w:val="auto"/>
        </w:rPr>
        <w:t>,” with respect to any Interest Payment Date, shall mean the March 1 and September 1 (whether or not such day is a Business Day), as the case may be, immediately preceding such Interest Payment Date.</w:t>
      </w:r>
    </w:p>
    <w:p>
      <w:pPr>
        <w:spacing w:after="0" w:line="52" w:lineRule="exact"/>
        <w:rPr>
          <w:sz w:val="20"/>
          <w:szCs w:val="20"/>
          <w:color w:val="auto"/>
        </w:rPr>
      </w:pPr>
    </w:p>
    <w:p>
      <w:pPr>
        <w:ind w:right="2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Stock Exchange</w:t>
      </w:r>
      <w:r>
        <w:rPr>
          <w:rFonts w:ascii="Arial" w:cs="Arial" w:eastAsia="Arial" w:hAnsi="Arial"/>
          <w:sz w:val="22"/>
          <w:szCs w:val="22"/>
          <w:color w:val="auto"/>
        </w:rPr>
        <w:t>” means The New York Stock Exchange or, if the Common Stock is not then listed on The New York Stock Exchange, the principal other U.S. national or regional securities exchange on which the Common Stock (or any other security) is then listed.</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Resale Restriction Termination Date</w:t>
      </w:r>
      <w:r>
        <w:rPr>
          <w:rFonts w:ascii="Arial" w:cs="Arial" w:eastAsia="Arial" w:hAnsi="Arial"/>
          <w:sz w:val="22"/>
          <w:szCs w:val="22"/>
          <w:color w:val="auto"/>
        </w:rPr>
        <w:t>” shall have the meaning specified in Section 2.05(b).</w:t>
      </w:r>
    </w:p>
    <w:p>
      <w:pPr>
        <w:spacing w:after="0" w:line="179" w:lineRule="exact"/>
        <w:rPr>
          <w:sz w:val="20"/>
          <w:szCs w:val="20"/>
          <w:color w:val="auto"/>
        </w:rPr>
      </w:pPr>
    </w:p>
    <w:p>
      <w:pPr>
        <w:ind w:right="8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Responsible Officer</w:t>
      </w:r>
      <w:r>
        <w:rPr>
          <w:rFonts w:ascii="Arial" w:cs="Arial" w:eastAsia="Arial" w:hAnsi="Arial"/>
          <w:sz w:val="22"/>
          <w:szCs w:val="22"/>
          <w:color w:val="auto"/>
        </w:rPr>
        <w:t>” means, when used with respect to the Trustee, any officer within the corporate trust department of the Trustee, including any vice president, assistant vice president, assistant secretary, senior associate, associate,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Securities</w:t>
      </w:r>
      <w:r>
        <w:rPr>
          <w:rFonts w:ascii="Arial" w:cs="Arial" w:eastAsia="Arial" w:hAnsi="Arial"/>
          <w:sz w:val="22"/>
          <w:szCs w:val="22"/>
          <w:color w:val="auto"/>
        </w:rPr>
        <w:t>” shall have the meaning specified in Section 2.05(b).</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Rule 144</w:t>
      </w:r>
      <w:r>
        <w:rPr>
          <w:rFonts w:ascii="Arial" w:cs="Arial" w:eastAsia="Arial" w:hAnsi="Arial"/>
          <w:sz w:val="22"/>
          <w:szCs w:val="22"/>
          <w:color w:val="auto"/>
        </w:rPr>
        <w:t>” means Rule 144 as promulgated under the Securities Act.</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Rule 144A</w:t>
      </w:r>
      <w:r>
        <w:rPr>
          <w:rFonts w:ascii="Arial" w:cs="Arial" w:eastAsia="Arial" w:hAnsi="Arial"/>
          <w:sz w:val="22"/>
          <w:szCs w:val="22"/>
          <w:color w:val="auto"/>
        </w:rPr>
        <w:t>” means Rule 144A as promulgated under the Securities Act.</w:t>
      </w:r>
    </w:p>
    <w:p>
      <w:pPr>
        <w:spacing w:after="0" w:line="179" w:lineRule="exact"/>
        <w:rPr>
          <w:sz w:val="20"/>
          <w:szCs w:val="20"/>
          <w:color w:val="auto"/>
        </w:rPr>
      </w:pPr>
    </w:p>
    <w:p>
      <w:pPr>
        <w:jc w:val="both"/>
        <w:ind w:right="1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Scheduled Trading Day</w:t>
      </w:r>
      <w:r>
        <w:rPr>
          <w:rFonts w:ascii="Arial" w:cs="Arial" w:eastAsia="Arial" w:hAnsi="Arial"/>
          <w:sz w:val="22"/>
          <w:szCs w:val="22"/>
          <w:color w:val="auto"/>
        </w:rPr>
        <w:t>” means a day that is scheduled to be a Trading Day on the Relevant Stock Exchange. If the Common Stock is not so listed or admitted for trading on a Relevant Stock Exchange, “Scheduled Trading Day” means a “Business Day.”</w:t>
      </w:r>
    </w:p>
    <w:p>
      <w:pPr>
        <w:spacing w:after="0" w:line="385"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760"/>
          </w:cols>
          <w:pgMar w:left="900" w:top="369" w:right="239" w:bottom="1440" w:gutter="0" w:footer="0" w:header="0"/>
        </w:sectPr>
      </w:pPr>
    </w:p>
    <w:bookmarkStart w:id="88" w:name="page89"/>
    <w:bookmarkEnd w:id="88"/>
    <w:p>
      <w:pPr>
        <w:ind w:right="8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means the Securities Act of 1933, as amended, and the rules and regulations promulgated thereunder.</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Settlement Amount</w:t>
      </w:r>
      <w:r>
        <w:rPr>
          <w:rFonts w:ascii="Arial" w:cs="Arial" w:eastAsia="Arial" w:hAnsi="Arial"/>
          <w:sz w:val="22"/>
          <w:szCs w:val="22"/>
          <w:color w:val="auto"/>
        </w:rPr>
        <w:t>” has the meaning specified in Section 14.02(a)(iii).</w:t>
      </w:r>
    </w:p>
    <w:p>
      <w:pPr>
        <w:spacing w:after="0" w:line="179" w:lineRule="exact"/>
        <w:rPr>
          <w:sz w:val="20"/>
          <w:szCs w:val="20"/>
          <w:color w:val="auto"/>
        </w:rPr>
      </w:pPr>
    </w:p>
    <w:p>
      <w:pPr>
        <w:ind w:right="4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Settlement Method</w:t>
      </w:r>
      <w:r>
        <w:rPr>
          <w:rFonts w:ascii="Arial" w:cs="Arial" w:eastAsia="Arial" w:hAnsi="Arial"/>
          <w:sz w:val="22"/>
          <w:szCs w:val="22"/>
          <w:color w:val="auto"/>
        </w:rPr>
        <w:t>” means, with respect to any conversion of Notes, Physical Settlement, Cash Settlement or Combination Settlement, as elected (or deemed to have been elected) by the Company.</w:t>
      </w:r>
    </w:p>
    <w:p>
      <w:pPr>
        <w:spacing w:after="0" w:line="122" w:lineRule="exact"/>
        <w:rPr>
          <w:sz w:val="20"/>
          <w:szCs w:val="20"/>
          <w:color w:val="auto"/>
        </w:rPr>
      </w:pPr>
    </w:p>
    <w:p>
      <w:pPr>
        <w:ind w:right="3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Significant Subsidiary</w:t>
      </w:r>
      <w:r>
        <w:rPr>
          <w:rFonts w:ascii="Arial" w:cs="Arial" w:eastAsia="Arial" w:hAnsi="Arial"/>
          <w:sz w:val="22"/>
          <w:szCs w:val="22"/>
          <w:color w:val="auto"/>
        </w:rPr>
        <w:t>” means a Subsidiary of the Company that is a “significant subsidiary” as defined under Rule 1-02(w) of Regulation S-X under the Exchange Act.</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Corporate Event</w:t>
      </w:r>
      <w:r>
        <w:rPr>
          <w:rFonts w:ascii="Arial" w:cs="Arial" w:eastAsia="Arial" w:hAnsi="Arial"/>
          <w:sz w:val="22"/>
          <w:szCs w:val="22"/>
          <w:color w:val="auto"/>
        </w:rPr>
        <w:t>” shall have the meaning specified in Section 14.07(a).</w:t>
      </w:r>
    </w:p>
    <w:p>
      <w:pPr>
        <w:spacing w:after="0" w:line="179" w:lineRule="exact"/>
        <w:rPr>
          <w:sz w:val="20"/>
          <w:szCs w:val="20"/>
          <w:color w:val="auto"/>
        </w:rPr>
      </w:pPr>
    </w:p>
    <w:p>
      <w:pPr>
        <w:jc w:val="both"/>
        <w:ind w:right="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Dollar Amount</w:t>
      </w:r>
      <w:r>
        <w:rPr>
          <w:rFonts w:ascii="Arial" w:cs="Arial" w:eastAsia="Arial" w:hAnsi="Arial"/>
          <w:sz w:val="22"/>
          <w:szCs w:val="22"/>
          <w:color w:val="auto"/>
        </w:rPr>
        <w:t>” means, with respect to any conversion of Notes, the maximum cash amount per $1,000 principal amount of Notes to be received upon conversion as specified by the Company (or deemed specified) in the notice specifying the Company’s chosen Settlement Method.</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Spin-Off</w:t>
      </w:r>
      <w:r>
        <w:rPr>
          <w:rFonts w:ascii="Arial" w:cs="Arial" w:eastAsia="Arial" w:hAnsi="Arial"/>
          <w:sz w:val="22"/>
          <w:szCs w:val="22"/>
          <w:color w:val="auto"/>
        </w:rPr>
        <w:t>” shall have the meaning specified in Section 14.04(c).</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Stock Price</w:t>
      </w:r>
      <w:r>
        <w:rPr>
          <w:rFonts w:ascii="Arial" w:cs="Arial" w:eastAsia="Arial" w:hAnsi="Arial"/>
          <w:sz w:val="22"/>
          <w:szCs w:val="22"/>
          <w:color w:val="auto"/>
        </w:rPr>
        <w:t>” shall have the meaning specified in Section 14.03(c).</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Subsidiary</w:t>
      </w:r>
      <w:r>
        <w:rPr>
          <w:rFonts w:ascii="Arial" w:cs="Arial" w:eastAsia="Arial" w:hAnsi="Arial"/>
          <w:sz w:val="22"/>
          <w:szCs w:val="22"/>
          <w:color w:val="auto"/>
        </w:rPr>
        <w:t>” means, with respect to any specified Person:</w:t>
      </w:r>
    </w:p>
    <w:p>
      <w:pPr>
        <w:spacing w:after="0" w:line="185" w:lineRule="exact"/>
        <w:rPr>
          <w:sz w:val="20"/>
          <w:szCs w:val="20"/>
          <w:color w:val="auto"/>
        </w:rPr>
      </w:pPr>
    </w:p>
    <w:p>
      <w:pPr>
        <w:ind w:firstLine="645"/>
        <w:spacing w:after="0" w:line="261" w:lineRule="auto"/>
        <w:tabs>
          <w:tab w:leader="none" w:pos="1104" w:val="left"/>
        </w:tabs>
        <w:numPr>
          <w:ilvl w:val="0"/>
          <w:numId w:val="47"/>
        </w:numPr>
        <w:rPr>
          <w:rFonts w:ascii="Arial" w:cs="Arial" w:eastAsia="Arial" w:hAnsi="Arial"/>
          <w:sz w:val="21"/>
          <w:szCs w:val="21"/>
          <w:color w:val="auto"/>
        </w:rPr>
      </w:pPr>
      <w:r>
        <w:rPr>
          <w:rFonts w:ascii="Arial" w:cs="Arial" w:eastAsia="Arial" w:hAnsi="Arial"/>
          <w:sz w:val="21"/>
          <w:szCs w:val="21"/>
          <w:color w:val="auto"/>
        </w:rPr>
        <w:t>any corporation, association or other business entity (other than a partnership) of which more than 50% of the total voting power of Capital Stock of such Person that is at the time entitled (without regard to the occurrence of any contingency) to vote in the election of the Board of Directors or comparable governing body of such Person (in the case of a limited liability company, the voting power to elect managers or otherwise control the actions of such limited liability company), is at the time owned or controlled, directly or through another Subsidiary, by that Person or one or more of the other Subsidiaries of that Person (or a combination thereof); and</w:t>
      </w:r>
    </w:p>
    <w:p>
      <w:pPr>
        <w:spacing w:after="0" w:line="139" w:lineRule="exact"/>
        <w:rPr>
          <w:rFonts w:ascii="Arial" w:cs="Arial" w:eastAsia="Arial" w:hAnsi="Arial"/>
          <w:sz w:val="21"/>
          <w:szCs w:val="21"/>
          <w:color w:val="auto"/>
        </w:rPr>
      </w:pPr>
    </w:p>
    <w:p>
      <w:pPr>
        <w:jc w:val="both"/>
        <w:ind w:right="540" w:firstLine="645"/>
        <w:spacing w:after="0" w:line="253" w:lineRule="auto"/>
        <w:tabs>
          <w:tab w:leader="none" w:pos="1116"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partnership (1) the sole general partner or the managing general partner of which is such Person or a Subsidiary of such Person or (2) the only general partners of which are that Person or one or more Subsidiaries of that Person.</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Successor Company</w:t>
      </w:r>
      <w:r>
        <w:rPr>
          <w:rFonts w:ascii="Arial" w:cs="Arial" w:eastAsia="Arial" w:hAnsi="Arial"/>
          <w:sz w:val="22"/>
          <w:szCs w:val="22"/>
          <w:color w:val="auto"/>
        </w:rPr>
        <w:t>” shall have the meaning specified in Section 11.01(a)(i).</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Trading Day</w:t>
      </w:r>
      <w:r>
        <w:rPr>
          <w:rFonts w:ascii="Arial" w:cs="Arial" w:eastAsia="Arial" w:hAnsi="Arial"/>
          <w:sz w:val="22"/>
          <w:szCs w:val="22"/>
          <w:color w:val="auto"/>
        </w:rPr>
        <w:t>” means a day on which:</w:t>
      </w:r>
    </w:p>
    <w:p>
      <w:pPr>
        <w:spacing w:after="0" w:line="185" w:lineRule="exact"/>
        <w:rPr>
          <w:sz w:val="20"/>
          <w:szCs w:val="20"/>
          <w:color w:val="auto"/>
        </w:rPr>
      </w:pPr>
    </w:p>
    <w:p>
      <w:pPr>
        <w:ind w:right="320" w:firstLine="645"/>
        <w:spacing w:after="0" w:line="253" w:lineRule="auto"/>
        <w:tabs>
          <w:tab w:leader="none" w:pos="1104" w:val="left"/>
        </w:tabs>
        <w:numPr>
          <w:ilvl w:val="0"/>
          <w:numId w:val="48"/>
        </w:numPr>
        <w:rPr>
          <w:rFonts w:ascii="Arial" w:cs="Arial" w:eastAsia="Arial" w:hAnsi="Arial"/>
          <w:sz w:val="22"/>
          <w:szCs w:val="22"/>
          <w:color w:val="auto"/>
        </w:rPr>
      </w:pPr>
      <w:r>
        <w:rPr>
          <w:rFonts w:ascii="Arial" w:cs="Arial" w:eastAsia="Arial" w:hAnsi="Arial"/>
          <w:sz w:val="22"/>
          <w:szCs w:val="22"/>
          <w:color w:val="auto"/>
        </w:rPr>
        <w:t>trading in the Common Stock (or other security for which a Last Reported Sale Price must be determined) generally occurs on the Relevant Stock Exchange or, if the Common Stock (or such other security) is not then listed on a Relevant Stock</w:t>
      </w:r>
    </w:p>
    <w:p>
      <w:pPr>
        <w:spacing w:after="0" w:line="38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740"/>
          </w:cols>
          <w:pgMar w:left="900" w:top="368" w:right="259" w:bottom="1440" w:gutter="0" w:footer="0" w:header="0"/>
        </w:sectPr>
      </w:pPr>
    </w:p>
    <w:bookmarkStart w:id="89" w:name="page90"/>
    <w:bookmarkEnd w:id="89"/>
    <w:p>
      <w:pPr>
        <w:spacing w:after="0"/>
        <w:rPr>
          <w:sz w:val="20"/>
          <w:szCs w:val="20"/>
          <w:color w:val="auto"/>
        </w:rPr>
      </w:pPr>
      <w:r>
        <w:rPr>
          <w:rFonts w:ascii="Arial" w:cs="Arial" w:eastAsia="Arial" w:hAnsi="Arial"/>
          <w:sz w:val="21"/>
          <w:szCs w:val="21"/>
          <w:color w:val="auto"/>
        </w:rPr>
        <w:t>Exchange, on the principal other market on which the Common Stock (or such other security) is then traded; and</w:t>
      </w:r>
    </w:p>
    <w:p>
      <w:pPr>
        <w:spacing w:after="0" w:line="191" w:lineRule="exact"/>
        <w:rPr>
          <w:sz w:val="20"/>
          <w:szCs w:val="20"/>
          <w:color w:val="auto"/>
        </w:rPr>
      </w:pPr>
    </w:p>
    <w:p>
      <w:pPr>
        <w:ind w:right="540" w:firstLine="645"/>
        <w:spacing w:after="0" w:line="263" w:lineRule="auto"/>
        <w:tabs>
          <w:tab w:leader="none" w:pos="1116" w:val="left"/>
        </w:tabs>
        <w:numPr>
          <w:ilvl w:val="0"/>
          <w:numId w:val="49"/>
        </w:numPr>
        <w:rPr>
          <w:rFonts w:ascii="Arial" w:cs="Arial" w:eastAsia="Arial" w:hAnsi="Arial"/>
          <w:sz w:val="22"/>
          <w:szCs w:val="22"/>
          <w:color w:val="auto"/>
        </w:rPr>
      </w:pPr>
      <w:r>
        <w:rPr>
          <w:rFonts w:ascii="Arial" w:cs="Arial" w:eastAsia="Arial" w:hAnsi="Arial"/>
          <w:sz w:val="22"/>
          <w:szCs w:val="22"/>
          <w:color w:val="auto"/>
        </w:rPr>
        <w:t>a Last Reported Sale Price for the Common Stock (or Last Reported Sale Price for such other security) is available on the Relevant Stock Exchange or such other market;</w:t>
      </w:r>
    </w:p>
    <w:p>
      <w:pPr>
        <w:spacing w:after="0" w:line="134" w:lineRule="exact"/>
        <w:rPr>
          <w:sz w:val="20"/>
          <w:szCs w:val="20"/>
          <w:color w:val="auto"/>
        </w:rPr>
      </w:pPr>
    </w:p>
    <w:p>
      <w:pPr>
        <w:ind w:right="340"/>
        <w:spacing w:after="0" w:line="263" w:lineRule="auto"/>
        <w:rPr>
          <w:sz w:val="20"/>
          <w:szCs w:val="20"/>
          <w:color w:val="auto"/>
        </w:rPr>
      </w:pPr>
      <w:r>
        <w:rPr>
          <w:rFonts w:ascii="Arial" w:cs="Arial" w:eastAsia="Arial" w:hAnsi="Arial"/>
          <w:sz w:val="22"/>
          <w:szCs w:val="22"/>
          <w:i w:val="1"/>
          <w:iCs w:val="1"/>
          <w:color w:val="auto"/>
        </w:rPr>
        <w:t>provided</w:t>
      </w:r>
      <w:r>
        <w:rPr>
          <w:rFonts w:ascii="Arial" w:cs="Arial" w:eastAsia="Arial" w:hAnsi="Arial"/>
          <w:sz w:val="22"/>
          <w:szCs w:val="22"/>
          <w:color w:val="auto"/>
        </w:rPr>
        <w:t>, that, if the Common Stock (or such other security) is not so listed or traded, “Trading Day” means a “Business</w:t>
      </w:r>
      <w:r>
        <w:rPr>
          <w:rFonts w:ascii="Arial" w:cs="Arial" w:eastAsia="Arial" w:hAnsi="Arial"/>
          <w:sz w:val="22"/>
          <w:szCs w:val="22"/>
          <w:i w:val="1"/>
          <w:iCs w:val="1"/>
          <w:color w:val="auto"/>
        </w:rPr>
        <w:t xml:space="preserve"> </w:t>
      </w:r>
      <w:r>
        <w:rPr>
          <w:rFonts w:ascii="Arial" w:cs="Arial" w:eastAsia="Arial" w:hAnsi="Arial"/>
          <w:sz w:val="22"/>
          <w:szCs w:val="22"/>
          <w:color w:val="auto"/>
        </w:rPr>
        <w:t>Day.”</w:t>
      </w:r>
    </w:p>
    <w:p>
      <w:pPr>
        <w:spacing w:after="0" w:line="128"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Trading Price</w:t>
      </w:r>
      <w:r>
        <w:rPr>
          <w:rFonts w:ascii="Arial" w:cs="Arial" w:eastAsia="Arial" w:hAnsi="Arial"/>
          <w:sz w:val="19"/>
          <w:szCs w:val="19"/>
          <w:color w:val="auto"/>
        </w:rPr>
        <w:t xml:space="preserve">” per $1,000 principal amount of the Notes on any date of determination means the average of the secondary market bid quotations obtained in writing by the Bid Solicitation Agent for $5,000,000 principal amount of Notes at approximately 3:30 p.m. (New York City time) on such determination date from three independent nationally recognized securities dealers the Company selects for this purpose;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three such bids cannot reasonably be obtained by the Bid Solicitation Agent but two such bids are obtained, then the average of such two bids shall be used, and if only one such bid can reasonably be obtained by the Bid Solicitation Agent, that one bid shall be used. If the Bid Solicitation Agent cannot reasonably obtain at least one bid for $5,000,000 principal amount of Notes from a nationally recognized securities dealer, then the Trading Price per $1,000 principal amount of Notes shall be deemed to be less than 98% of the product of the Last Reported Sale Price of the Common Stock and the Conversion Rate on such day.</w:t>
      </w:r>
    </w:p>
    <w:p>
      <w:pPr>
        <w:spacing w:after="0" w:line="10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w:t>
      </w:r>
      <w:r>
        <w:rPr>
          <w:rFonts w:ascii="Arial" w:cs="Arial" w:eastAsia="Arial" w:hAnsi="Arial"/>
          <w:sz w:val="22"/>
          <w:szCs w:val="22"/>
          <w:color w:val="auto"/>
        </w:rPr>
        <w:t>” shall have the meaning specified in Section 2.05(b).</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Trigger Event</w:t>
      </w:r>
      <w:r>
        <w:rPr>
          <w:rFonts w:ascii="Arial" w:cs="Arial" w:eastAsia="Arial" w:hAnsi="Arial"/>
          <w:sz w:val="22"/>
          <w:szCs w:val="22"/>
          <w:color w:val="auto"/>
        </w:rPr>
        <w:t>” shall have the meaning specified in Section 14.04(c).</w:t>
      </w:r>
    </w:p>
    <w:p>
      <w:pPr>
        <w:spacing w:after="0" w:line="179" w:lineRule="exact"/>
        <w:rPr>
          <w:sz w:val="20"/>
          <w:szCs w:val="20"/>
          <w:color w:val="auto"/>
        </w:rPr>
      </w:pPr>
    </w:p>
    <w:p>
      <w:pPr>
        <w:ind w:right="220"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Trust Indenture Act</w:t>
      </w:r>
      <w:r>
        <w:rPr>
          <w:rFonts w:ascii="Arial" w:cs="Arial" w:eastAsia="Arial" w:hAnsi="Arial"/>
          <w:sz w:val="22"/>
          <w:szCs w:val="22"/>
          <w:color w:val="auto"/>
        </w:rPr>
        <w:t xml:space="preserve">” means the Trust Indenture Act of 1939, as amended, as it was in force at the date of execution of this Indenture; </w:t>
      </w:r>
      <w:r>
        <w:rPr>
          <w:rFonts w:ascii="Arial" w:cs="Arial" w:eastAsia="Arial" w:hAnsi="Arial"/>
          <w:sz w:val="22"/>
          <w:szCs w:val="22"/>
          <w:i w:val="1"/>
          <w:iCs w:val="1"/>
          <w:color w:val="auto"/>
        </w:rPr>
        <w:t>provided, however</w:t>
      </w:r>
      <w:r>
        <w:rPr>
          <w:rFonts w:ascii="Arial" w:cs="Arial" w:eastAsia="Arial" w:hAnsi="Arial"/>
          <w:sz w:val="22"/>
          <w:szCs w:val="22"/>
          <w:color w:val="auto"/>
        </w:rPr>
        <w:t>, that in the event the Trust Indenture Act of 1939 is amended after the date hereof, the term “Trust Indenture Act” shall mean, to the extent required by such amendment, the Trust Indenture Act of 1939, as so amended.</w:t>
      </w:r>
    </w:p>
    <w:p>
      <w:pPr>
        <w:spacing w:after="0" w:line="140" w:lineRule="exact"/>
        <w:rPr>
          <w:sz w:val="20"/>
          <w:szCs w:val="20"/>
          <w:color w:val="auto"/>
        </w:rPr>
      </w:pPr>
    </w:p>
    <w:p>
      <w:pPr>
        <w:ind w:right="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Trustee</w:t>
      </w:r>
      <w:r>
        <w:rPr>
          <w:rFonts w:ascii="Arial" w:cs="Arial" w:eastAsia="Arial" w:hAnsi="Arial"/>
          <w:sz w:val="22"/>
          <w:szCs w:val="22"/>
          <w:color w:val="auto"/>
        </w:rPr>
        <w:t>” means the Person named as the “</w:t>
      </w:r>
      <w:r>
        <w:rPr>
          <w:rFonts w:ascii="Arial" w:cs="Arial" w:eastAsia="Arial" w:hAnsi="Arial"/>
          <w:sz w:val="22"/>
          <w:szCs w:val="22"/>
          <w:b w:val="1"/>
          <w:bCs w:val="1"/>
          <w:color w:val="auto"/>
        </w:rPr>
        <w:t>Trustee</w:t>
      </w:r>
      <w:r>
        <w:rPr>
          <w:rFonts w:ascii="Arial" w:cs="Arial" w:eastAsia="Arial" w:hAnsi="Arial"/>
          <w:sz w:val="22"/>
          <w:szCs w:val="22"/>
          <w:color w:val="auto"/>
        </w:rPr>
        <w:t>” in the first paragraph of this Indenture until a successor trustee shall have become such pursuant to the applicable provisions of this Indenture, and thereafter “</w:t>
      </w:r>
      <w:r>
        <w:rPr>
          <w:rFonts w:ascii="Arial" w:cs="Arial" w:eastAsia="Arial" w:hAnsi="Arial"/>
          <w:sz w:val="22"/>
          <w:szCs w:val="22"/>
          <w:b w:val="1"/>
          <w:bCs w:val="1"/>
          <w:color w:val="auto"/>
        </w:rPr>
        <w:t>Trustee</w:t>
      </w:r>
      <w:r>
        <w:rPr>
          <w:rFonts w:ascii="Arial" w:cs="Arial" w:eastAsia="Arial" w:hAnsi="Arial"/>
          <w:sz w:val="22"/>
          <w:szCs w:val="22"/>
          <w:color w:val="auto"/>
        </w:rPr>
        <w:t>” shall mean or include each Person who is then a Trustee hereunder.</w:t>
      </w:r>
    </w:p>
    <w:p>
      <w:pPr>
        <w:spacing w:after="0" w:line="136" w:lineRule="exact"/>
        <w:rPr>
          <w:sz w:val="20"/>
          <w:szCs w:val="20"/>
          <w:color w:val="auto"/>
        </w:rPr>
      </w:pPr>
    </w:p>
    <w:p>
      <w:pPr>
        <w:ind w:left="640" w:right="2780"/>
        <w:spacing w:after="0" w:line="41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Unit of Reference Property</w:t>
      </w:r>
      <w:r>
        <w:rPr>
          <w:rFonts w:ascii="Arial" w:cs="Arial" w:eastAsia="Arial" w:hAnsi="Arial"/>
          <w:sz w:val="22"/>
          <w:szCs w:val="22"/>
          <w:color w:val="auto"/>
        </w:rPr>
        <w:t>” shall have the meaning specified in Section 14.07(a). “</w:t>
      </w:r>
      <w:r>
        <w:rPr>
          <w:rFonts w:ascii="Arial" w:cs="Arial" w:eastAsia="Arial" w:hAnsi="Arial"/>
          <w:sz w:val="22"/>
          <w:szCs w:val="22"/>
          <w:b w:val="1"/>
          <w:bCs w:val="1"/>
          <w:color w:val="auto"/>
        </w:rPr>
        <w:t>Valuation Period</w:t>
      </w:r>
      <w:r>
        <w:rPr>
          <w:rFonts w:ascii="Arial" w:cs="Arial" w:eastAsia="Arial" w:hAnsi="Arial"/>
          <w:sz w:val="22"/>
          <w:szCs w:val="22"/>
          <w:color w:val="auto"/>
        </w:rPr>
        <w:t>” shall have the meaning specified in Section 14.04(c). “</w:t>
      </w:r>
      <w:r>
        <w:rPr>
          <w:rFonts w:ascii="Arial" w:cs="Arial" w:eastAsia="Arial" w:hAnsi="Arial"/>
          <w:sz w:val="22"/>
          <w:szCs w:val="22"/>
          <w:b w:val="1"/>
          <w:bCs w:val="1"/>
          <w:color w:val="auto"/>
        </w:rPr>
        <w:t>VWAP Trading Day</w:t>
      </w:r>
      <w:r>
        <w:rPr>
          <w:rFonts w:ascii="Arial" w:cs="Arial" w:eastAsia="Arial" w:hAnsi="Arial"/>
          <w:sz w:val="22"/>
          <w:szCs w:val="22"/>
          <w:color w:val="auto"/>
        </w:rPr>
        <w:t>” means a day on which: (a) there is no Market Disruption Event; and</w:t>
      </w:r>
    </w:p>
    <w:p>
      <w:pPr>
        <w:spacing w:after="0" w:line="215"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740"/>
          </w:cols>
          <w:pgMar w:left="900" w:top="375" w:right="259" w:bottom="1440" w:gutter="0" w:footer="0" w:header="0"/>
        </w:sectPr>
      </w:pPr>
    </w:p>
    <w:bookmarkStart w:id="90" w:name="page91"/>
    <w:bookmarkEnd w:id="90"/>
    <w:p>
      <w:pPr>
        <w:ind w:left="1780" w:hanging="475"/>
        <w:spacing w:after="0"/>
        <w:tabs>
          <w:tab w:leader="none" w:pos="17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trading in the Common Stock generally occurs on the Relevant Stock Exchange.</w:t>
      </w:r>
    </w:p>
    <w:p>
      <w:pPr>
        <w:spacing w:after="0" w:line="179" w:lineRule="exact"/>
        <w:rPr>
          <w:sz w:val="20"/>
          <w:szCs w:val="20"/>
          <w:color w:val="auto"/>
        </w:rPr>
      </w:pPr>
    </w:p>
    <w:p>
      <w:pPr>
        <w:ind w:left="660" w:right="460" w:firstLine="648"/>
        <w:spacing w:after="0" w:line="263" w:lineRule="auto"/>
        <w:rPr>
          <w:sz w:val="20"/>
          <w:szCs w:val="20"/>
          <w:color w:val="auto"/>
        </w:rPr>
      </w:pPr>
      <w:r>
        <w:rPr>
          <w:rFonts w:ascii="Arial" w:cs="Arial" w:eastAsia="Arial" w:hAnsi="Arial"/>
          <w:sz w:val="22"/>
          <w:szCs w:val="22"/>
          <w:color w:val="auto"/>
        </w:rPr>
        <w:t>If the Common Stock is not so listed or admitted for trading on any Relevant Stock Exchange, “VWAP Trading Day” means a “Business Day.”</w:t>
      </w:r>
    </w:p>
    <w:p>
      <w:pPr>
        <w:spacing w:after="0" w:line="128" w:lineRule="exact"/>
        <w:rPr>
          <w:sz w:val="20"/>
          <w:szCs w:val="20"/>
          <w:color w:val="auto"/>
        </w:rPr>
      </w:pPr>
    </w:p>
    <w:p>
      <w:pPr>
        <w:ind w:left="660" w:right="2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Wholly-Owned Subsidiary</w:t>
      </w:r>
      <w:r>
        <w:rPr>
          <w:rFonts w:ascii="Arial" w:cs="Arial" w:eastAsia="Arial" w:hAnsi="Arial"/>
          <w:sz w:val="22"/>
          <w:szCs w:val="22"/>
          <w:color w:val="auto"/>
        </w:rPr>
        <w:t>” of any Person means a Subsidiary of such Person, 100% of the outstanding Capital Stock or other ownership interests of which (other than directors’ qualifying shares) shall at the time be owned by such Person or by one or more Wholly-Owned Subsidiaries of such Person.</w:t>
      </w:r>
    </w:p>
    <w:p>
      <w:pPr>
        <w:spacing w:after="0" w:line="142"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Section 1.02</w:t>
      </w:r>
      <w:r>
        <w:rPr>
          <w:rFonts w:ascii="Arial" w:cs="Arial" w:eastAsia="Arial" w:hAnsi="Arial"/>
          <w:sz w:val="22"/>
          <w:szCs w:val="22"/>
          <w:i w:val="1"/>
          <w:iCs w:val="1"/>
          <w:color w:val="auto"/>
        </w:rPr>
        <w:t>. References to Interest.</w:t>
      </w:r>
      <w:r>
        <w:rPr>
          <w:rFonts w:ascii="Arial" w:cs="Arial" w:eastAsia="Arial" w:hAnsi="Arial"/>
          <w:sz w:val="22"/>
          <w:szCs w:val="22"/>
          <w:color w:val="auto"/>
        </w:rPr>
        <w:t xml:space="preserve"> Unless the context otherwise requires, any reference to interest on, or in respect of, any Note in this Indenture shall be deemed to include Additional Interest if, in such context, Additional Interest is, was or would be payable pursuant to any of Section 4.06(d), Section 4.06(e) and Section 6.03. Unless the context otherwise requires, any express mention of Additional Interest in any provision hereof shall not be construed as excluding Additional Interest in those provisions hereof where such express mention is not made.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2</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w:t>
      </w:r>
      <w:r>
        <w:rPr>
          <w:rFonts w:ascii="Arial" w:cs="Arial" w:eastAsia="Arial" w:hAnsi="Arial"/>
          <w:sz w:val="18"/>
          <w:szCs w:val="18"/>
          <w:color w:val="auto"/>
        </w:rPr>
        <w:t>SSUE</w:t>
      </w:r>
      <w:r>
        <w:rPr>
          <w:rFonts w:ascii="Arial" w:cs="Arial" w:eastAsia="Arial" w:hAnsi="Arial"/>
          <w:sz w:val="22"/>
          <w:szCs w:val="22"/>
          <w:color w:val="auto"/>
        </w:rPr>
        <w:t>, D</w:t>
      </w:r>
      <w:r>
        <w:rPr>
          <w:rFonts w:ascii="Arial" w:cs="Arial" w:eastAsia="Arial" w:hAnsi="Arial"/>
          <w:sz w:val="18"/>
          <w:szCs w:val="18"/>
          <w:color w:val="auto"/>
        </w:rPr>
        <w:t>ESCRIPTION</w:t>
      </w:r>
      <w:r>
        <w:rPr>
          <w:rFonts w:ascii="Arial" w:cs="Arial" w:eastAsia="Arial" w:hAnsi="Arial"/>
          <w:sz w:val="22"/>
          <w:szCs w:val="22"/>
          <w:color w:val="auto"/>
        </w:rPr>
        <w:t>, E</w:t>
      </w:r>
      <w:r>
        <w:rPr>
          <w:rFonts w:ascii="Arial" w:cs="Arial" w:eastAsia="Arial" w:hAnsi="Arial"/>
          <w:sz w:val="18"/>
          <w:szCs w:val="18"/>
          <w:color w:val="auto"/>
        </w:rPr>
        <w:t>XECUTION</w:t>
      </w:r>
      <w:r>
        <w:rPr>
          <w:rFonts w:ascii="Arial" w:cs="Arial" w:eastAsia="Arial" w:hAnsi="Arial"/>
          <w:sz w:val="22"/>
          <w:szCs w:val="22"/>
          <w:color w:val="auto"/>
        </w:rPr>
        <w:t>, R</w:t>
      </w:r>
      <w:r>
        <w:rPr>
          <w:rFonts w:ascii="Arial" w:cs="Arial" w:eastAsia="Arial" w:hAnsi="Arial"/>
          <w:sz w:val="18"/>
          <w:szCs w:val="18"/>
          <w:color w:val="auto"/>
        </w:rPr>
        <w:t>EGISTRATION AND</w:t>
      </w:r>
      <w:r>
        <w:rPr>
          <w:rFonts w:ascii="Arial" w:cs="Arial" w:eastAsia="Arial" w:hAnsi="Arial"/>
          <w:sz w:val="22"/>
          <w:szCs w:val="22"/>
          <w:color w:val="auto"/>
        </w:rPr>
        <w:t xml:space="preserve"> E</w:t>
      </w:r>
      <w:r>
        <w:rPr>
          <w:rFonts w:ascii="Arial" w:cs="Arial" w:eastAsia="Arial" w:hAnsi="Arial"/>
          <w:sz w:val="18"/>
          <w:szCs w:val="18"/>
          <w:color w:val="auto"/>
        </w:rPr>
        <w:t>XCHANGE OF</w:t>
      </w:r>
      <w:r>
        <w:rPr>
          <w:rFonts w:ascii="Arial" w:cs="Arial" w:eastAsia="Arial" w:hAnsi="Arial"/>
          <w:sz w:val="22"/>
          <w:szCs w:val="22"/>
          <w:color w:val="auto"/>
        </w:rPr>
        <w:t xml:space="preserve"> N</w:t>
      </w:r>
      <w:r>
        <w:rPr>
          <w:rFonts w:ascii="Arial" w:cs="Arial" w:eastAsia="Arial" w:hAnsi="Arial"/>
          <w:sz w:val="18"/>
          <w:szCs w:val="18"/>
          <w:color w:val="auto"/>
        </w:rPr>
        <w:t>OTES</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Section 2.01</w:t>
      </w:r>
      <w:r>
        <w:rPr>
          <w:rFonts w:ascii="Arial" w:cs="Arial" w:eastAsia="Arial" w:hAnsi="Arial"/>
          <w:sz w:val="19"/>
          <w:szCs w:val="19"/>
          <w:i w:val="1"/>
          <w:iCs w:val="1"/>
          <w:color w:val="auto"/>
        </w:rPr>
        <w:t>. Designation and Amount.</w:t>
      </w:r>
      <w:r>
        <w:rPr>
          <w:rFonts w:ascii="Arial" w:cs="Arial" w:eastAsia="Arial" w:hAnsi="Arial"/>
          <w:sz w:val="19"/>
          <w:szCs w:val="19"/>
          <w:color w:val="auto"/>
        </w:rPr>
        <w:t xml:space="preserve"> The Notes shall be designated as the “1.50% Convertible Senior Notes due 2022.” The</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aggregate principal amount of Notes that may be authenticated and delivered under this Indenture is initially limited to</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$230,000,000, subject to Section 2.10 and except for Notes authenticated and delivered upon registration of transfer of, or in</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exchange for, or in lieu of other Notes to the extent expressly permitted hereunder.</w:t>
      </w:r>
    </w:p>
    <w:p>
      <w:pPr>
        <w:spacing w:after="0" w:line="202" w:lineRule="exact"/>
        <w:rPr>
          <w:sz w:val="20"/>
          <w:szCs w:val="20"/>
          <w:color w:val="auto"/>
        </w:rPr>
      </w:pPr>
    </w:p>
    <w:p>
      <w:pPr>
        <w:ind w:right="600"/>
        <w:spacing w:after="0" w:line="302" w:lineRule="auto"/>
        <w:rPr>
          <w:sz w:val="20"/>
          <w:szCs w:val="20"/>
          <w:color w:val="auto"/>
        </w:rPr>
      </w:pPr>
      <w:r>
        <w:rPr>
          <w:rFonts w:ascii="Arial" w:cs="Arial" w:eastAsia="Arial" w:hAnsi="Arial"/>
          <w:sz w:val="19"/>
          <w:szCs w:val="19"/>
          <w:color w:val="auto"/>
        </w:rPr>
        <w:t>Section 2.02</w:t>
      </w:r>
      <w:r>
        <w:rPr>
          <w:rFonts w:ascii="Arial" w:cs="Arial" w:eastAsia="Arial" w:hAnsi="Arial"/>
          <w:sz w:val="19"/>
          <w:szCs w:val="19"/>
          <w:i w:val="1"/>
          <w:iCs w:val="1"/>
          <w:color w:val="auto"/>
        </w:rPr>
        <w:t>. Form of Notes.</w:t>
      </w:r>
      <w:r>
        <w:rPr>
          <w:rFonts w:ascii="Arial" w:cs="Arial" w:eastAsia="Arial" w:hAnsi="Arial"/>
          <w:sz w:val="19"/>
          <w:szCs w:val="19"/>
          <w:color w:val="auto"/>
        </w:rPr>
        <w:t xml:space="preserve"> 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w:t>
      </w:r>
    </w:p>
    <w:p>
      <w:pPr>
        <w:spacing w:after="0" w:line="143" w:lineRule="exact"/>
        <w:rPr>
          <w:sz w:val="20"/>
          <w:szCs w:val="20"/>
          <w:color w:val="auto"/>
        </w:rPr>
      </w:pPr>
    </w:p>
    <w:p>
      <w:pPr>
        <w:ind w:right="100" w:firstLine="648"/>
        <w:spacing w:after="0" w:line="297" w:lineRule="auto"/>
        <w:rPr>
          <w:sz w:val="20"/>
          <w:szCs w:val="20"/>
          <w:color w:val="auto"/>
        </w:rPr>
      </w:pPr>
      <w:r>
        <w:rPr>
          <w:rFonts w:ascii="Arial" w:cs="Arial" w:eastAsia="Arial" w:hAnsi="Arial"/>
          <w:sz w:val="19"/>
          <w:szCs w:val="19"/>
          <w:color w:val="auto"/>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147" w:lineRule="exact"/>
        <w:rPr>
          <w:sz w:val="20"/>
          <w:szCs w:val="20"/>
          <w:color w:val="auto"/>
        </w:rPr>
      </w:pPr>
    </w:p>
    <w:p>
      <w:pPr>
        <w:ind w:right="200" w:firstLine="648"/>
        <w:spacing w:after="0" w:line="312" w:lineRule="auto"/>
        <w:rPr>
          <w:sz w:val="20"/>
          <w:szCs w:val="20"/>
          <w:color w:val="auto"/>
        </w:rPr>
      </w:pPr>
      <w:r>
        <w:rPr>
          <w:rFonts w:ascii="Arial" w:cs="Arial" w:eastAsia="Arial" w:hAnsi="Arial"/>
          <w:sz w:val="19"/>
          <w:szCs w:val="19"/>
          <w:color w:val="auto"/>
        </w:rPr>
        <w:t>Any of the Notes may have such letters, numbers or other marks of identification and such notations, legends or endorsements as any Officer executing the same may approve (execution thereof to be conclusive evidence of such approval) and as are not inconsistent with the provisions of this Indenture, or as may be required to comply with any law or with any rule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00"/>
          </w:cols>
          <w:pgMar w:left="240" w:top="375" w:right="259" w:bottom="1440" w:gutter="0" w:footer="0" w:header="0"/>
        </w:sectPr>
      </w:pPr>
    </w:p>
    <w:bookmarkStart w:id="91" w:name="page92"/>
    <w:bookmarkEnd w:id="91"/>
    <w:p>
      <w:pPr>
        <w:ind w:right="420"/>
        <w:spacing w:after="0" w:line="253" w:lineRule="auto"/>
        <w:rPr>
          <w:sz w:val="20"/>
          <w:szCs w:val="20"/>
          <w:color w:val="auto"/>
        </w:rPr>
      </w:pPr>
      <w:r>
        <w:rPr>
          <w:rFonts w:ascii="Arial" w:cs="Arial" w:eastAsia="Arial" w:hAnsi="Arial"/>
          <w:sz w:val="22"/>
          <w:szCs w:val="22"/>
          <w:color w:val="auto"/>
        </w:rPr>
        <w:t>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86" w:lineRule="exact"/>
        <w:rPr>
          <w:sz w:val="20"/>
          <w:szCs w:val="20"/>
          <w:color w:val="auto"/>
        </w:rPr>
      </w:pPr>
    </w:p>
    <w:p>
      <w:pPr>
        <w:ind w:right="120" w:firstLine="648"/>
        <w:spacing w:after="0" w:line="289" w:lineRule="auto"/>
        <w:rPr>
          <w:sz w:val="20"/>
          <w:szCs w:val="20"/>
          <w:color w:val="auto"/>
        </w:rPr>
      </w:pPr>
      <w:r>
        <w:rPr>
          <w:rFonts w:ascii="Arial" w:cs="Arial" w:eastAsia="Arial" w:hAnsi="Arial"/>
          <w:sz w:val="19"/>
          <w:szCs w:val="19"/>
          <w:color w:val="auto"/>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purchases, cancellations,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Fundamental Change Repurchase Price, if applicable) of, and accrued and unpaid interest on, a Global Note shall be made to the Holder of such Note on the date of payment, unless a record date or other means of determining Holders eligible to receive payment is provided for herein.</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Section 2.03</w:t>
      </w:r>
      <w:r>
        <w:rPr>
          <w:rFonts w:ascii="Arial" w:cs="Arial" w:eastAsia="Arial" w:hAnsi="Arial"/>
          <w:sz w:val="22"/>
          <w:szCs w:val="22"/>
          <w:i w:val="1"/>
          <w:iCs w:val="1"/>
          <w:color w:val="auto"/>
        </w:rPr>
        <w:t>. Date and Denomination of Notes; Payments of Interest and Defaulted Amounts.</w:t>
      </w:r>
    </w:p>
    <w:p>
      <w:pPr>
        <w:spacing w:after="0" w:line="220" w:lineRule="exact"/>
        <w:rPr>
          <w:sz w:val="20"/>
          <w:szCs w:val="20"/>
          <w:color w:val="auto"/>
        </w:rPr>
      </w:pPr>
    </w:p>
    <w:p>
      <w:pPr>
        <w:ind w:left="120" w:right="120" w:firstLine="847"/>
        <w:spacing w:after="0" w:line="251" w:lineRule="auto"/>
        <w:tabs>
          <w:tab w:leader="none" w:pos="1377"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Notes shall be issuable in registered form without coupons in minimum denominations of $1,000 principal amount and integral multiples thereof. Each Note shall be dated the date of its authentication and shall bear interest from the date specified on the face of the form of Note attached as Exhibit A hereto. Accrued interest on the Notes shall be computed on the basis of a 360-day year composed of twelve 30-day months and, for a partial month, on the basis of the number of days actually elapsed in a 30-day month.</w:t>
      </w:r>
    </w:p>
    <w:p>
      <w:pPr>
        <w:spacing w:after="0" w:line="189" w:lineRule="exact"/>
        <w:rPr>
          <w:rFonts w:ascii="Arial" w:cs="Arial" w:eastAsia="Arial" w:hAnsi="Arial"/>
          <w:sz w:val="22"/>
          <w:szCs w:val="22"/>
          <w:color w:val="auto"/>
        </w:rPr>
      </w:pPr>
    </w:p>
    <w:p>
      <w:pPr>
        <w:ind w:left="120" w:firstLine="847"/>
        <w:spacing w:after="0" w:line="307" w:lineRule="auto"/>
        <w:tabs>
          <w:tab w:leader="none" w:pos="1389"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Person in whose name any Note (or its Predecessor Note) is registered on the Note Register at the close of business on the Regular Record Date immediately preceding the relevant Interest Payment Date shall be entitled to receive the interest payable on such Interest Payment Date. Interest shall be payable at the office or agency of the Company maintained by the Company for such purposes, which shall initially be the Corporate Trust Office. The Company shall pay interest:</w:t>
      </w:r>
    </w:p>
    <w:p>
      <w:pPr>
        <w:spacing w:after="0" w:line="138" w:lineRule="exact"/>
        <w:rPr>
          <w:rFonts w:ascii="Arial" w:cs="Arial" w:eastAsia="Arial" w:hAnsi="Arial"/>
          <w:sz w:val="19"/>
          <w:szCs w:val="19"/>
          <w:color w:val="auto"/>
        </w:rPr>
      </w:pPr>
    </w:p>
    <w:p>
      <w:pPr>
        <w:ind w:left="500" w:right="40" w:firstLine="967"/>
        <w:spacing w:after="0" w:line="297" w:lineRule="auto"/>
        <w:tabs>
          <w:tab w:leader="none" w:pos="1856" w:val="left"/>
        </w:tabs>
        <w:numPr>
          <w:ilvl w:val="1"/>
          <w:numId w:val="51"/>
        </w:numPr>
        <w:rPr>
          <w:rFonts w:ascii="Arial" w:cs="Arial" w:eastAsia="Arial" w:hAnsi="Arial"/>
          <w:sz w:val="19"/>
          <w:szCs w:val="19"/>
          <w:color w:val="auto"/>
        </w:rPr>
      </w:pPr>
      <w:r>
        <w:rPr>
          <w:rFonts w:ascii="Arial" w:cs="Arial" w:eastAsia="Arial" w:hAnsi="Arial"/>
          <w:sz w:val="19"/>
          <w:szCs w:val="19"/>
          <w:color w:val="auto"/>
        </w:rPr>
        <w:t>on any Certificated Notes (A) to Holders holding Certificated Notes having an aggregate principal amount of $5,000,000 or less, by check mailed to the Holders of these Notes at their address as it appears in the Note Register and (B) to Holders holding Certificated Notes having an aggregate principal amount of more than $5,000,000, either by check mailed to such Holders or, upon application by such a Holder to the Paying Agent not later than the relevant Regular Record Date, by wire transfer in immediately available funds to that Holder’s account within the United States, which application shall remain in effect until the Holder notifies the Note Registrar to the contrary in writing; and</w:t>
      </w:r>
    </w:p>
    <w:p>
      <w:pPr>
        <w:spacing w:after="0" w:line="146" w:lineRule="exact"/>
        <w:rPr>
          <w:rFonts w:ascii="Arial" w:cs="Arial" w:eastAsia="Arial" w:hAnsi="Arial"/>
          <w:sz w:val="19"/>
          <w:szCs w:val="19"/>
          <w:color w:val="auto"/>
        </w:rPr>
      </w:pPr>
    </w:p>
    <w:p>
      <w:pPr>
        <w:ind w:left="1920" w:hanging="453"/>
        <w:spacing w:after="0"/>
        <w:tabs>
          <w:tab w:leader="none" w:pos="1920" w:val="left"/>
        </w:tabs>
        <w:numPr>
          <w:ilvl w:val="1"/>
          <w:numId w:val="51"/>
        </w:numPr>
        <w:rPr>
          <w:rFonts w:ascii="Arial" w:cs="Arial" w:eastAsia="Arial" w:hAnsi="Arial"/>
          <w:sz w:val="19"/>
          <w:szCs w:val="19"/>
          <w:color w:val="auto"/>
        </w:rPr>
      </w:pPr>
      <w:r>
        <w:rPr>
          <w:rFonts w:ascii="Arial" w:cs="Arial" w:eastAsia="Arial" w:hAnsi="Arial"/>
          <w:sz w:val="19"/>
          <w:szCs w:val="19"/>
          <w:color w:val="auto"/>
        </w:rPr>
        <w:t>on any Global Note by wire transfer of immediately available funds to the account of the Depositary or its</w:t>
      </w:r>
    </w:p>
    <w:p>
      <w:pPr>
        <w:spacing w:after="0" w:line="56" w:lineRule="exact"/>
        <w:rPr>
          <w:rFonts w:ascii="Arial" w:cs="Arial" w:eastAsia="Arial" w:hAnsi="Arial"/>
          <w:sz w:val="19"/>
          <w:szCs w:val="19"/>
          <w:color w:val="auto"/>
        </w:rPr>
      </w:pPr>
    </w:p>
    <w:p>
      <w:pPr>
        <w:ind w:left="500"/>
        <w:spacing w:after="0"/>
        <w:rPr>
          <w:rFonts w:ascii="Arial" w:cs="Arial" w:eastAsia="Arial" w:hAnsi="Arial"/>
          <w:sz w:val="19"/>
          <w:szCs w:val="19"/>
          <w:color w:val="auto"/>
        </w:rPr>
      </w:pPr>
      <w:r>
        <w:rPr>
          <w:rFonts w:ascii="Arial" w:cs="Arial" w:eastAsia="Arial" w:hAnsi="Arial"/>
          <w:sz w:val="22"/>
          <w:szCs w:val="22"/>
          <w:color w:val="auto"/>
        </w:rPr>
        <w:t>nominee.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375" w:right="239" w:bottom="1440" w:gutter="0" w:footer="0" w:header="0"/>
        </w:sectPr>
      </w:pPr>
    </w:p>
    <w:bookmarkStart w:id="92" w:name="page93"/>
    <w:bookmarkEnd w:id="92"/>
    <w:p>
      <w:pPr>
        <w:ind w:left="120" w:right="60" w:firstLine="847"/>
        <w:spacing w:after="0" w:line="293" w:lineRule="auto"/>
        <w:tabs>
          <w:tab w:leader="none" w:pos="1377" w:val="left"/>
        </w:tabs>
        <w:numPr>
          <w:ilvl w:val="1"/>
          <w:numId w:val="52"/>
        </w:numPr>
        <w:rPr>
          <w:rFonts w:ascii="Arial" w:cs="Arial" w:eastAsia="Arial" w:hAnsi="Arial"/>
          <w:sz w:val="19"/>
          <w:szCs w:val="19"/>
          <w:color w:val="auto"/>
        </w:rPr>
      </w:pPr>
      <w:r>
        <w:rPr>
          <w:rFonts w:ascii="Arial" w:cs="Arial" w:eastAsia="Arial" w:hAnsi="Arial"/>
          <w:sz w:val="19"/>
          <w:szCs w:val="19"/>
          <w:color w:val="auto"/>
        </w:rPr>
        <w:t>Any Defaulted Amounts shall forthwith cease to be payable to the Holder on the relevant payment date but shall accrue interest per annum at the rate borne by the Notes from, and including, such relevant payment date, and such Defaulted Amounts together with such interest thereon shall be paid by the Company, at its election in each case, as provided in clause (i) or</w:t>
      </w:r>
    </w:p>
    <w:p>
      <w:pPr>
        <w:spacing w:after="0" w:line="1" w:lineRule="exact"/>
        <w:rPr>
          <w:rFonts w:ascii="Arial" w:cs="Arial" w:eastAsia="Arial" w:hAnsi="Arial"/>
          <w:sz w:val="19"/>
          <w:szCs w:val="19"/>
          <w:color w:val="auto"/>
        </w:rPr>
      </w:pPr>
    </w:p>
    <w:p>
      <w:pPr>
        <w:ind w:left="440" w:hanging="310"/>
        <w:spacing w:after="0"/>
        <w:tabs>
          <w:tab w:leader="none" w:pos="4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below:</w:t>
      </w:r>
    </w:p>
    <w:p>
      <w:pPr>
        <w:spacing w:after="0" w:line="201" w:lineRule="exact"/>
        <w:rPr>
          <w:rFonts w:ascii="Arial" w:cs="Arial" w:eastAsia="Arial" w:hAnsi="Arial"/>
          <w:sz w:val="22"/>
          <w:szCs w:val="22"/>
          <w:color w:val="auto"/>
        </w:rPr>
      </w:pPr>
    </w:p>
    <w:p>
      <w:pPr>
        <w:ind w:left="500" w:firstLine="967"/>
        <w:spacing w:after="0" w:line="286" w:lineRule="auto"/>
        <w:tabs>
          <w:tab w:leader="none" w:pos="1856" w:val="left"/>
        </w:tabs>
        <w:numPr>
          <w:ilvl w:val="2"/>
          <w:numId w:val="53"/>
        </w:numPr>
        <w:rPr>
          <w:rFonts w:ascii="Arial" w:cs="Arial" w:eastAsia="Arial" w:hAnsi="Arial"/>
          <w:sz w:val="19"/>
          <w:szCs w:val="19"/>
          <w:color w:val="auto"/>
        </w:rPr>
      </w:pPr>
      <w:r>
        <w:rPr>
          <w:rFonts w:ascii="Arial" w:cs="Arial" w:eastAsia="Arial" w:hAnsi="Arial"/>
          <w:sz w:val="19"/>
          <w:szCs w:val="19"/>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The Company shall promptly notify the Trustee in writing of such special record date and the Trustee, in the name and at the expense of the Company, shall cause notice of the proposed payment of such Defaulted Amounts and the special record date therefor to be sent to each Holder at its address as it appears in the Note Register, not less than 10 days prior to such special record date. Notice of the proposed payment of such Defaulted Amounts and the special record date therefor having been sent, such Defaulted Amounts shall be paid to the Persons in whose names the Notes (or their respective Predecessor Notes) are registered at the close of business on such special record date and shall no longer be payable pursuant to the following clause (ii) of this Section 2.03(c).</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left="500" w:right="60" w:firstLine="967"/>
        <w:spacing w:after="0" w:line="266" w:lineRule="auto"/>
        <w:tabs>
          <w:tab w:leader="none" w:pos="1916" w:val="left"/>
        </w:tabs>
        <w:numPr>
          <w:ilvl w:val="2"/>
          <w:numId w:val="53"/>
        </w:numPr>
        <w:rPr>
          <w:rFonts w:ascii="Arial" w:cs="Arial" w:eastAsia="Arial" w:hAnsi="Arial"/>
          <w:sz w:val="21"/>
          <w:szCs w:val="21"/>
          <w:color w:val="auto"/>
        </w:rPr>
      </w:pPr>
      <w:r>
        <w:rPr>
          <w:rFonts w:ascii="Arial" w:cs="Arial" w:eastAsia="Arial" w:hAnsi="Arial"/>
          <w:sz w:val="21"/>
          <w:szCs w:val="21"/>
          <w:color w:val="auto"/>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and the Depositary, if, after written notice given by the Company to the Trustee of the proposed payment pursuant to this clause, such manner of payment shall be deemed reasonably satisfactory to the Trustee.</w:t>
      </w:r>
    </w:p>
    <w:p>
      <w:pPr>
        <w:spacing w:after="0" w:line="174" w:lineRule="exact"/>
        <w:rPr>
          <w:sz w:val="20"/>
          <w:szCs w:val="20"/>
          <w:color w:val="auto"/>
        </w:rPr>
      </w:pPr>
    </w:p>
    <w:p>
      <w:pPr>
        <w:ind w:right="840"/>
        <w:spacing w:after="0" w:line="263" w:lineRule="auto"/>
        <w:rPr>
          <w:sz w:val="20"/>
          <w:szCs w:val="20"/>
          <w:color w:val="auto"/>
        </w:rPr>
      </w:pPr>
      <w:r>
        <w:rPr>
          <w:rFonts w:ascii="Arial" w:cs="Arial" w:eastAsia="Arial" w:hAnsi="Arial"/>
          <w:sz w:val="22"/>
          <w:szCs w:val="22"/>
          <w:color w:val="auto"/>
        </w:rPr>
        <w:t>Section 2.04</w:t>
      </w:r>
      <w:r>
        <w:rPr>
          <w:rFonts w:ascii="Arial" w:cs="Arial" w:eastAsia="Arial" w:hAnsi="Arial"/>
          <w:sz w:val="22"/>
          <w:szCs w:val="22"/>
          <w:i w:val="1"/>
          <w:iCs w:val="1"/>
          <w:color w:val="auto"/>
        </w:rPr>
        <w:t>. Execution, Authentication and Delivery of Notes.</w:t>
      </w:r>
      <w:r>
        <w:rPr>
          <w:rFonts w:ascii="Arial" w:cs="Arial" w:eastAsia="Arial" w:hAnsi="Arial"/>
          <w:sz w:val="22"/>
          <w:szCs w:val="22"/>
          <w:color w:val="auto"/>
        </w:rPr>
        <w:t xml:space="preserve"> The Notes shall be signed in the name and on behalf of the Company by the manual or facsimile signature of at least one of its Officers.</w:t>
      </w:r>
    </w:p>
    <w:p>
      <w:pPr>
        <w:spacing w:after="0" w:line="121" w:lineRule="exact"/>
        <w:rPr>
          <w:sz w:val="20"/>
          <w:szCs w:val="20"/>
          <w:color w:val="auto"/>
        </w:rPr>
      </w:pPr>
    </w:p>
    <w:p>
      <w:pPr>
        <w:ind w:right="220" w:firstLine="648"/>
        <w:spacing w:after="0" w:line="253" w:lineRule="auto"/>
        <w:rPr>
          <w:sz w:val="20"/>
          <w:szCs w:val="20"/>
          <w:color w:val="auto"/>
        </w:rPr>
      </w:pPr>
      <w:r>
        <w:rPr>
          <w:rFonts w:ascii="Arial" w:cs="Arial" w:eastAsia="Arial" w:hAnsi="Arial"/>
          <w:sz w:val="22"/>
          <w:szCs w:val="22"/>
          <w:color w:val="auto"/>
        </w:rPr>
        <w:t>At any time and from time to time after the execution and delivery of this Indenture, the Company may deliver Notes executed by the Company to the Trustee for authentication, together with a Company Order for the authentication and delivery of such Notes and the documents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375" w:right="239" w:bottom="1440" w:gutter="0" w:footer="0" w:header="0"/>
        </w:sectPr>
      </w:pPr>
    </w:p>
    <w:bookmarkStart w:id="93" w:name="page94"/>
    <w:bookmarkEnd w:id="93"/>
    <w:p>
      <w:pPr>
        <w:ind w:right="240"/>
        <w:spacing w:after="0" w:line="263" w:lineRule="auto"/>
        <w:rPr>
          <w:sz w:val="20"/>
          <w:szCs w:val="20"/>
          <w:color w:val="auto"/>
        </w:rPr>
      </w:pPr>
      <w:r>
        <w:rPr>
          <w:rFonts w:ascii="Arial" w:cs="Arial" w:eastAsia="Arial" w:hAnsi="Arial"/>
          <w:sz w:val="22"/>
          <w:szCs w:val="22"/>
          <w:color w:val="auto"/>
        </w:rPr>
        <w:t>required under Section 17.06 hereto, and the Trustee in accordance with such Company Order shall authenticate and deliver such Notes, without any further action by the Company hereunder.</w:t>
      </w:r>
    </w:p>
    <w:p>
      <w:pPr>
        <w:spacing w:after="0" w:line="175" w:lineRule="exact"/>
        <w:rPr>
          <w:sz w:val="20"/>
          <w:szCs w:val="20"/>
          <w:color w:val="auto"/>
        </w:rPr>
      </w:pPr>
    </w:p>
    <w:p>
      <w:pPr>
        <w:ind w:right="80" w:firstLine="648"/>
        <w:spacing w:after="0" w:line="247" w:lineRule="auto"/>
        <w:rPr>
          <w:sz w:val="20"/>
          <w:szCs w:val="20"/>
          <w:color w:val="auto"/>
        </w:rPr>
      </w:pPr>
      <w:r>
        <w:rPr>
          <w:rFonts w:ascii="Arial" w:cs="Arial" w:eastAsia="Arial" w:hAnsi="Arial"/>
          <w:sz w:val="22"/>
          <w:szCs w:val="22"/>
          <w:color w:val="auto"/>
        </w:rPr>
        <w:t>Only such Notes as shall bear thereon a certificate of authentication substantially in the form set forth on the form of Note attached as Exhibit A hereto, executed manually by an authorized signatory of the Trustee (or an authenticating agent appointed by the Trustee as provided by Section 17.11),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40" w:lineRule="exact"/>
        <w:rPr>
          <w:sz w:val="20"/>
          <w:szCs w:val="20"/>
          <w:color w:val="auto"/>
        </w:rPr>
      </w:pPr>
    </w:p>
    <w:p>
      <w:pPr>
        <w:ind w:right="80" w:firstLine="648"/>
        <w:spacing w:after="0" w:line="247" w:lineRule="auto"/>
        <w:rPr>
          <w:sz w:val="20"/>
          <w:szCs w:val="20"/>
          <w:color w:val="auto"/>
        </w:rPr>
      </w:pPr>
      <w:r>
        <w:rPr>
          <w:rFonts w:ascii="Arial" w:cs="Arial" w:eastAsia="Arial" w:hAnsi="Arial"/>
          <w:sz w:val="22"/>
          <w:szCs w:val="22"/>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an Officer of the Company, although at the date of the execution of this Indenture any such Person was not such an Officer.</w:t>
      </w:r>
    </w:p>
    <w:p>
      <w:pPr>
        <w:spacing w:after="0" w:line="140" w:lineRule="exact"/>
        <w:rPr>
          <w:sz w:val="20"/>
          <w:szCs w:val="20"/>
          <w:color w:val="auto"/>
        </w:rPr>
      </w:pPr>
    </w:p>
    <w:p>
      <w:pPr>
        <w:ind w:right="40"/>
        <w:spacing w:after="0" w:line="292" w:lineRule="auto"/>
        <w:rPr>
          <w:sz w:val="20"/>
          <w:szCs w:val="20"/>
          <w:color w:val="auto"/>
        </w:rPr>
      </w:pPr>
      <w:r>
        <w:rPr>
          <w:rFonts w:ascii="Arial" w:cs="Arial" w:eastAsia="Arial" w:hAnsi="Arial"/>
          <w:sz w:val="19"/>
          <w:szCs w:val="19"/>
          <w:color w:val="auto"/>
        </w:rPr>
        <w:t>Section 2.05</w:t>
      </w:r>
      <w:r>
        <w:rPr>
          <w:rFonts w:ascii="Arial" w:cs="Arial" w:eastAsia="Arial" w:hAnsi="Arial"/>
          <w:sz w:val="19"/>
          <w:szCs w:val="19"/>
          <w:i w:val="1"/>
          <w:iCs w:val="1"/>
          <w:color w:val="auto"/>
        </w:rPr>
        <w:t>. Exchange and Registration of Transfer of Notes; Restrictions on Transfer; Depositary.</w:t>
      </w:r>
      <w:r>
        <w:rPr>
          <w:rFonts w:ascii="Arial" w:cs="Arial" w:eastAsia="Arial" w:hAnsi="Arial"/>
          <w:sz w:val="19"/>
          <w:szCs w:val="19"/>
          <w:color w:val="auto"/>
        </w:rPr>
        <w:t xml:space="preserve"> The Company shall cause to be kept at the Corporate Trust Office a register (the register maintained in such office or in any other office or agency of the Company designated pursuant to Section 4.02, the “</w:t>
      </w:r>
      <w:r>
        <w:rPr>
          <w:rFonts w:ascii="Arial" w:cs="Arial" w:eastAsia="Arial" w:hAnsi="Arial"/>
          <w:sz w:val="19"/>
          <w:szCs w:val="19"/>
          <w:b w:val="1"/>
          <w:bCs w:val="1"/>
          <w:color w:val="auto"/>
        </w:rPr>
        <w:t>Note Register</w:t>
      </w:r>
      <w:r>
        <w:rPr>
          <w:rFonts w:ascii="Arial" w:cs="Arial" w:eastAsia="Arial" w:hAnsi="Arial"/>
          <w:sz w:val="19"/>
          <w:szCs w:val="19"/>
          <w:color w:val="auto"/>
        </w:rPr>
        <w:t>”) in which, subject to such reasonable regulations or procedures as it may prescribe, the Company shall provide for the registration of Notes and transfers of Notes. Such register shall be in written form or in any form capable of being converted into written form within a reasonable period of time. The Trustee is hereby initially appointed the “</w:t>
      </w:r>
      <w:r>
        <w:rPr>
          <w:rFonts w:ascii="Arial" w:cs="Arial" w:eastAsia="Arial" w:hAnsi="Arial"/>
          <w:sz w:val="19"/>
          <w:szCs w:val="19"/>
          <w:b w:val="1"/>
          <w:bCs w:val="1"/>
          <w:color w:val="auto"/>
        </w:rPr>
        <w:t>Note Registrar</w:t>
      </w:r>
      <w:r>
        <w:rPr>
          <w:rFonts w:ascii="Arial" w:cs="Arial" w:eastAsia="Arial" w:hAnsi="Arial"/>
          <w:sz w:val="19"/>
          <w:szCs w:val="19"/>
          <w:color w:val="auto"/>
        </w:rPr>
        <w:t>” for the purpose of registering Notes and transfers of Notes as herein provided. The Company may appoint one or more co-Note Registrars in accordance with Section 4.02.</w:t>
      </w:r>
    </w:p>
    <w:p>
      <w:pPr>
        <w:spacing w:after="0" w:line="97" w:lineRule="exact"/>
        <w:rPr>
          <w:sz w:val="20"/>
          <w:szCs w:val="20"/>
          <w:color w:val="auto"/>
        </w:rPr>
      </w:pPr>
    </w:p>
    <w:p>
      <w:pPr>
        <w:ind w:right="260" w:firstLine="648"/>
        <w:spacing w:after="0" w:line="302" w:lineRule="auto"/>
        <w:rPr>
          <w:sz w:val="20"/>
          <w:szCs w:val="20"/>
          <w:color w:val="auto"/>
        </w:rPr>
      </w:pPr>
      <w:r>
        <w:rPr>
          <w:rFonts w:ascii="Arial" w:cs="Arial" w:eastAsia="Arial" w:hAnsi="Arial"/>
          <w:sz w:val="19"/>
          <w:szCs w:val="19"/>
          <w:color w:val="auto"/>
        </w:rPr>
        <w:t>Upon surrender for registration of transfer of any Note to the Note Registrar or any co-registrar, and satisfaction of the requirements for such transfer set forth in this Section 2.05, the Company shall execute, and the Trustee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89" w:lineRule="exact"/>
        <w:rPr>
          <w:sz w:val="20"/>
          <w:szCs w:val="20"/>
          <w:color w:val="auto"/>
        </w:rPr>
      </w:pPr>
    </w:p>
    <w:p>
      <w:pPr>
        <w:ind w:right="240" w:firstLine="648"/>
        <w:spacing w:after="0" w:line="248" w:lineRule="auto"/>
        <w:rPr>
          <w:sz w:val="20"/>
          <w:szCs w:val="20"/>
          <w:color w:val="auto"/>
        </w:rPr>
      </w:pPr>
      <w:r>
        <w:rPr>
          <w:rFonts w:ascii="Arial" w:cs="Arial" w:eastAsia="Arial" w:hAnsi="Arial"/>
          <w:sz w:val="22"/>
          <w:szCs w:val="22"/>
          <w:color w:val="auto"/>
        </w:rPr>
        <w:t>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w:t>
      </w:r>
    </w:p>
    <w:p>
      <w:pPr>
        <w:spacing w:after="0" w:line="13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All Notes presented or surrendered for registration of transfer or for exchange, repurchase or conversion shall (if so required by the Company, the Trustee, the Note Registrar or any co-</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00"/>
          </w:cols>
          <w:pgMar w:left="240" w:top="375" w:right="259" w:bottom="1440" w:gutter="0" w:footer="0" w:header="0"/>
        </w:sectPr>
      </w:pPr>
    </w:p>
    <w:bookmarkStart w:id="94" w:name="page95"/>
    <w:bookmarkEnd w:id="94"/>
    <w:p>
      <w:pPr>
        <w:ind w:right="200"/>
        <w:spacing w:after="0" w:line="287" w:lineRule="auto"/>
        <w:rPr>
          <w:sz w:val="20"/>
          <w:szCs w:val="20"/>
          <w:color w:val="auto"/>
        </w:rPr>
      </w:pPr>
      <w:r>
        <w:rPr>
          <w:rFonts w:ascii="Arial" w:cs="Arial" w:eastAsia="Arial" w:hAnsi="Arial"/>
          <w:sz w:val="21"/>
          <w:szCs w:val="21"/>
          <w:color w:val="auto"/>
        </w:rPr>
        <w:t>Note Registrar) be duly endorsed, or be accompanied by a written instrument or instruments of transfer in form satisfactory to the Company and duly executed, by the Holder thereof or its attorney-in-fact duly authorized in writing.</w:t>
      </w:r>
    </w:p>
    <w:p>
      <w:pPr>
        <w:spacing w:after="0" w:line="98" w:lineRule="exact"/>
        <w:rPr>
          <w:sz w:val="20"/>
          <w:szCs w:val="20"/>
          <w:color w:val="auto"/>
        </w:rPr>
      </w:pPr>
    </w:p>
    <w:p>
      <w:pPr>
        <w:ind w:right="40" w:firstLine="648"/>
        <w:spacing w:after="0" w:line="312" w:lineRule="auto"/>
        <w:rPr>
          <w:sz w:val="20"/>
          <w:szCs w:val="20"/>
          <w:color w:val="auto"/>
        </w:rPr>
      </w:pPr>
      <w:r>
        <w:rPr>
          <w:rFonts w:ascii="Arial" w:cs="Arial" w:eastAsia="Arial" w:hAnsi="Arial"/>
          <w:sz w:val="19"/>
          <w:szCs w:val="19"/>
          <w:color w:val="auto"/>
        </w:rPr>
        <w:t>No service charge shall be imposed by the Company, the Trustee, the Note Registrar or any co-Note Registrar for any registration of transfer of Notes or exchange of Notes, but the Company or the Trustee may require a Holder to pay a sum sufficient to cover any transfer tax or other similar governmental charge required by law or permitted pursuant to this Indenture.</w:t>
      </w:r>
    </w:p>
    <w:p>
      <w:pPr>
        <w:spacing w:after="0" w:line="134"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None of the Company, the Trustee, the Note Registrar or any co-Note Registrar shall be required to exchange or register a transfer of (i) any Notes surrendered for conversion or, if a portion of any Note is surrendered for conversion, such portion thereof surrendered for conversion or (ii) any Notes, or a portion of any Note, surrendered for repurchase (and not withdrawn) in accordance with Article 15.</w:t>
      </w:r>
    </w:p>
    <w:p>
      <w:pPr>
        <w:spacing w:after="0" w:line="188" w:lineRule="exact"/>
        <w:rPr>
          <w:sz w:val="20"/>
          <w:szCs w:val="20"/>
          <w:color w:val="auto"/>
        </w:rPr>
      </w:pPr>
    </w:p>
    <w:p>
      <w:pPr>
        <w:jc w:val="both"/>
        <w:ind w:right="120" w:firstLine="648"/>
        <w:spacing w:after="0" w:line="253" w:lineRule="auto"/>
        <w:rPr>
          <w:sz w:val="20"/>
          <w:szCs w:val="20"/>
          <w:color w:val="auto"/>
        </w:rPr>
      </w:pPr>
      <w:r>
        <w:rPr>
          <w:rFonts w:ascii="Arial" w:cs="Arial" w:eastAsia="Arial" w:hAnsi="Arial"/>
          <w:sz w:val="22"/>
          <w:szCs w:val="22"/>
          <w:color w:val="auto"/>
        </w:rPr>
        <w:t>All Notes issued upon any registration of transfer of Notes or exchange of Notes in accordance with this Indenture shall be the valid obligations of the Company, evidencing the same debt, and entitled to the same benefits under this Indenture as the Notes surrendered upon such registration of transfer or exchange.</w:t>
      </w:r>
    </w:p>
    <w:p>
      <w:pPr>
        <w:spacing w:after="0" w:line="132" w:lineRule="exact"/>
        <w:rPr>
          <w:sz w:val="20"/>
          <w:szCs w:val="20"/>
          <w:color w:val="auto"/>
        </w:rPr>
      </w:pPr>
    </w:p>
    <w:p>
      <w:pPr>
        <w:ind w:left="120" w:right="40" w:firstLine="847"/>
        <w:spacing w:after="0" w:line="264" w:lineRule="auto"/>
        <w:tabs>
          <w:tab w:leader="none" w:pos="1377" w:val="left"/>
        </w:tabs>
        <w:numPr>
          <w:ilvl w:val="0"/>
          <w:numId w:val="54"/>
        </w:numPr>
        <w:rPr>
          <w:rFonts w:ascii="Arial" w:cs="Arial" w:eastAsia="Arial" w:hAnsi="Arial"/>
          <w:sz w:val="21"/>
          <w:szCs w:val="21"/>
          <w:color w:val="auto"/>
        </w:rPr>
      </w:pPr>
      <w:r>
        <w:rPr>
          <w:rFonts w:ascii="Arial" w:cs="Arial" w:eastAsia="Arial" w:hAnsi="Arial"/>
          <w:sz w:val="21"/>
          <w:szCs w:val="21"/>
          <w:color w:val="auto"/>
        </w:rPr>
        <w:t>So long as the Notes are eligible for book-entry settlement with the Depositary, unless otherwise required by law, subject to the fourth paragraph from the end of Section 2.05(b) all Notes shall be represented by one or more Notes in global form (each, a “</w:t>
      </w:r>
      <w:r>
        <w:rPr>
          <w:rFonts w:ascii="Arial" w:cs="Arial" w:eastAsia="Arial" w:hAnsi="Arial"/>
          <w:sz w:val="21"/>
          <w:szCs w:val="21"/>
          <w:b w:val="1"/>
          <w:bCs w:val="1"/>
          <w:color w:val="auto"/>
        </w:rPr>
        <w:t>Global Note</w:t>
      </w:r>
      <w:r>
        <w:rPr>
          <w:rFonts w:ascii="Arial" w:cs="Arial" w:eastAsia="Arial" w:hAnsi="Arial"/>
          <w:sz w:val="21"/>
          <w:szCs w:val="21"/>
          <w:color w:val="auto"/>
        </w:rPr>
        <w:t>”) registered in the name of the Depositary or the nominee of the Depositary. The transfer and exchange of beneficial interests in a Global Note that does not involve the issuance of a Certificated Note, shall be effected through the Depositary (but not the Trustee or the Custodian) in accordance with this Indenture (including the restrictions on transfer set forth herein) and the Applicable Procedures.</w:t>
      </w:r>
    </w:p>
    <w:p>
      <w:pPr>
        <w:spacing w:after="0" w:line="121" w:lineRule="exact"/>
        <w:rPr>
          <w:rFonts w:ascii="Arial" w:cs="Arial" w:eastAsia="Arial" w:hAnsi="Arial"/>
          <w:sz w:val="21"/>
          <w:szCs w:val="21"/>
          <w:color w:val="auto"/>
        </w:rPr>
      </w:pPr>
    </w:p>
    <w:p>
      <w:pPr>
        <w:ind w:left="120" w:right="300" w:firstLine="847"/>
        <w:spacing w:after="0" w:line="299" w:lineRule="auto"/>
        <w:tabs>
          <w:tab w:leader="none" w:pos="1389" w:val="left"/>
        </w:tabs>
        <w:numPr>
          <w:ilvl w:val="0"/>
          <w:numId w:val="54"/>
        </w:numPr>
        <w:rPr>
          <w:rFonts w:ascii="Arial" w:cs="Arial" w:eastAsia="Arial" w:hAnsi="Arial"/>
          <w:sz w:val="19"/>
          <w:szCs w:val="19"/>
          <w:color w:val="auto"/>
        </w:rPr>
      </w:pPr>
      <w:r>
        <w:rPr>
          <w:rFonts w:ascii="Arial" w:cs="Arial" w:eastAsia="Arial" w:hAnsi="Arial"/>
          <w:sz w:val="19"/>
          <w:szCs w:val="19"/>
          <w:color w:val="auto"/>
        </w:rPr>
        <w:t>Every Note that bears or is required under this Section 2.05(b) to bear the legend set forth in this Section 2.05(b) (together with any Common Stock issued upon conversion of the Notes and required to bear the legend set forth in Section</w:t>
      </w:r>
    </w:p>
    <w:p>
      <w:pPr>
        <w:ind w:left="120"/>
        <w:spacing w:after="0" w:line="258" w:lineRule="auto"/>
        <w:rPr>
          <w:rFonts w:ascii="Arial" w:cs="Arial" w:eastAsia="Arial" w:hAnsi="Arial"/>
          <w:sz w:val="19"/>
          <w:szCs w:val="19"/>
          <w:color w:val="auto"/>
        </w:rPr>
      </w:pPr>
      <w:r>
        <w:rPr>
          <w:rFonts w:ascii="Arial" w:cs="Arial" w:eastAsia="Arial" w:hAnsi="Arial"/>
          <w:sz w:val="21"/>
          <w:szCs w:val="21"/>
          <w:color w:val="auto"/>
        </w:rPr>
        <w:t>2.05(c), collectively, the “</w:t>
      </w:r>
      <w:r>
        <w:rPr>
          <w:rFonts w:ascii="Arial" w:cs="Arial" w:eastAsia="Arial" w:hAnsi="Arial"/>
          <w:sz w:val="21"/>
          <w:szCs w:val="21"/>
          <w:b w:val="1"/>
          <w:bCs w:val="1"/>
          <w:color w:val="auto"/>
        </w:rPr>
        <w:t>Restricted Securities</w:t>
      </w:r>
      <w:r>
        <w:rPr>
          <w:rFonts w:ascii="Arial" w:cs="Arial" w:eastAsia="Arial" w:hAnsi="Arial"/>
          <w:sz w:val="21"/>
          <w:szCs w:val="21"/>
          <w:color w:val="auto"/>
        </w:rPr>
        <w:t>”) shall be subject to the restrictions on transfer set forth in this Section 2.05(b) (including the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2.05(b) and Section 2.05(c), the term “</w:t>
      </w:r>
      <w:r>
        <w:rPr>
          <w:rFonts w:ascii="Arial" w:cs="Arial" w:eastAsia="Arial" w:hAnsi="Arial"/>
          <w:sz w:val="21"/>
          <w:szCs w:val="21"/>
          <w:b w:val="1"/>
          <w:bCs w:val="1"/>
          <w:color w:val="auto"/>
        </w:rPr>
        <w:t>transfer</w:t>
      </w:r>
      <w:r>
        <w:rPr>
          <w:rFonts w:ascii="Arial" w:cs="Arial" w:eastAsia="Arial" w:hAnsi="Arial"/>
          <w:sz w:val="21"/>
          <w:szCs w:val="21"/>
          <w:color w:val="auto"/>
        </w:rPr>
        <w:t>” encompasses any sale, pledge, transfer or other disposition whatsoever of any Restricted Security.</w:t>
      </w:r>
    </w:p>
    <w:p>
      <w:pPr>
        <w:spacing w:after="0" w:line="123" w:lineRule="exact"/>
        <w:rPr>
          <w:sz w:val="20"/>
          <w:szCs w:val="20"/>
          <w:color w:val="auto"/>
        </w:rPr>
      </w:pPr>
    </w:p>
    <w:p>
      <w:pPr>
        <w:ind w:right="240" w:firstLine="648"/>
        <w:spacing w:after="0" w:line="248" w:lineRule="auto"/>
        <w:rPr>
          <w:sz w:val="20"/>
          <w:szCs w:val="20"/>
          <w:color w:val="auto"/>
        </w:rPr>
      </w:pPr>
      <w:r>
        <w:rPr>
          <w:rFonts w:ascii="Arial" w:cs="Arial" w:eastAsia="Arial" w:hAnsi="Arial"/>
          <w:sz w:val="22"/>
          <w:szCs w:val="22"/>
          <w:color w:val="auto"/>
        </w:rPr>
        <w:t>Until the date (the “</w:t>
      </w:r>
      <w:r>
        <w:rPr>
          <w:rFonts w:ascii="Arial" w:cs="Arial" w:eastAsia="Arial" w:hAnsi="Arial"/>
          <w:sz w:val="22"/>
          <w:szCs w:val="22"/>
          <w:b w:val="1"/>
          <w:bCs w:val="1"/>
          <w:color w:val="auto"/>
        </w:rPr>
        <w:t>Resale Restriction Termination Date</w:t>
      </w:r>
      <w:r>
        <w:rPr>
          <w:rFonts w:ascii="Arial" w:cs="Arial" w:eastAsia="Arial" w:hAnsi="Arial"/>
          <w:sz w:val="22"/>
          <w:szCs w:val="22"/>
          <w:color w:val="auto"/>
        </w:rPr>
        <w:t>”) that is the later of (1) the date that is one year after the Issue Date, or such shorter period of time as permitted by Rule 144 under the Securities Act or any successor provision thereto, and (2) such later date, if any, as may be required by applicable law, any certificate evidencing such Note (and all securities issued in exchange therefor or substitution thereof, other than Common Stock, if any, issued upon conversion thereof which shall bear the legend set forth in Section 2.05(c), if applicable) shall bear a legend in substantially the following form (unless such Notes have been transferred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375" w:right="239" w:bottom="1440" w:gutter="0" w:footer="0" w:header="0"/>
        </w:sectPr>
      </w:pPr>
    </w:p>
    <w:bookmarkStart w:id="95" w:name="page96"/>
    <w:bookmarkEnd w:id="95"/>
    <w:p>
      <w:pPr>
        <w:ind w:right="240"/>
        <w:spacing w:after="0" w:line="250" w:lineRule="auto"/>
        <w:rPr>
          <w:sz w:val="20"/>
          <w:szCs w:val="20"/>
          <w:color w:val="auto"/>
        </w:rPr>
      </w:pPr>
      <w:r>
        <w:rPr>
          <w:rFonts w:ascii="Arial" w:cs="Arial" w:eastAsia="Arial" w:hAnsi="Arial"/>
          <w:sz w:val="22"/>
          <w:szCs w:val="22"/>
          <w:color w:val="auto"/>
        </w:rPr>
        <w:t>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spacing w:after="0" w:line="188" w:lineRule="exact"/>
        <w:rPr>
          <w:sz w:val="20"/>
          <w:szCs w:val="20"/>
          <w:color w:val="auto"/>
        </w:rPr>
      </w:pPr>
    </w:p>
    <w:p>
      <w:pPr>
        <w:ind w:left="1300" w:right="20" w:firstLine="648"/>
        <w:spacing w:after="0" w:line="248" w:lineRule="auto"/>
        <w:rPr>
          <w:sz w:val="20"/>
          <w:szCs w:val="20"/>
          <w:color w:val="auto"/>
        </w:rPr>
      </w:pPr>
      <w:r>
        <w:rPr>
          <w:rFonts w:ascii="Arial" w:cs="Arial" w:eastAsia="Arial" w:hAnsi="Arial"/>
          <w:sz w:val="22"/>
          <w:szCs w:val="22"/>
          <w:color w:val="auto"/>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138" w:lineRule="exact"/>
        <w:rPr>
          <w:sz w:val="20"/>
          <w:szCs w:val="20"/>
          <w:color w:val="auto"/>
        </w:rPr>
      </w:pPr>
    </w:p>
    <w:p>
      <w:pPr>
        <w:ind w:left="1300" w:firstLine="653"/>
        <w:spacing w:after="0" w:line="250" w:lineRule="auto"/>
        <w:tabs>
          <w:tab w:leader="none" w:pos="2416" w:val="left"/>
        </w:tabs>
        <w:numPr>
          <w:ilvl w:val="0"/>
          <w:numId w:val="55"/>
        </w:numPr>
        <w:rPr>
          <w:rFonts w:ascii="Arial" w:cs="Arial" w:eastAsia="Arial" w:hAnsi="Arial"/>
          <w:sz w:val="22"/>
          <w:szCs w:val="22"/>
          <w:color w:val="auto"/>
        </w:rPr>
      </w:pPr>
      <w:r>
        <w:rPr>
          <w:rFonts w:ascii="Arial" w:cs="Arial" w:eastAsia="Arial" w:hAnsi="Arial"/>
          <w:sz w:val="22"/>
          <w:szCs w:val="22"/>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34" w:lineRule="exact"/>
        <w:rPr>
          <w:rFonts w:ascii="Arial" w:cs="Arial" w:eastAsia="Arial" w:hAnsi="Arial"/>
          <w:sz w:val="22"/>
          <w:szCs w:val="22"/>
          <w:color w:val="auto"/>
        </w:rPr>
      </w:pPr>
    </w:p>
    <w:p>
      <w:pPr>
        <w:ind w:left="1300" w:right="100" w:firstLine="653"/>
        <w:spacing w:after="0" w:line="246" w:lineRule="auto"/>
        <w:tabs>
          <w:tab w:leader="none" w:pos="2404" w:val="left"/>
        </w:tabs>
        <w:numPr>
          <w:ilvl w:val="0"/>
          <w:numId w:val="55"/>
        </w:numPr>
        <w:rPr>
          <w:rFonts w:ascii="Arial" w:cs="Arial" w:eastAsia="Arial" w:hAnsi="Arial"/>
          <w:sz w:val="22"/>
          <w:szCs w:val="22"/>
          <w:color w:val="auto"/>
        </w:rPr>
      </w:pPr>
      <w:r>
        <w:rPr>
          <w:rFonts w:ascii="Arial" w:cs="Arial" w:eastAsia="Arial" w:hAnsi="Arial"/>
          <w:sz w:val="22"/>
          <w:szCs w:val="22"/>
          <w:color w:val="auto"/>
        </w:rPr>
        <w:t>AGREES FOR THE BENEFIT OF MARRIOTT VACATIONS WORLDWIDE CORPORATION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143" w:lineRule="exact"/>
        <w:rPr>
          <w:sz w:val="20"/>
          <w:szCs w:val="20"/>
          <w:color w:val="auto"/>
        </w:rPr>
      </w:pPr>
    </w:p>
    <w:p>
      <w:pPr>
        <w:ind w:left="2460" w:hanging="507"/>
        <w:spacing w:after="0"/>
        <w:tabs>
          <w:tab w:leader="none" w:pos="24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TO THE COMPANY OR ANY SUBSIDIARY THEREOF;</w:t>
      </w:r>
    </w:p>
    <w:p>
      <w:pPr>
        <w:spacing w:after="0" w:line="165" w:lineRule="exact"/>
        <w:rPr>
          <w:rFonts w:ascii="Arial" w:cs="Arial" w:eastAsia="Arial" w:hAnsi="Arial"/>
          <w:sz w:val="22"/>
          <w:szCs w:val="22"/>
          <w:color w:val="auto"/>
        </w:rPr>
      </w:pPr>
    </w:p>
    <w:p>
      <w:pPr>
        <w:ind w:left="1300" w:right="500" w:firstLine="653"/>
        <w:spacing w:after="0" w:line="263" w:lineRule="auto"/>
        <w:tabs>
          <w:tab w:leader="none" w:pos="2452" w:val="left"/>
        </w:tabs>
        <w:numPr>
          <w:ilvl w:val="0"/>
          <w:numId w:val="56"/>
        </w:numPr>
        <w:rPr>
          <w:rFonts w:ascii="Arial" w:cs="Arial" w:eastAsia="Arial" w:hAnsi="Arial"/>
          <w:sz w:val="22"/>
          <w:szCs w:val="22"/>
          <w:color w:val="auto"/>
        </w:rPr>
      </w:pPr>
      <w:r>
        <w:rPr>
          <w:rFonts w:ascii="Arial" w:cs="Arial" w:eastAsia="Arial" w:hAnsi="Arial"/>
          <w:sz w:val="22"/>
          <w:szCs w:val="22"/>
          <w:color w:val="auto"/>
        </w:rPr>
        <w:t>PURSUANT TO AN EFFECTIVE REGISTRATION STATEMENT OF THE COMPANY THAT COVERS THE RESALE OF THIS SECURITY OR SUCH COMMON STOCK;</w:t>
      </w:r>
    </w:p>
    <w:p>
      <w:pPr>
        <w:spacing w:after="0" w:line="120" w:lineRule="exact"/>
        <w:rPr>
          <w:rFonts w:ascii="Arial" w:cs="Arial" w:eastAsia="Arial" w:hAnsi="Arial"/>
          <w:sz w:val="22"/>
          <w:szCs w:val="22"/>
          <w:color w:val="auto"/>
        </w:rPr>
      </w:pPr>
    </w:p>
    <w:p>
      <w:pPr>
        <w:ind w:left="1300" w:right="480" w:firstLine="653"/>
        <w:spacing w:after="0" w:line="263" w:lineRule="auto"/>
        <w:tabs>
          <w:tab w:leader="none" w:pos="2448" w:val="left"/>
        </w:tabs>
        <w:numPr>
          <w:ilvl w:val="0"/>
          <w:numId w:val="56"/>
        </w:numPr>
        <w:rPr>
          <w:rFonts w:ascii="Arial" w:cs="Arial" w:eastAsia="Arial" w:hAnsi="Arial"/>
          <w:sz w:val="22"/>
          <w:szCs w:val="22"/>
          <w:color w:val="auto"/>
        </w:rPr>
      </w:pPr>
      <w:r>
        <w:rPr>
          <w:rFonts w:ascii="Arial" w:cs="Arial" w:eastAsia="Arial" w:hAnsi="Arial"/>
          <w:sz w:val="22"/>
          <w:szCs w:val="22"/>
          <w:color w:val="auto"/>
        </w:rPr>
        <w:t>TO A QUALIFIED INSTITUTIONAL BUYER IN COMPLIANCE WITH RULE 144A UNDER THE SECURITIES ACT; OR</w:t>
      </w:r>
    </w:p>
    <w:p>
      <w:pPr>
        <w:spacing w:after="0" w:line="120" w:lineRule="exact"/>
        <w:rPr>
          <w:rFonts w:ascii="Arial" w:cs="Arial" w:eastAsia="Arial" w:hAnsi="Arial"/>
          <w:sz w:val="22"/>
          <w:szCs w:val="22"/>
          <w:color w:val="auto"/>
        </w:rPr>
      </w:pPr>
    </w:p>
    <w:p>
      <w:pPr>
        <w:ind w:left="1300" w:right="240" w:firstLine="653"/>
        <w:spacing w:after="0" w:line="253" w:lineRule="auto"/>
        <w:tabs>
          <w:tab w:leader="none" w:pos="2464" w:val="left"/>
        </w:tabs>
        <w:numPr>
          <w:ilvl w:val="0"/>
          <w:numId w:val="56"/>
        </w:numPr>
        <w:rPr>
          <w:rFonts w:ascii="Arial" w:cs="Arial" w:eastAsia="Arial" w:hAnsi="Arial"/>
          <w:sz w:val="22"/>
          <w:szCs w:val="22"/>
          <w:color w:val="auto"/>
        </w:rPr>
      </w:pPr>
      <w:r>
        <w:rPr>
          <w:rFonts w:ascii="Arial" w:cs="Arial" w:eastAsia="Arial" w:hAnsi="Arial"/>
          <w:sz w:val="22"/>
          <w:szCs w:val="22"/>
          <w:color w:val="auto"/>
        </w:rPr>
        <w:t>PURSUANT TO AN EXEMPTION FROM REGISTRATION PROVIDED BY RULE 144 UNDER THE SECURITIES ACT OR ANY OTHER AVAILABLE EXEMPTION FROM THE REGISTRATION REQUIREMENTS OF THE SECURITIES ACT.</w:t>
      </w:r>
    </w:p>
    <w:p>
      <w:pPr>
        <w:spacing w:after="0" w:line="132" w:lineRule="exact"/>
        <w:rPr>
          <w:sz w:val="20"/>
          <w:szCs w:val="20"/>
          <w:color w:val="auto"/>
        </w:rPr>
      </w:pPr>
    </w:p>
    <w:p>
      <w:pPr>
        <w:ind w:left="1300" w:right="40" w:firstLine="648"/>
        <w:spacing w:after="0" w:line="253" w:lineRule="auto"/>
        <w:rPr>
          <w:sz w:val="20"/>
          <w:szCs w:val="20"/>
          <w:color w:val="auto"/>
        </w:rPr>
      </w:pPr>
      <w:r>
        <w:rPr>
          <w:rFonts w:ascii="Arial" w:cs="Arial" w:eastAsia="Arial" w:hAnsi="Arial"/>
          <w:sz w:val="22"/>
          <w:szCs w:val="22"/>
          <w:color w:val="auto"/>
        </w:rPr>
        <w:t>PRIOR TO THE REGISTRATION OF ANY TRANSFER IN ACCORDANCE WITH (2)(D) ABOVE, THE COMPANY AND THE TRUSTEE RESERVE THE RIGHT TO REQUIRE THE DELIVERY OF SUCH LEGAL OPINIONS, CERTIFICATIONS OR OTHER EVIDENCE AS MAY</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375" w:right="239" w:bottom="1440" w:gutter="0" w:footer="0" w:header="0"/>
        </w:sectPr>
      </w:pPr>
    </w:p>
    <w:bookmarkStart w:id="96" w:name="page97"/>
    <w:bookmarkEnd w:id="96"/>
    <w:p>
      <w:pPr>
        <w:ind w:left="1300" w:right="100"/>
        <w:spacing w:after="0" w:line="250" w:lineRule="auto"/>
        <w:rPr>
          <w:sz w:val="20"/>
          <w:szCs w:val="20"/>
          <w:color w:val="auto"/>
        </w:rPr>
      </w:pPr>
      <w:r>
        <w:rPr>
          <w:rFonts w:ascii="Arial" w:cs="Arial" w:eastAsia="Arial" w:hAnsi="Arial"/>
          <w:sz w:val="22"/>
          <w:szCs w:val="22"/>
          <w:color w:val="auto"/>
        </w:rPr>
        <w:t>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34"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No transfer of any Note prior to the Resale Restriction Termination Date will be registered by the Note Registrar unless the applicable box on the Form of Assignment and Transfer has been checked.</w:t>
      </w:r>
    </w:p>
    <w:p>
      <w:pPr>
        <w:spacing w:after="0" w:line="121"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On any Resale Restriction Termination Date, the Company shall, at its option, deliver to the Trustee a certificate in the form of </w:t>
      </w:r>
      <w:r>
        <w:rPr>
          <w:rFonts w:ascii="Arial" w:cs="Arial" w:eastAsia="Arial" w:hAnsi="Arial"/>
          <w:sz w:val="19"/>
          <w:szCs w:val="19"/>
          <w:b w:val="1"/>
          <w:bCs w:val="1"/>
          <w:color w:val="auto"/>
        </w:rPr>
        <w:t>Exhibit B</w:t>
      </w:r>
      <w:r>
        <w:rPr>
          <w:rFonts w:ascii="Arial" w:cs="Arial" w:eastAsia="Arial" w:hAnsi="Arial"/>
          <w:sz w:val="19"/>
          <w:szCs w:val="19"/>
          <w:color w:val="auto"/>
        </w:rPr>
        <w:t xml:space="preserve"> hereto executed by an Officer of the Company, and upon the Trustee’s receipt of such certificate the restrictive legend required by this Section 2.05(b) shall be deemed removed from any Global Notes representing such Notes without further action on the part of Holders. If the Company delivers such a certificate to Trustee, the Company shall: (i) notify Holders of the Notes that the restrictive legend required by this Section 2.05(b) has been removed or deemed removed; and (ii) instruct the Depositary to change the CUSIP number for the Notes to the unrestricted CUSIP number for the Notes. It is understood that the Depositary of any Global Note may require a mandatory exchange or other process to cause such Global Note to be identified by an unrestricted CUSIP number in the facilities of such Depositary. For the avoidance of doubt, for Notes that are not in certificated form, the Notes shall continue to bear Additional Interest pursuant to this paragraph until such time as they are identified by an unrestricted CUSIP number in the facilities of the Depositary or any successor depositary for the Notes, as a result of completion of the Depositary’s mandatory exchange process or otherwise.</w:t>
      </w:r>
    </w:p>
    <w:p>
      <w:pPr>
        <w:spacing w:after="0" w:line="101" w:lineRule="exact"/>
        <w:rPr>
          <w:sz w:val="20"/>
          <w:szCs w:val="20"/>
          <w:color w:val="auto"/>
        </w:rPr>
      </w:pPr>
    </w:p>
    <w:p>
      <w:pPr>
        <w:ind w:right="160" w:firstLine="648"/>
        <w:spacing w:after="0" w:line="292" w:lineRule="auto"/>
        <w:rPr>
          <w:sz w:val="20"/>
          <w:szCs w:val="20"/>
          <w:color w:val="auto"/>
        </w:rPr>
      </w:pPr>
      <w:r>
        <w:rPr>
          <w:rFonts w:ascii="Arial" w:cs="Arial" w:eastAsia="Arial" w:hAnsi="Arial"/>
          <w:sz w:val="19"/>
          <w:szCs w:val="19"/>
          <w:color w:val="auto"/>
        </w:rPr>
        <w:t>Any Note (or security issued in exchange or substitution therefor) (i) as to which such restrictions on transfer shall have expired in accordance with their terms, (ii) that has been transferred pursuant to a registration statement that has become effective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such Note for exchange to the Note Registrar in accordance with the provisions of this Section 2.05, be exchanged for a new Note or Notes, of like tenor and aggregate principal amount, which shall not bear the restrictive legend required by this Section 2.05(b) and shall not be assigned a restricted CUSIP number.</w:t>
      </w:r>
    </w:p>
    <w:p>
      <w:pPr>
        <w:spacing w:after="0" w:line="97" w:lineRule="exact"/>
        <w:rPr>
          <w:sz w:val="20"/>
          <w:szCs w:val="20"/>
          <w:color w:val="auto"/>
        </w:rPr>
      </w:pPr>
    </w:p>
    <w:p>
      <w:pPr>
        <w:ind w:right="40" w:firstLine="648"/>
        <w:spacing w:after="0" w:line="246" w:lineRule="auto"/>
        <w:rPr>
          <w:sz w:val="20"/>
          <w:szCs w:val="20"/>
          <w:color w:val="auto"/>
        </w:rPr>
      </w:pPr>
      <w:r>
        <w:rPr>
          <w:rFonts w:ascii="Arial" w:cs="Arial" w:eastAsia="Arial" w:hAnsi="Arial"/>
          <w:sz w:val="22"/>
          <w:szCs w:val="22"/>
          <w:color w:val="auto"/>
        </w:rPr>
        <w:t>The Company shall be entitled to instruct the Custodian in writing to so surrender any Global Note as to which such restrictions on transfer shall have expired in accordance with their terms for exchange, and, upon such instruction, the Custodian shall so surrender such Global Note for exchange; and any new Global Note so exchanged therefor shall not bear the restrictive legend specified in this Section 2.05(b) and shall not be assigned a restricted CUSIP number. The Company shall promptly notify the Trustee upon the occurrence of the Resale Restriction Termination Date and promptly after a registration statement, if any, with respect to the Notes or any Common Stock issued upon conversion of the Notes has been declared effective under the Securities Act.</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380"/>
          </w:cols>
          <w:pgMar w:left="240" w:top="375" w:right="279" w:bottom="1440" w:gutter="0" w:footer="0" w:header="0"/>
        </w:sectPr>
      </w:pPr>
    </w:p>
    <w:bookmarkStart w:id="97" w:name="page98"/>
    <w:bookmarkEnd w:id="97"/>
    <w:p>
      <w:pPr>
        <w:ind w:right="100" w:firstLine="648"/>
        <w:spacing w:after="0" w:line="246" w:lineRule="auto"/>
        <w:rPr>
          <w:sz w:val="20"/>
          <w:szCs w:val="20"/>
          <w:color w:val="auto"/>
        </w:rPr>
      </w:pPr>
      <w:r>
        <w:rPr>
          <w:rFonts w:ascii="Arial" w:cs="Arial" w:eastAsia="Arial" w:hAnsi="Arial"/>
          <w:sz w:val="22"/>
          <w:szCs w:val="22"/>
          <w:color w:val="auto"/>
        </w:rPr>
        <w:t>Notwithstanding any other provisions of this Indenture (other than the provisions set forth in this Section 2.05(b)),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transfers of portions of a Global Note in certificated form made upon request of a member of, or a participant in, the Depositary (for itself or on behalf of a beneficial owner) by written notice given to the Trustee by or on behalf of the Depositary in accordance with Applicable Procedures and in compliance with this Section 2.05(b).</w:t>
      </w:r>
    </w:p>
    <w:p>
      <w:pPr>
        <w:spacing w:after="0" w:line="197"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The Depositary shall be a clearing agency registered under the Exchange Act. The Company initially appoints The Depository Trust Company to act as the “</w:t>
      </w:r>
      <w:r>
        <w:rPr>
          <w:rFonts w:ascii="Arial" w:cs="Arial" w:eastAsia="Arial" w:hAnsi="Arial"/>
          <w:sz w:val="22"/>
          <w:szCs w:val="22"/>
          <w:b w:val="1"/>
          <w:bCs w:val="1"/>
          <w:color w:val="auto"/>
        </w:rPr>
        <w:t>Depositary</w:t>
      </w:r>
      <w:r>
        <w:rPr>
          <w:rFonts w:ascii="Arial" w:cs="Arial" w:eastAsia="Arial" w:hAnsi="Arial"/>
          <w:sz w:val="22"/>
          <w:szCs w:val="22"/>
          <w:color w:val="auto"/>
        </w:rPr>
        <w:t>” with respect to each Global Note. Initially, each Global Note shall be issued to the Depositary, registered in the name of Cede &amp; Co., as the nominee of the Depositary, and deposited with the Trustee as custodian for Cede &amp; Co.</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w:t>
      </w:r>
    </w:p>
    <w:p>
      <w:pPr>
        <w:spacing w:after="0" w:line="220" w:lineRule="exact"/>
        <w:rPr>
          <w:sz w:val="20"/>
          <w:szCs w:val="20"/>
          <w:color w:val="auto"/>
        </w:rPr>
      </w:pPr>
    </w:p>
    <w:p>
      <w:pPr>
        <w:ind w:firstLine="656"/>
        <w:spacing w:after="0" w:line="253" w:lineRule="auto"/>
        <w:tabs>
          <w:tab w:leader="none" w:pos="1104"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Depositary (i) notifies the Company at any time that the Depositary is unwilling or unable to continue as depositary for the Global Notes and a successor depositary is not appointed within 90 days or (ii) ceases to be a clearing agency registered under the Exchange Act and a successor depositary is not appointed within 90 days; or</w:t>
      </w:r>
    </w:p>
    <w:p>
      <w:pPr>
        <w:spacing w:after="0" w:line="185" w:lineRule="exact"/>
        <w:rPr>
          <w:rFonts w:ascii="Arial" w:cs="Arial" w:eastAsia="Arial" w:hAnsi="Arial"/>
          <w:sz w:val="22"/>
          <w:szCs w:val="22"/>
          <w:color w:val="auto"/>
        </w:rPr>
      </w:pPr>
    </w:p>
    <w:p>
      <w:pPr>
        <w:ind w:right="520" w:firstLine="656"/>
        <w:spacing w:after="0" w:line="263" w:lineRule="auto"/>
        <w:tabs>
          <w:tab w:leader="none" w:pos="1116"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there has occurred and is continuing an Event of Default and a beneficial owner of any Note requests through the Depositary that its beneficial interest therein be issued in a Certificated Note,</w:t>
      </w:r>
    </w:p>
    <w:p>
      <w:pPr>
        <w:spacing w:after="0" w:line="175" w:lineRule="exact"/>
        <w:rPr>
          <w:sz w:val="20"/>
          <w:szCs w:val="20"/>
          <w:color w:val="auto"/>
        </w:rPr>
      </w:pPr>
    </w:p>
    <w:p>
      <w:pPr>
        <w:ind w:right="20"/>
        <w:spacing w:after="0" w:line="302" w:lineRule="auto"/>
        <w:rPr>
          <w:sz w:val="20"/>
          <w:szCs w:val="20"/>
          <w:color w:val="auto"/>
        </w:rPr>
      </w:pPr>
      <w:r>
        <w:rPr>
          <w:rFonts w:ascii="Arial" w:cs="Arial" w:eastAsia="Arial" w:hAnsi="Arial"/>
          <w:sz w:val="19"/>
          <w:szCs w:val="19"/>
          <w:color w:val="auto"/>
        </w:rPr>
        <w:t>the Company shall execute, and the Trustee, upon receipt of an Officers’ Certificate, an Opinion of Counsel and a Company Order for the authentication and delivery of Notes, shall authenticate and deliver Certificated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w:t>
      </w:r>
    </w:p>
    <w:p>
      <w:pPr>
        <w:spacing w:after="0" w:line="143" w:lineRule="exact"/>
        <w:rPr>
          <w:sz w:val="20"/>
          <w:szCs w:val="20"/>
          <w:color w:val="auto"/>
        </w:rPr>
      </w:pPr>
    </w:p>
    <w:p>
      <w:pPr>
        <w:ind w:right="80" w:firstLine="648"/>
        <w:spacing w:after="0" w:line="265" w:lineRule="auto"/>
        <w:rPr>
          <w:sz w:val="20"/>
          <w:szCs w:val="20"/>
          <w:color w:val="auto"/>
        </w:rPr>
      </w:pPr>
      <w:r>
        <w:rPr>
          <w:rFonts w:ascii="Arial" w:cs="Arial" w:eastAsia="Arial" w:hAnsi="Arial"/>
          <w:sz w:val="21"/>
          <w:szCs w:val="21"/>
          <w:color w:val="auto"/>
        </w:rPr>
        <w:t>Certificated Notes issued in exchange for all or a part of the Global Note pursuant to this Section 2.05(b) shall be registered in such names and in such authorized denominations as the Depositary, pursuant to instructions from its direct or indirect participants or otherwise, shall instruct the Trustee. Upon execution and authentication, the Trustee shall deliver such Certificated Notes to the Persons in whose names such Certificated Notes are so registered.</w:t>
      </w:r>
    </w:p>
    <w:p>
      <w:pPr>
        <w:spacing w:after="0" w:line="176" w:lineRule="exact"/>
        <w:rPr>
          <w:sz w:val="20"/>
          <w:szCs w:val="20"/>
          <w:color w:val="auto"/>
        </w:rPr>
      </w:pPr>
    </w:p>
    <w:p>
      <w:pPr>
        <w:ind w:right="100" w:firstLine="648"/>
        <w:spacing w:after="0" w:line="247" w:lineRule="auto"/>
        <w:rPr>
          <w:sz w:val="20"/>
          <w:szCs w:val="20"/>
          <w:color w:val="auto"/>
        </w:rPr>
      </w:pPr>
      <w:r>
        <w:rPr>
          <w:rFonts w:ascii="Arial" w:cs="Arial" w:eastAsia="Arial" w:hAnsi="Arial"/>
          <w:sz w:val="22"/>
          <w:szCs w:val="22"/>
          <w:color w:val="auto"/>
        </w:rPr>
        <w:t>At such time as all interests in a Global Note have been converted, canceled, purchased or transferred, such Global Note shall be, upon receipt thereof, canceled by the Trustee in accordance with Applicable Procedures and existing instructions between the Depositary and the Custodian. At any time prior to such cancellation, if any interest in a Global Note is exchanged for Certificated Notes, converted, canceled, purchased or transferred to a transferee who receives Certificated Notes therefor or any Certificated Note is exchanged or transferred for part of such Global Note, the principal amount of such Global Note shall, in accordance with the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375" w:right="239" w:bottom="1440" w:gutter="0" w:footer="0" w:header="0"/>
        </w:sectPr>
      </w:pPr>
    </w:p>
    <w:bookmarkStart w:id="98" w:name="page99"/>
    <w:bookmarkEnd w:id="98"/>
    <w:p>
      <w:pPr>
        <w:jc w:val="both"/>
        <w:ind w:right="120"/>
        <w:spacing w:after="0" w:line="253" w:lineRule="auto"/>
        <w:rPr>
          <w:sz w:val="20"/>
          <w:szCs w:val="20"/>
          <w:color w:val="auto"/>
        </w:rPr>
      </w:pPr>
      <w:r>
        <w:rPr>
          <w:rFonts w:ascii="Arial" w:cs="Arial" w:eastAsia="Arial" w:hAnsi="Arial"/>
          <w:sz w:val="22"/>
          <w:szCs w:val="22"/>
          <w:color w:val="auto"/>
        </w:rPr>
        <w:t>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186" w:lineRule="exact"/>
        <w:rPr>
          <w:sz w:val="20"/>
          <w:szCs w:val="20"/>
          <w:color w:val="auto"/>
        </w:rPr>
      </w:pPr>
    </w:p>
    <w:p>
      <w:pPr>
        <w:ind w:right="140" w:firstLine="648"/>
        <w:spacing w:after="0" w:line="265" w:lineRule="auto"/>
        <w:rPr>
          <w:sz w:val="20"/>
          <w:szCs w:val="20"/>
          <w:color w:val="auto"/>
        </w:rPr>
      </w:pPr>
      <w:r>
        <w:rPr>
          <w:rFonts w:ascii="Arial" w:cs="Arial" w:eastAsia="Arial" w:hAnsi="Arial"/>
          <w:sz w:val="21"/>
          <w:szCs w:val="21"/>
          <w:color w:val="auto"/>
        </w:rPr>
        <w:t>Neither the Company, the Trustee nor any agent of the Company or the Trustee shall have any responsibility or liability for any aspect of the records relating to or payments made on account of beneficial ownership interests of a Global Note or maintaining, supervising or reviewing any records relating to such beneficial ownership interests. Neither the Company nor the Trustee shall have any responsibility or liability for any act or omission of the Depositary.</w:t>
      </w:r>
    </w:p>
    <w:p>
      <w:pPr>
        <w:spacing w:after="0" w:line="176" w:lineRule="exact"/>
        <w:rPr>
          <w:sz w:val="20"/>
          <w:szCs w:val="20"/>
          <w:color w:val="auto"/>
        </w:rPr>
      </w:pPr>
    </w:p>
    <w:p>
      <w:pPr>
        <w:ind w:left="120" w:firstLine="577"/>
        <w:spacing w:after="0" w:line="250" w:lineRule="auto"/>
        <w:tabs>
          <w:tab w:leader="none" w:pos="1107" w:val="left"/>
        </w:tabs>
        <w:numPr>
          <w:ilvl w:val="0"/>
          <w:numId w:val="58"/>
        </w:numPr>
        <w:rPr>
          <w:rFonts w:ascii="Arial" w:cs="Arial" w:eastAsia="Arial" w:hAnsi="Arial"/>
          <w:sz w:val="22"/>
          <w:szCs w:val="22"/>
          <w:color w:val="auto"/>
        </w:rPr>
      </w:pPr>
      <w:r>
        <w:rPr>
          <w:rFonts w:ascii="Arial" w:cs="Arial" w:eastAsia="Arial" w:hAnsi="Arial"/>
          <w:sz w:val="22"/>
          <w:szCs w:val="22"/>
          <w:color w:val="auto"/>
        </w:rPr>
        <w:t>Until the Resale Restriction Termination Date, any stock certificate representing Common Stock issued upon conversion of a Note shall bear a legend in substantially the following form (unless the Note or such Common Stock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in writing, with notice thereof to the Trustee and any transfer agent for the Common Stock):</w:t>
      </w:r>
    </w:p>
    <w:p>
      <w:pPr>
        <w:spacing w:after="0" w:line="188" w:lineRule="exact"/>
        <w:rPr>
          <w:sz w:val="20"/>
          <w:szCs w:val="20"/>
          <w:color w:val="auto"/>
        </w:rPr>
      </w:pPr>
    </w:p>
    <w:p>
      <w:pPr>
        <w:ind w:left="660" w:right="180" w:firstLine="648"/>
        <w:spacing w:after="0" w:line="250" w:lineRule="auto"/>
        <w:rPr>
          <w:sz w:val="20"/>
          <w:szCs w:val="20"/>
          <w:color w:val="auto"/>
        </w:rPr>
      </w:pPr>
      <w:r>
        <w:rPr>
          <w:rFonts w:ascii="Arial" w:cs="Arial" w:eastAsia="Arial" w:hAnsi="Arial"/>
          <w:sz w:val="22"/>
          <w:szCs w:val="22"/>
          <w:color w:val="auto"/>
        </w:rPr>
        <w:t>THIS SECURITY HAS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188" w:lineRule="exact"/>
        <w:rPr>
          <w:sz w:val="20"/>
          <w:szCs w:val="20"/>
          <w:color w:val="auto"/>
        </w:rPr>
      </w:pPr>
    </w:p>
    <w:p>
      <w:pPr>
        <w:ind w:left="660" w:right="60" w:firstLine="645"/>
        <w:spacing w:after="0" w:line="271" w:lineRule="auto"/>
        <w:tabs>
          <w:tab w:leader="none" w:pos="1776" w:val="left"/>
        </w:tabs>
        <w:numPr>
          <w:ilvl w:val="0"/>
          <w:numId w:val="59"/>
        </w:numPr>
        <w:rPr>
          <w:rFonts w:ascii="Arial" w:cs="Arial" w:eastAsia="Arial" w:hAnsi="Arial"/>
          <w:sz w:val="21"/>
          <w:szCs w:val="21"/>
          <w:color w:val="auto"/>
        </w:rPr>
      </w:pPr>
      <w:r>
        <w:rPr>
          <w:rFonts w:ascii="Arial" w:cs="Arial" w:eastAsia="Arial" w:hAnsi="Arial"/>
          <w:sz w:val="21"/>
          <w:szCs w:val="21"/>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67" w:lineRule="exact"/>
        <w:rPr>
          <w:rFonts w:ascii="Arial" w:cs="Arial" w:eastAsia="Arial" w:hAnsi="Arial"/>
          <w:sz w:val="21"/>
          <w:szCs w:val="21"/>
          <w:color w:val="auto"/>
        </w:rPr>
      </w:pPr>
    </w:p>
    <w:p>
      <w:pPr>
        <w:ind w:left="660" w:right="20" w:firstLine="645"/>
        <w:spacing w:after="0" w:line="246" w:lineRule="auto"/>
        <w:tabs>
          <w:tab w:leader="none" w:pos="1764" w:val="left"/>
        </w:tabs>
        <w:numPr>
          <w:ilvl w:val="0"/>
          <w:numId w:val="59"/>
        </w:numPr>
        <w:rPr>
          <w:rFonts w:ascii="Arial" w:cs="Arial" w:eastAsia="Arial" w:hAnsi="Arial"/>
          <w:sz w:val="22"/>
          <w:szCs w:val="22"/>
          <w:color w:val="auto"/>
        </w:rPr>
      </w:pPr>
      <w:r>
        <w:rPr>
          <w:rFonts w:ascii="Arial" w:cs="Arial" w:eastAsia="Arial" w:hAnsi="Arial"/>
          <w:sz w:val="22"/>
          <w:szCs w:val="22"/>
          <w:color w:val="auto"/>
        </w:rPr>
        <w:t>AGREES FOR THE BENEFIT OF MARRIOTT VACATIONS WORLDWIDE CORPORATION (THE “COMPANY”) THAT IT WILL NOT OFFER, SELL, PLEDGE OR OTHERWISE TRANSFER THIS SECURITY OR ANY BENEFICIAL INTEREST HEREIN PRIOR TO THE DATE THAT IS THE LATER OF (X) ONE YEAR AFTER THE LAST ORIGINAL ISSUE DATE OF THE NOTE UPON THE CONVERSION OF WHICH SECURITY WAS ISSUED OR SUCH SHORTER PERIOD OF TIME AS PERMITTED BY RULE 144 UNDER THE SECURITIES ACT OR ANY SUCCESSOR PROVISION THERETO AND (Y) SUCH LATER DATE, IF ANY, AS MAY BE REQUIRED BY APPLICABLE LAW EXCEPT:</w:t>
      </w:r>
    </w:p>
    <w:p>
      <w:pPr>
        <w:spacing w:after="0" w:line="197" w:lineRule="exact"/>
        <w:rPr>
          <w:sz w:val="20"/>
          <w:szCs w:val="20"/>
          <w:color w:val="auto"/>
        </w:rPr>
      </w:pPr>
    </w:p>
    <w:p>
      <w:pPr>
        <w:ind w:left="1820" w:hanging="515"/>
        <w:spacing w:after="0"/>
        <w:tabs>
          <w:tab w:leader="none" w:pos="182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TO THE COMPANY OR ANY SUBSIDIARY THEREOF;</w:t>
      </w:r>
    </w:p>
    <w:p>
      <w:pPr>
        <w:spacing w:after="0" w:line="219" w:lineRule="exact"/>
        <w:rPr>
          <w:rFonts w:ascii="Arial" w:cs="Arial" w:eastAsia="Arial" w:hAnsi="Arial"/>
          <w:sz w:val="22"/>
          <w:szCs w:val="22"/>
          <w:color w:val="auto"/>
        </w:rPr>
      </w:pPr>
    </w:p>
    <w:p>
      <w:pPr>
        <w:ind w:left="660" w:right="240" w:firstLine="645"/>
        <w:spacing w:after="0" w:line="263" w:lineRule="auto"/>
        <w:tabs>
          <w:tab w:leader="none" w:pos="1812" w:val="left"/>
        </w:tabs>
        <w:numPr>
          <w:ilvl w:val="0"/>
          <w:numId w:val="60"/>
        </w:numPr>
        <w:rPr>
          <w:rFonts w:ascii="Arial" w:cs="Arial" w:eastAsia="Arial" w:hAnsi="Arial"/>
          <w:sz w:val="22"/>
          <w:szCs w:val="22"/>
          <w:color w:val="auto"/>
        </w:rPr>
      </w:pPr>
      <w:r>
        <w:rPr>
          <w:rFonts w:ascii="Arial" w:cs="Arial" w:eastAsia="Arial" w:hAnsi="Arial"/>
          <w:sz w:val="22"/>
          <w:szCs w:val="22"/>
          <w:color w:val="auto"/>
        </w:rPr>
        <w:t>PURSUANT TO AN EFFECTIVE REGISTRATION STATEMENT OF THE COMPANY THAT COVERS THE RESALE OF THIS SECURITY OR SUCH COMMON STOCK;</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375" w:right="239" w:bottom="1440" w:gutter="0" w:footer="0" w:header="0"/>
        </w:sectPr>
      </w:pPr>
    </w:p>
    <w:bookmarkStart w:id="99" w:name="page100"/>
    <w:bookmarkEnd w:id="99"/>
    <w:p>
      <w:pPr>
        <w:ind w:left="660" w:right="620" w:firstLine="645"/>
        <w:spacing w:after="0" w:line="263" w:lineRule="auto"/>
        <w:tabs>
          <w:tab w:leader="none" w:pos="1809" w:val="left"/>
        </w:tabs>
        <w:numPr>
          <w:ilvl w:val="0"/>
          <w:numId w:val="61"/>
        </w:numPr>
        <w:rPr>
          <w:rFonts w:ascii="Arial" w:cs="Arial" w:eastAsia="Arial" w:hAnsi="Arial"/>
          <w:sz w:val="22"/>
          <w:szCs w:val="22"/>
          <w:color w:val="auto"/>
        </w:rPr>
      </w:pPr>
      <w:r>
        <w:rPr>
          <w:rFonts w:ascii="Arial" w:cs="Arial" w:eastAsia="Arial" w:hAnsi="Arial"/>
          <w:sz w:val="22"/>
          <w:szCs w:val="22"/>
          <w:color w:val="auto"/>
        </w:rPr>
        <w:t>TO A QUALIFIED INSTITUTIONAL BUYER IN COMPLIANCE WITH RULE 144A UNDER THE SECURITIES ACT; OR</w:t>
      </w:r>
    </w:p>
    <w:p>
      <w:pPr>
        <w:spacing w:after="0" w:line="120" w:lineRule="exact"/>
        <w:rPr>
          <w:rFonts w:ascii="Arial" w:cs="Arial" w:eastAsia="Arial" w:hAnsi="Arial"/>
          <w:sz w:val="22"/>
          <w:szCs w:val="22"/>
          <w:color w:val="auto"/>
        </w:rPr>
      </w:pPr>
    </w:p>
    <w:p>
      <w:pPr>
        <w:ind w:left="660" w:right="40" w:firstLine="645"/>
        <w:spacing w:after="0" w:line="253" w:lineRule="auto"/>
        <w:tabs>
          <w:tab w:leader="none" w:pos="1824" w:val="left"/>
        </w:tabs>
        <w:numPr>
          <w:ilvl w:val="0"/>
          <w:numId w:val="61"/>
        </w:numPr>
        <w:rPr>
          <w:rFonts w:ascii="Arial" w:cs="Arial" w:eastAsia="Arial" w:hAnsi="Arial"/>
          <w:sz w:val="22"/>
          <w:szCs w:val="22"/>
          <w:color w:val="auto"/>
        </w:rPr>
      </w:pPr>
      <w:r>
        <w:rPr>
          <w:rFonts w:ascii="Arial" w:cs="Arial" w:eastAsia="Arial" w:hAnsi="Arial"/>
          <w:sz w:val="22"/>
          <w:szCs w:val="22"/>
          <w:color w:val="auto"/>
        </w:rPr>
        <w:t>PURSUANT TO AN EXEMPTION FROM REGISTRATION PROVIDED BY RULE 144 UNDER THE SECURITIES ACT OR ANY OTHER AVAILABLE EXEMPTION FROM THE REGISTRATION REQUIREMENTS OF THE SECURITIES ACT.</w:t>
      </w:r>
    </w:p>
    <w:p>
      <w:pPr>
        <w:spacing w:after="0" w:line="132" w:lineRule="exact"/>
        <w:rPr>
          <w:sz w:val="20"/>
          <w:szCs w:val="20"/>
          <w:color w:val="auto"/>
        </w:rPr>
      </w:pPr>
    </w:p>
    <w:p>
      <w:pPr>
        <w:ind w:left="660" w:firstLine="648"/>
        <w:spacing w:after="0" w:line="246" w:lineRule="auto"/>
        <w:rPr>
          <w:sz w:val="20"/>
          <w:szCs w:val="20"/>
          <w:color w:val="auto"/>
        </w:rPr>
      </w:pPr>
      <w:r>
        <w:rPr>
          <w:rFonts w:ascii="Arial" w:cs="Arial" w:eastAsia="Arial" w:hAnsi="Arial"/>
          <w:sz w:val="22"/>
          <w:szCs w:val="22"/>
          <w:color w:val="auto"/>
        </w:rPr>
        <w:t>PRIOR TO THE REGISTRATION OF ANY TRANSFER IN ACCORDANCE WITH (2)(D) ABOVE, THE COMPANY AND THE TRANSFER AGENT FOR THE COMMON STOCK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43" w:lineRule="exact"/>
        <w:rPr>
          <w:sz w:val="20"/>
          <w:szCs w:val="20"/>
          <w:color w:val="auto"/>
        </w:rPr>
      </w:pPr>
    </w:p>
    <w:p>
      <w:pPr>
        <w:ind w:left="120" w:right="40" w:firstLine="658"/>
        <w:spacing w:after="0" w:line="262" w:lineRule="auto"/>
        <w:tabs>
          <w:tab w:leader="none" w:pos="1200" w:val="left"/>
        </w:tabs>
        <w:numPr>
          <w:ilvl w:val="0"/>
          <w:numId w:val="62"/>
        </w:numPr>
        <w:rPr>
          <w:rFonts w:ascii="Arial" w:cs="Arial" w:eastAsia="Arial" w:hAnsi="Arial"/>
          <w:sz w:val="21"/>
          <w:szCs w:val="21"/>
          <w:color w:val="auto"/>
        </w:rPr>
      </w:pPr>
      <w:r>
        <w:rPr>
          <w:rFonts w:ascii="Arial" w:cs="Arial" w:eastAsia="Arial" w:hAnsi="Arial"/>
          <w:sz w:val="21"/>
          <w:szCs w:val="21"/>
          <w:color w:val="auto"/>
        </w:rPr>
        <w:t>Any such Common Stock (i) as to which such restrictions on transfer shall have expired in accordance with their terms, (ii) that has been transferred pursuant to a registration statement that has become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Section 2.05(c).</w:t>
      </w:r>
    </w:p>
    <w:p>
      <w:pPr>
        <w:spacing w:after="0" w:line="126" w:lineRule="exact"/>
        <w:rPr>
          <w:rFonts w:ascii="Arial" w:cs="Arial" w:eastAsia="Arial" w:hAnsi="Arial"/>
          <w:sz w:val="21"/>
          <w:szCs w:val="21"/>
          <w:color w:val="auto"/>
        </w:rPr>
      </w:pPr>
    </w:p>
    <w:p>
      <w:pPr>
        <w:ind w:left="120" w:firstLine="658"/>
        <w:spacing w:after="0" w:line="260" w:lineRule="auto"/>
        <w:tabs>
          <w:tab w:leader="none" w:pos="1188" w:val="left"/>
        </w:tabs>
        <w:numPr>
          <w:ilvl w:val="0"/>
          <w:numId w:val="62"/>
        </w:numPr>
        <w:rPr>
          <w:rFonts w:ascii="Arial" w:cs="Arial" w:eastAsia="Arial" w:hAnsi="Arial"/>
          <w:sz w:val="21"/>
          <w:szCs w:val="21"/>
          <w:color w:val="auto"/>
        </w:rPr>
      </w:pPr>
      <w:r>
        <w:rPr>
          <w:rFonts w:ascii="Arial" w:cs="Arial" w:eastAsia="Arial" w:hAnsi="Arial"/>
          <w:sz w:val="21"/>
          <w:szCs w:val="21"/>
          <w:color w:val="auto"/>
        </w:rPr>
        <w:t>Any Note that is repurchased or owned by an Affiliate of the Company (or any Person who was an Affiliate of the Company at any time during the three months preceding) may not be resold by such Affiliate unless registered under the Securities Act or resold pursuant to an exemption from the registration requirements of the Securities Act in a transaction that results in such Note no longer being a “restricted security” (as defined under Rule 144 under the Securities Act). The Trustee shall have no obligation or duty to monitor, determine or inquire as to compliance with any restrictions on transfer imposed under this Indenture or under applicable law with respect to any transfer of any interest in any Note (including any transfers between or among members of, or participants in, the Depositary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25" w:lineRule="exact"/>
        <w:rPr>
          <w:rFonts w:ascii="Arial" w:cs="Arial" w:eastAsia="Arial" w:hAnsi="Arial"/>
          <w:sz w:val="21"/>
          <w:szCs w:val="21"/>
          <w:color w:val="auto"/>
        </w:rPr>
      </w:pPr>
    </w:p>
    <w:p>
      <w:pPr>
        <w:ind w:left="1180" w:hanging="402"/>
        <w:spacing w:after="0"/>
        <w:tabs>
          <w:tab w:leader="none" w:pos="11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Neither the Trustee nor any agent of the Trustee shall have any responsibility for any actions taken or not taken by the</w:t>
      </w:r>
    </w:p>
    <w:p>
      <w:pPr>
        <w:spacing w:after="0" w:line="56" w:lineRule="exact"/>
        <w:rPr>
          <w:rFonts w:ascii="Arial" w:cs="Arial" w:eastAsia="Arial" w:hAnsi="Arial"/>
          <w:sz w:val="19"/>
          <w:szCs w:val="19"/>
          <w:color w:val="auto"/>
        </w:rPr>
      </w:pPr>
    </w:p>
    <w:p>
      <w:pPr>
        <w:ind w:left="120"/>
        <w:spacing w:after="0"/>
        <w:rPr>
          <w:rFonts w:ascii="Arial" w:cs="Arial" w:eastAsia="Arial" w:hAnsi="Arial"/>
          <w:sz w:val="19"/>
          <w:szCs w:val="19"/>
          <w:color w:val="auto"/>
        </w:rPr>
      </w:pPr>
      <w:r>
        <w:rPr>
          <w:rFonts w:ascii="Arial" w:cs="Arial" w:eastAsia="Arial" w:hAnsi="Arial"/>
          <w:sz w:val="22"/>
          <w:szCs w:val="22"/>
          <w:color w:val="auto"/>
        </w:rPr>
        <w:t>Depositary.</w:t>
      </w:r>
    </w:p>
    <w:p>
      <w:pPr>
        <w:spacing w:after="0" w:line="161"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color w:val="auto"/>
        </w:rPr>
        <w:t>Section 2.06</w:t>
      </w:r>
      <w:r>
        <w:rPr>
          <w:rFonts w:ascii="Arial" w:cs="Arial" w:eastAsia="Arial" w:hAnsi="Arial"/>
          <w:sz w:val="22"/>
          <w:szCs w:val="22"/>
          <w:i w:val="1"/>
          <w:iCs w:val="1"/>
          <w:color w:val="auto"/>
        </w:rPr>
        <w:t>. Mutilated, Destroyed, Lost or Stolen Notes.</w:t>
      </w:r>
      <w:r>
        <w:rPr>
          <w:rFonts w:ascii="Arial" w:cs="Arial" w:eastAsia="Arial" w:hAnsi="Arial"/>
          <w:sz w:val="22"/>
          <w:szCs w:val="22"/>
          <w:color w:val="auto"/>
        </w:rPr>
        <w:t xml:space="preserve"> In case any Note shall become mutilated or be destroyed, lost or stolen, the Company in its discretion may execute, and upon its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00"/>
          </w:cols>
          <w:pgMar w:left="240" w:top="375" w:right="259" w:bottom="1440" w:gutter="0" w:footer="0" w:header="0"/>
        </w:sectPr>
      </w:pPr>
    </w:p>
    <w:bookmarkStart w:id="100" w:name="page101"/>
    <w:bookmarkEnd w:id="100"/>
    <w:p>
      <w:pPr>
        <w:spacing w:after="0" w:line="292" w:lineRule="auto"/>
        <w:rPr>
          <w:sz w:val="20"/>
          <w:szCs w:val="20"/>
          <w:color w:val="auto"/>
        </w:rPr>
      </w:pPr>
      <w:r>
        <w:rPr>
          <w:rFonts w:ascii="Arial" w:cs="Arial" w:eastAsia="Arial" w:hAnsi="Arial"/>
          <w:sz w:val="19"/>
          <w:szCs w:val="19"/>
          <w:color w:val="auto"/>
        </w:rPr>
        <w:t>written request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reasonably required by them to save each of them harmless from any loss,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spacing w:after="0" w:line="97"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The Trustee or such authenticating agent may authenticate any such substituted Note and deliver the same upon the receipt of such security or indemnity as the Trustee, the Company and, if applicable, such authenticating agent may reasonably require. Upon the issuance of any substitute Note, the Company or the Trustee may require the payment by the Holder of a sum sufficient to cover any tax or other governmental charge that may be imposed in relation thereto and any other expenses connected therewith. In case any Note that has matured or is about to mature or has been surrendered for required repurchase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reasonably required by them to save each of them harmless from any loss, liability, cost or expense caused by or connected with such substitution, and, in every case of destruction, loss or theft, evidence satisfactory to the Company, the Trustee and, if applicable, any Paying Agent or Conversion Agent evidence to their satisfaction of the destruction, loss or theft of such Note and of the ownership thereof.</w:t>
      </w:r>
    </w:p>
    <w:p>
      <w:pPr>
        <w:spacing w:after="0" w:line="363" w:lineRule="exact"/>
        <w:rPr>
          <w:sz w:val="20"/>
          <w:szCs w:val="20"/>
          <w:color w:val="auto"/>
        </w:rPr>
      </w:pPr>
    </w:p>
    <w:p>
      <w:pPr>
        <w:ind w:right="80" w:firstLine="648"/>
        <w:spacing w:after="0" w:line="290" w:lineRule="auto"/>
        <w:rPr>
          <w:sz w:val="20"/>
          <w:szCs w:val="20"/>
          <w:color w:val="auto"/>
        </w:rPr>
      </w:pPr>
      <w:r>
        <w:rPr>
          <w:rFonts w:ascii="Arial" w:cs="Arial" w:eastAsia="Arial" w:hAnsi="Arial"/>
          <w:sz w:val="19"/>
          <w:szCs w:val="19"/>
          <w:color w:val="auto"/>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or payment or conversion or repurchase of mutilated, destroyed, lost or stolen Notes and shall preclude any and all other rights or remedies notwithstanding any law or statute existing or hereafter enacted to the contrary with respect to the replacement or payment or conversion of negotiable instruments or other securities without their surrender.</w:t>
      </w:r>
    </w:p>
    <w:p>
      <w:pPr>
        <w:spacing w:after="0" w:line="103" w:lineRule="exact"/>
        <w:rPr>
          <w:sz w:val="20"/>
          <w:szCs w:val="20"/>
          <w:color w:val="auto"/>
        </w:rPr>
      </w:pPr>
    </w:p>
    <w:p>
      <w:pPr>
        <w:ind w:right="20"/>
        <w:spacing w:after="0" w:line="248" w:lineRule="auto"/>
        <w:rPr>
          <w:sz w:val="20"/>
          <w:szCs w:val="20"/>
          <w:color w:val="auto"/>
        </w:rPr>
      </w:pPr>
      <w:r>
        <w:rPr>
          <w:rFonts w:ascii="Arial" w:cs="Arial" w:eastAsia="Arial" w:hAnsi="Arial"/>
          <w:sz w:val="22"/>
          <w:szCs w:val="22"/>
          <w:color w:val="auto"/>
        </w:rPr>
        <w:t>Section 2.07</w:t>
      </w:r>
      <w:r>
        <w:rPr>
          <w:rFonts w:ascii="Arial" w:cs="Arial" w:eastAsia="Arial" w:hAnsi="Arial"/>
          <w:sz w:val="22"/>
          <w:szCs w:val="22"/>
          <w:i w:val="1"/>
          <w:iCs w:val="1"/>
          <w:color w:val="auto"/>
        </w:rPr>
        <w:t>. Temporary Notes.</w:t>
      </w:r>
      <w:r>
        <w:rPr>
          <w:rFonts w:ascii="Arial" w:cs="Arial" w:eastAsia="Arial" w:hAnsi="Arial"/>
          <w:sz w:val="22"/>
          <w:szCs w:val="22"/>
          <w:color w:val="auto"/>
        </w:rPr>
        <w:t xml:space="preserve"> Pending the preparation of Certificated Notes, the Company may execute and the Trustee or an authenticating agent appointed by the Trustee shall, upon written request of the Company, authenticate and deliver temporary Notes (printed or lithographed). Temporary Notes shall be issuable in any authorized denomination, and substantially in the form of the Certificated Notes but with such omissions, insertions and variations as may be appropriate for temporary Notes, all as may be determined by the Company.</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375" w:right="239" w:bottom="1440" w:gutter="0" w:footer="0" w:header="0"/>
        </w:sectPr>
      </w:pPr>
    </w:p>
    <w:bookmarkStart w:id="101" w:name="page102"/>
    <w:bookmarkEnd w:id="101"/>
    <w:p>
      <w:pPr>
        <w:spacing w:after="0" w:line="289" w:lineRule="auto"/>
        <w:rPr>
          <w:sz w:val="20"/>
          <w:szCs w:val="20"/>
          <w:color w:val="auto"/>
        </w:rPr>
      </w:pPr>
      <w:r>
        <w:rPr>
          <w:rFonts w:ascii="Arial" w:cs="Arial" w:eastAsia="Arial" w:hAnsi="Arial"/>
          <w:sz w:val="19"/>
          <w:szCs w:val="19"/>
          <w:color w:val="auto"/>
        </w:rPr>
        <w:t>Every such temporary Note shall be executed by the Company and authenticated by the Trustee or such authenticating agent upon the same conditions and in substantially the same manner, and with the same effect, as the Certificated Notes. Without unreasonable delay, the Company shall execute and deliver to the Trustee or such authenticating agent Certificated Notes (other than any Global Note) and thereupon any or all temporary Notes (other than any Global Note) may be surrendered in exchange therefor, at each office or agency maintained by the Company pursuant to Section 4.02 and the Trustee or such authenticating agent shall authenticate and deliver in exchange for such temporary Notes an equal aggregate principal amount of Certificated Notes. Such exchange shall be made by the Company at its own expense and without any charge therefor. Until so exchanged, the temporary Notes shall in all respects be entitled to the same benefits and subject to the same limitations under this Indenture as Certificated Notes authenticated and delivered hereunder.</w:t>
      </w:r>
    </w:p>
    <w:p>
      <w:pPr>
        <w:spacing w:after="0" w:line="158" w:lineRule="exact"/>
        <w:rPr>
          <w:sz w:val="20"/>
          <w:szCs w:val="20"/>
          <w:color w:val="auto"/>
        </w:rPr>
      </w:pPr>
    </w:p>
    <w:p>
      <w:pPr>
        <w:ind w:right="40"/>
        <w:spacing w:after="0" w:line="288" w:lineRule="auto"/>
        <w:rPr>
          <w:sz w:val="20"/>
          <w:szCs w:val="20"/>
          <w:color w:val="auto"/>
        </w:rPr>
      </w:pPr>
      <w:r>
        <w:rPr>
          <w:rFonts w:ascii="Arial" w:cs="Arial" w:eastAsia="Arial" w:hAnsi="Arial"/>
          <w:sz w:val="19"/>
          <w:szCs w:val="19"/>
          <w:color w:val="auto"/>
        </w:rPr>
        <w:t>Section 2.08</w:t>
      </w:r>
      <w:r>
        <w:rPr>
          <w:rFonts w:ascii="Arial" w:cs="Arial" w:eastAsia="Arial" w:hAnsi="Arial"/>
          <w:sz w:val="19"/>
          <w:szCs w:val="19"/>
          <w:i w:val="1"/>
          <w:iCs w:val="1"/>
          <w:color w:val="auto"/>
        </w:rPr>
        <w:t>. Cancellation of Notes Paid, Converted, Etc.</w:t>
      </w:r>
      <w:r>
        <w:rPr>
          <w:rFonts w:ascii="Arial" w:cs="Arial" w:eastAsia="Arial" w:hAnsi="Arial"/>
          <w:sz w:val="19"/>
          <w:szCs w:val="19"/>
          <w:color w:val="auto"/>
        </w:rPr>
        <w:t xml:space="preserve"> The Company shall cause all Notes surrendered for the purpose of payment, repurchase (but excluding Notes repurchased pursuant to cash-settled swaps or other derivatives), registration of transfer or exchange or conversion (subject to the provisions of Section 14.02(j)), if surrendered to any Person other than the Trustee (including any of the Company’s agents, Subsidiaries or Affiliates), to be delivered to the Trustee for cancellation, and such Notes shall no longer be considered outstanding for purposes of this Indenture upon their payment, repurchase or conversion (subject to the provisions of Section 14.02(j)). All Notes delivered to the Trustee shall be canceled promptly by it. No Notes shall be authenticated in exchange for any Notes cancelled, except as expressly permitted by any of the provisions of this Indenture. The Trustee shall dispose of canceled Notes in accordance with its customary procedures and, after such disposition, shall deliver a certificate of such disposition to the Company, at the Company’s written request in a Company Order. If the Company or any of its Subsidiaries shall acquire any of the Notes, such acquisition shall not operate as a purchase or satisfaction of the indebtedness represented by such Notes unless and until the same are delivered to the Trustee for cancellation.</w:t>
      </w:r>
    </w:p>
    <w:p>
      <w:pPr>
        <w:spacing w:after="0" w:line="155" w:lineRule="exact"/>
        <w:rPr>
          <w:sz w:val="20"/>
          <w:szCs w:val="20"/>
          <w:color w:val="auto"/>
        </w:rPr>
      </w:pPr>
    </w:p>
    <w:p>
      <w:pPr>
        <w:ind w:right="60"/>
        <w:spacing w:after="0" w:line="263" w:lineRule="auto"/>
        <w:rPr>
          <w:sz w:val="20"/>
          <w:szCs w:val="20"/>
          <w:color w:val="auto"/>
        </w:rPr>
      </w:pPr>
      <w:r>
        <w:rPr>
          <w:rFonts w:ascii="Arial" w:cs="Arial" w:eastAsia="Arial" w:hAnsi="Arial"/>
          <w:sz w:val="21"/>
          <w:szCs w:val="21"/>
          <w:color w:val="auto"/>
        </w:rPr>
        <w:t>Section 2.09</w:t>
      </w:r>
      <w:r>
        <w:rPr>
          <w:rFonts w:ascii="Arial" w:cs="Arial" w:eastAsia="Arial" w:hAnsi="Arial"/>
          <w:sz w:val="21"/>
          <w:szCs w:val="21"/>
          <w:i w:val="1"/>
          <w:iCs w:val="1"/>
          <w:color w:val="auto"/>
        </w:rPr>
        <w:t>. CUSIP Numbers.</w:t>
      </w:r>
      <w:r>
        <w:rPr>
          <w:rFonts w:ascii="Arial" w:cs="Arial" w:eastAsia="Arial" w:hAnsi="Arial"/>
          <w:sz w:val="21"/>
          <w:szCs w:val="21"/>
          <w:color w:val="auto"/>
        </w:rPr>
        <w:t xml:space="preserve"> The Company in issuing the Notes may use “CUSIP” numbers (if then generally in use), and, if so, the Trustee shall use “CUSIP” numbers in all notices issued to Holders as a convenience to such Holders;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21"/>
          <w:szCs w:val="21"/>
          <w:color w:val="auto"/>
        </w:rPr>
        <w:t>Section 2.10</w:t>
      </w:r>
      <w:r>
        <w:rPr>
          <w:rFonts w:ascii="Arial" w:cs="Arial" w:eastAsia="Arial" w:hAnsi="Arial"/>
          <w:sz w:val="21"/>
          <w:szCs w:val="21"/>
          <w:i w:val="1"/>
          <w:iCs w:val="1"/>
          <w:color w:val="auto"/>
        </w:rPr>
        <w:t>. Additional Notes; Purchases.</w:t>
      </w:r>
      <w:r>
        <w:rPr>
          <w:rFonts w:ascii="Arial" w:cs="Arial" w:eastAsia="Arial" w:hAnsi="Arial"/>
          <w:sz w:val="21"/>
          <w:szCs w:val="21"/>
          <w:color w:val="auto"/>
        </w:rPr>
        <w:t xml:space="preserve"> (a) The Company may, from time to time, without the consent of, or notice to, the Holders, reopen this Indenture and issue additional Notes under this Indenture with the same terms as the Notes issued on the Issue Date (other than differences in the issue date, the issue price and interest accrued prior to the issue date of such additional Notes and, if applicable, the initial Interest Payment Date and restrictions on transfer in respect of such additional Notes) in an unlimited aggregate principal amount;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any such additional Notes are not fungible with the Notes issued on the Issue Date for U.S. federal income tax or securities law purposes, such additional Notes shall have one or more separate CUSIP numbers. Such Notes issued on the Issue Date and the additional Notes shall rank equally and ratably and shall be treated as a single series for all purposes under this Indenture. Prior to the</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360"/>
          </w:cols>
          <w:pgMar w:left="240" w:top="375" w:right="299" w:bottom="1440" w:gutter="0" w:footer="0" w:header="0"/>
        </w:sectPr>
      </w:pPr>
    </w:p>
    <w:bookmarkStart w:id="102" w:name="page103"/>
    <w:bookmarkEnd w:id="102"/>
    <w:p>
      <w:pPr>
        <w:ind w:right="200"/>
        <w:spacing w:after="0" w:line="253" w:lineRule="auto"/>
        <w:rPr>
          <w:sz w:val="20"/>
          <w:szCs w:val="20"/>
          <w:color w:val="auto"/>
        </w:rPr>
      </w:pPr>
      <w:r>
        <w:rPr>
          <w:rFonts w:ascii="Arial" w:cs="Arial" w:eastAsia="Arial" w:hAnsi="Arial"/>
          <w:sz w:val="22"/>
          <w:szCs w:val="22"/>
          <w:color w:val="auto"/>
        </w:rPr>
        <w:t>issuance of any such additional Notes, the Company shall deliver to the Trustee a Company Order, an Officers’ Certificate and an Opinion of Counsel, such Officers’ Certificate and Opinion of Counsel to cover such matters, in addition to those required by Section 17.06, as the Trustee shall reasonably request.</w:t>
      </w:r>
    </w:p>
    <w:p>
      <w:pPr>
        <w:spacing w:after="0" w:line="186" w:lineRule="exact"/>
        <w:rPr>
          <w:sz w:val="20"/>
          <w:szCs w:val="20"/>
          <w:color w:val="auto"/>
        </w:rPr>
      </w:pPr>
    </w:p>
    <w:p>
      <w:pPr>
        <w:ind w:left="120" w:right="140" w:firstLine="847"/>
        <w:spacing w:after="0" w:line="248" w:lineRule="auto"/>
        <w:tabs>
          <w:tab w:leader="none" w:pos="1389"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Company may, to the extent permitted by law and without the consent of Holders, directly or indirectly (regardless of whether such Notes are surrendered to the Company), repurchase Notes in the open market or otherwise, whether by the Company or its Subsidiaries or through a private or public tender or exchange offer or through counterparties to private agreements, including by cash-settled swaps or other derivatives. The Company shall cause any Notes so purchased (but excluding Notes repurchased pursuant to cash-settled swaps or other derivatives that are not physically settled) to be surrendered to the Trustee for cancellation in accordance with Section 2.08, and they will no longer be considered outstanding under this Indenture upon this repurchase.</w:t>
      </w:r>
    </w:p>
    <w:p>
      <w:pPr>
        <w:spacing w:after="0" w:line="196" w:lineRule="exact"/>
        <w:rPr>
          <w:sz w:val="20"/>
          <w:szCs w:val="20"/>
          <w:color w:val="auto"/>
        </w:rPr>
      </w:pPr>
    </w:p>
    <w:p>
      <w:pPr>
        <w:ind w:right="620"/>
        <w:spacing w:after="0" w:line="250" w:lineRule="auto"/>
        <w:rPr>
          <w:sz w:val="20"/>
          <w:szCs w:val="20"/>
          <w:color w:val="auto"/>
        </w:rPr>
      </w:pPr>
      <w:r>
        <w:rPr>
          <w:rFonts w:ascii="Arial" w:cs="Arial" w:eastAsia="Arial" w:hAnsi="Arial"/>
          <w:sz w:val="22"/>
          <w:szCs w:val="22"/>
          <w:color w:val="auto"/>
        </w:rPr>
        <w:t>Section 2.11</w:t>
      </w:r>
      <w:r>
        <w:rPr>
          <w:rFonts w:ascii="Arial" w:cs="Arial" w:eastAsia="Arial" w:hAnsi="Arial"/>
          <w:sz w:val="22"/>
          <w:szCs w:val="22"/>
          <w:i w:val="1"/>
          <w:iCs w:val="1"/>
          <w:color w:val="auto"/>
        </w:rPr>
        <w:t>. Ranking.</w:t>
      </w:r>
      <w:r>
        <w:rPr>
          <w:rFonts w:ascii="Arial" w:cs="Arial" w:eastAsia="Arial" w:hAnsi="Arial"/>
          <w:sz w:val="22"/>
          <w:szCs w:val="22"/>
          <w:color w:val="auto"/>
        </w:rPr>
        <w:t xml:space="preserve"> The Notes constitute a senior general unsecured obligation of the Company, ranking senior in right of payment to all future indebtedness of the Company that is expressly made subordinate to the Notes by the terms of such indebtedness and ranking equally in right of payment with all existing and future indebtedness of the Company that is not so subordinated.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3</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ATISFACTION AND</w:t>
      </w:r>
      <w:r>
        <w:rPr>
          <w:rFonts w:ascii="Arial" w:cs="Arial" w:eastAsia="Arial" w:hAnsi="Arial"/>
          <w:sz w:val="22"/>
          <w:szCs w:val="22"/>
          <w:color w:val="auto"/>
        </w:rPr>
        <w:t xml:space="preserve"> D</w:t>
      </w:r>
      <w:r>
        <w:rPr>
          <w:rFonts w:ascii="Arial" w:cs="Arial" w:eastAsia="Arial" w:hAnsi="Arial"/>
          <w:sz w:val="18"/>
          <w:szCs w:val="18"/>
          <w:color w:val="auto"/>
        </w:rPr>
        <w:t>ISCHARGE</w:t>
      </w:r>
    </w:p>
    <w:p>
      <w:pPr>
        <w:spacing w:after="0" w:line="215" w:lineRule="exact"/>
        <w:rPr>
          <w:sz w:val="20"/>
          <w:szCs w:val="20"/>
          <w:color w:val="auto"/>
        </w:rPr>
      </w:pPr>
    </w:p>
    <w:p>
      <w:pPr>
        <w:ind w:right="220"/>
        <w:spacing w:after="0" w:line="312" w:lineRule="auto"/>
        <w:rPr>
          <w:sz w:val="20"/>
          <w:szCs w:val="20"/>
          <w:color w:val="auto"/>
        </w:rPr>
      </w:pPr>
      <w:r>
        <w:rPr>
          <w:rFonts w:ascii="Arial" w:cs="Arial" w:eastAsia="Arial" w:hAnsi="Arial"/>
          <w:sz w:val="19"/>
          <w:szCs w:val="19"/>
          <w:color w:val="auto"/>
        </w:rPr>
        <w:t>Section 3.01</w:t>
      </w:r>
      <w:r>
        <w:rPr>
          <w:rFonts w:ascii="Arial" w:cs="Arial" w:eastAsia="Arial" w:hAnsi="Arial"/>
          <w:sz w:val="19"/>
          <w:szCs w:val="19"/>
          <w:i w:val="1"/>
          <w:iCs w:val="1"/>
          <w:color w:val="auto"/>
        </w:rPr>
        <w:t>. Satisfaction and Discharge.</w:t>
      </w:r>
      <w:r>
        <w:rPr>
          <w:rFonts w:ascii="Arial" w:cs="Arial" w:eastAsia="Arial" w:hAnsi="Arial"/>
          <w:sz w:val="19"/>
          <w:szCs w:val="19"/>
          <w:color w:val="auto"/>
        </w:rPr>
        <w:t xml:space="preserve"> This Indenture and the Notes shall upon request of the Company contained in an Officers’ Certificate cease to be of further effect (except as set forth in the last paragraph of this Section 3.01), and the Trustee, at the expense of the Company, shall execute proper instruments acknowledging satisfaction and discharge of this Indenture, when:</w:t>
      </w:r>
    </w:p>
    <w:p>
      <w:pPr>
        <w:spacing w:after="0" w:line="134" w:lineRule="exact"/>
        <w:rPr>
          <w:sz w:val="20"/>
          <w:szCs w:val="20"/>
          <w:color w:val="auto"/>
        </w:rPr>
      </w:pPr>
    </w:p>
    <w:p>
      <w:pPr>
        <w:ind w:left="1520" w:hanging="378"/>
        <w:spacing w:after="0"/>
        <w:tabs>
          <w:tab w:leader="none" w:pos="1520" w:val="left"/>
        </w:tabs>
        <w:numPr>
          <w:ilvl w:val="0"/>
          <w:numId w:val="64"/>
        </w:numPr>
        <w:rPr>
          <w:rFonts w:ascii="Arial" w:cs="Arial" w:eastAsia="Arial" w:hAnsi="Arial"/>
          <w:sz w:val="22"/>
          <w:szCs w:val="22"/>
          <w:color w:val="auto"/>
        </w:rPr>
      </w:pPr>
      <w:r>
        <w:rPr>
          <w:rFonts w:ascii="Arial" w:cs="Arial" w:eastAsia="Arial" w:hAnsi="Arial"/>
          <w:sz w:val="22"/>
          <w:szCs w:val="22"/>
          <w:color w:val="auto"/>
        </w:rPr>
        <w:t>either:</w:t>
      </w:r>
    </w:p>
    <w:p>
      <w:pPr>
        <w:spacing w:after="0" w:line="233" w:lineRule="exact"/>
        <w:rPr>
          <w:rFonts w:ascii="Arial" w:cs="Arial" w:eastAsia="Arial" w:hAnsi="Arial"/>
          <w:sz w:val="22"/>
          <w:szCs w:val="22"/>
          <w:color w:val="auto"/>
        </w:rPr>
      </w:pPr>
    </w:p>
    <w:p>
      <w:pPr>
        <w:ind w:left="1140" w:right="80" w:firstLine="570"/>
        <w:spacing w:after="0" w:line="251" w:lineRule="auto"/>
        <w:tabs>
          <w:tab w:leader="none" w:pos="2187" w:val="left"/>
        </w:tabs>
        <w:numPr>
          <w:ilvl w:val="1"/>
          <w:numId w:val="64"/>
        </w:numPr>
        <w:rPr>
          <w:rFonts w:ascii="Arial" w:cs="Arial" w:eastAsia="Arial" w:hAnsi="Arial"/>
          <w:sz w:val="22"/>
          <w:szCs w:val="22"/>
          <w:color w:val="auto"/>
        </w:rPr>
      </w:pPr>
      <w:r>
        <w:rPr>
          <w:rFonts w:ascii="Arial" w:cs="Arial" w:eastAsia="Arial" w:hAnsi="Arial"/>
          <w:sz w:val="22"/>
          <w:szCs w:val="22"/>
          <w:color w:val="auto"/>
        </w:rPr>
        <w:t>all Notes theretofore authenticated and delivered (other than (x) Notes which have been destroyed, lost or stolen and which have been replaced or paid as provided in Section 2.06 and (y) Notes for whose payment money has theretofore been deposited in trust with the Trustee or segregated and held in trust by the Company and thereafter repaid to the Company or discharged from such trust, as provided in Section 4.04(d)) have been delivered to the Trustee for cancellation; or</w:t>
      </w:r>
    </w:p>
    <w:p>
      <w:pPr>
        <w:spacing w:after="0" w:line="189" w:lineRule="exact"/>
        <w:rPr>
          <w:rFonts w:ascii="Arial" w:cs="Arial" w:eastAsia="Arial" w:hAnsi="Arial"/>
          <w:sz w:val="22"/>
          <w:szCs w:val="22"/>
          <w:color w:val="auto"/>
        </w:rPr>
      </w:pPr>
    </w:p>
    <w:p>
      <w:pPr>
        <w:ind w:left="1140" w:firstLine="570"/>
        <w:spacing w:after="0" w:line="251" w:lineRule="auto"/>
        <w:tabs>
          <w:tab w:leader="none" w:pos="2175" w:val="left"/>
        </w:tabs>
        <w:numPr>
          <w:ilvl w:val="1"/>
          <w:numId w:val="64"/>
        </w:numPr>
        <w:rPr>
          <w:rFonts w:ascii="Arial" w:cs="Arial" w:eastAsia="Arial" w:hAnsi="Arial"/>
          <w:sz w:val="22"/>
          <w:szCs w:val="22"/>
          <w:color w:val="auto"/>
        </w:rPr>
      </w:pPr>
      <w:r>
        <w:rPr>
          <w:rFonts w:ascii="Arial" w:cs="Arial" w:eastAsia="Arial" w:hAnsi="Arial"/>
          <w:sz w:val="22"/>
          <w:szCs w:val="22"/>
          <w:color w:val="auto"/>
        </w:rPr>
        <w:t>the Company has deposited with the Trustee or delivered to Holders, as applicable, after all of the outstanding Notes have (i) become due and payable, whether at the Maturity Date or any Fundamental Change Repurchase Date, and/or (ii) have been converted (and the related Settlement Amounts have been determined), cash or cash and/or shares of Common Stock (solely to satisfy the Company’s Conversion Obligations), as applicable, sufficient to pay all of the</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00"/>
          </w:cols>
          <w:pgMar w:left="240" w:top="375" w:right="259" w:bottom="1440" w:gutter="0" w:footer="0" w:header="0"/>
        </w:sectPr>
      </w:pPr>
    </w:p>
    <w:bookmarkStart w:id="103" w:name="page104"/>
    <w:bookmarkEnd w:id="103"/>
    <w:p>
      <w:pPr>
        <w:ind w:left="1140" w:right="340"/>
        <w:spacing w:after="0" w:line="263" w:lineRule="auto"/>
        <w:rPr>
          <w:sz w:val="20"/>
          <w:szCs w:val="20"/>
          <w:color w:val="auto"/>
        </w:rPr>
      </w:pPr>
      <w:r>
        <w:rPr>
          <w:rFonts w:ascii="Arial" w:cs="Arial" w:eastAsia="Arial" w:hAnsi="Arial"/>
          <w:sz w:val="22"/>
          <w:szCs w:val="22"/>
          <w:color w:val="auto"/>
        </w:rPr>
        <w:t>outstanding Notes and/or satisfy all conversions, as the case may be, and pay all other sums due and payable under this Indenture by the Company; and</w:t>
      </w:r>
    </w:p>
    <w:p>
      <w:pPr>
        <w:spacing w:after="0" w:line="175" w:lineRule="exact"/>
        <w:rPr>
          <w:sz w:val="20"/>
          <w:szCs w:val="20"/>
          <w:color w:val="auto"/>
        </w:rPr>
      </w:pPr>
    </w:p>
    <w:p>
      <w:pPr>
        <w:ind w:left="500" w:firstLine="642"/>
        <w:spacing w:after="0" w:line="358" w:lineRule="auto"/>
        <w:tabs>
          <w:tab w:leader="none" w:pos="1592"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91" w:lineRule="exact"/>
        <w:rPr>
          <w:sz w:val="20"/>
          <w:szCs w:val="20"/>
          <w:color w:val="auto"/>
        </w:rPr>
      </w:pPr>
    </w:p>
    <w:p>
      <w:pPr>
        <w:ind w:right="120"/>
        <w:spacing w:after="0" w:line="253" w:lineRule="auto"/>
        <w:rPr>
          <w:sz w:val="20"/>
          <w:szCs w:val="20"/>
          <w:color w:val="auto"/>
        </w:rPr>
      </w:pPr>
      <w:r>
        <w:rPr>
          <w:rFonts w:ascii="Arial" w:cs="Arial" w:eastAsia="Arial" w:hAnsi="Arial"/>
          <w:sz w:val="22"/>
          <w:szCs w:val="22"/>
          <w:color w:val="auto"/>
        </w:rPr>
        <w:t>Notwithstanding the satisfaction and discharge of this Indenture, the obligations of the Company to the Trustee under Section 7.06 and, if cash or shares of Common Stock shall have been deposited with the Trustee pursuant to Section 3.01(i)(B), Section 4.04 shall survive such satisfaction and discharge.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4</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w:t>
      </w:r>
      <w:r>
        <w:rPr>
          <w:rFonts w:ascii="Arial" w:cs="Arial" w:eastAsia="Arial" w:hAnsi="Arial"/>
          <w:sz w:val="18"/>
          <w:szCs w:val="18"/>
          <w:color w:val="auto"/>
        </w:rPr>
        <w:t>ARTICULAR</w:t>
      </w:r>
      <w:r>
        <w:rPr>
          <w:rFonts w:ascii="Arial" w:cs="Arial" w:eastAsia="Arial" w:hAnsi="Arial"/>
          <w:sz w:val="22"/>
          <w:szCs w:val="22"/>
          <w:color w:val="auto"/>
        </w:rPr>
        <w:t xml:space="preserve"> C</w:t>
      </w:r>
      <w:r>
        <w:rPr>
          <w:rFonts w:ascii="Arial" w:cs="Arial" w:eastAsia="Arial" w:hAnsi="Arial"/>
          <w:sz w:val="18"/>
          <w:szCs w:val="18"/>
          <w:color w:val="auto"/>
        </w:rPr>
        <w:t>OVENANTS OF THE</w:t>
      </w:r>
      <w:r>
        <w:rPr>
          <w:rFonts w:ascii="Arial" w:cs="Arial" w:eastAsia="Arial" w:hAnsi="Arial"/>
          <w:sz w:val="22"/>
          <w:szCs w:val="22"/>
          <w:color w:val="auto"/>
        </w:rPr>
        <w:t xml:space="preserve"> C</w:t>
      </w:r>
      <w:r>
        <w:rPr>
          <w:rFonts w:ascii="Arial" w:cs="Arial" w:eastAsia="Arial" w:hAnsi="Arial"/>
          <w:sz w:val="18"/>
          <w:szCs w:val="18"/>
          <w:color w:val="auto"/>
        </w:rPr>
        <w:t>OMPANY</w:t>
      </w:r>
    </w:p>
    <w:p>
      <w:pPr>
        <w:spacing w:after="0" w:line="215" w:lineRule="exact"/>
        <w:rPr>
          <w:sz w:val="20"/>
          <w:szCs w:val="20"/>
          <w:color w:val="auto"/>
        </w:rPr>
      </w:pPr>
    </w:p>
    <w:p>
      <w:pPr>
        <w:ind w:right="40"/>
        <w:spacing w:after="0" w:line="260" w:lineRule="auto"/>
        <w:rPr>
          <w:sz w:val="20"/>
          <w:szCs w:val="20"/>
          <w:color w:val="auto"/>
        </w:rPr>
      </w:pPr>
      <w:r>
        <w:rPr>
          <w:rFonts w:ascii="Arial" w:cs="Arial" w:eastAsia="Arial" w:hAnsi="Arial"/>
          <w:sz w:val="21"/>
          <w:szCs w:val="21"/>
          <w:color w:val="auto"/>
        </w:rPr>
        <w:t>Section 4.01</w:t>
      </w:r>
      <w:r>
        <w:rPr>
          <w:rFonts w:ascii="Arial" w:cs="Arial" w:eastAsia="Arial" w:hAnsi="Arial"/>
          <w:sz w:val="21"/>
          <w:szCs w:val="21"/>
          <w:i w:val="1"/>
          <w:iCs w:val="1"/>
          <w:color w:val="auto"/>
        </w:rPr>
        <w:t>. Payment of Principal, Settlement Amounts and Interest.</w:t>
      </w:r>
      <w:r>
        <w:rPr>
          <w:rFonts w:ascii="Arial" w:cs="Arial" w:eastAsia="Arial" w:hAnsi="Arial"/>
          <w:sz w:val="21"/>
          <w:szCs w:val="21"/>
          <w:color w:val="auto"/>
        </w:rPr>
        <w:t xml:space="preserve"> The Company shall pay or cause to be paid the principal (including the Fundamental Change Repurchase Price, if applicable) of, the Settlement Amounts owed on conversion of, and interest on the Notes on the dates and in the manner provided in the Notes. Principal, Settlement Amounts and interest shall be considered paid on the date due if the Paying Agent, if other than the Company, holds as of 10:00 a.m., New York City time, on the due date money deposited by the Company in immediately available funds and designated for and sufficient to pay all principal, Settlement Amounts and interest then due. Unless such Paying Agent is the Trustee, the Company will promptly notify the Trustee in writing of any failure to take such action.</w:t>
      </w:r>
    </w:p>
    <w:p>
      <w:pPr>
        <w:spacing w:after="0" w:line="181" w:lineRule="exact"/>
        <w:rPr>
          <w:sz w:val="20"/>
          <w:szCs w:val="20"/>
          <w:color w:val="auto"/>
        </w:rPr>
      </w:pPr>
    </w:p>
    <w:p>
      <w:pPr>
        <w:ind w:right="40" w:firstLine="648"/>
        <w:spacing w:after="0" w:line="263" w:lineRule="auto"/>
        <w:rPr>
          <w:sz w:val="20"/>
          <w:szCs w:val="20"/>
          <w:color w:val="auto"/>
        </w:rPr>
      </w:pPr>
      <w:r>
        <w:rPr>
          <w:rFonts w:ascii="Arial" w:cs="Arial" w:eastAsia="Arial" w:hAnsi="Arial"/>
          <w:sz w:val="21"/>
          <w:szCs w:val="21"/>
          <w:color w:val="auto"/>
        </w:rPr>
        <w:t>The Company shall pay interest (including post-petition interest in any proceeding under any Bankruptcy Law) on overdue principal (including the Fundamental Change Repurchase Price, if applicable) and overdue Settlement Amounts owed on conversion to the extent they include cash, at the rate equal to the interest rate on the Notes to the extent lawful; it shall pay interest (including post-petition interest in any proceeding under any Bankruptcy Law) on overdue installments of interest (without regard to any applicable grace period), at the same rate to the extent lawful.</w:t>
      </w:r>
    </w:p>
    <w:p>
      <w:pPr>
        <w:spacing w:after="0" w:line="216" w:lineRule="exact"/>
        <w:rPr>
          <w:sz w:val="20"/>
          <w:szCs w:val="20"/>
          <w:color w:val="auto"/>
        </w:rPr>
      </w:pPr>
    </w:p>
    <w:p>
      <w:pPr>
        <w:ind w:right="20"/>
        <w:spacing w:after="0" w:line="292" w:lineRule="auto"/>
        <w:rPr>
          <w:sz w:val="20"/>
          <w:szCs w:val="20"/>
          <w:color w:val="auto"/>
        </w:rPr>
      </w:pPr>
      <w:r>
        <w:rPr>
          <w:rFonts w:ascii="Arial" w:cs="Arial" w:eastAsia="Arial" w:hAnsi="Arial"/>
          <w:sz w:val="19"/>
          <w:szCs w:val="19"/>
          <w:color w:val="auto"/>
        </w:rPr>
        <w:t>Section 4.02</w:t>
      </w:r>
      <w:r>
        <w:rPr>
          <w:rFonts w:ascii="Arial" w:cs="Arial" w:eastAsia="Arial" w:hAnsi="Arial"/>
          <w:sz w:val="19"/>
          <w:szCs w:val="19"/>
          <w:i w:val="1"/>
          <w:iCs w:val="1"/>
          <w:color w:val="auto"/>
        </w:rPr>
        <w:t>. Maintenance of Office or Agency.</w:t>
      </w:r>
      <w:r>
        <w:rPr>
          <w:rFonts w:ascii="Arial" w:cs="Arial" w:eastAsia="Arial" w:hAnsi="Arial"/>
          <w:sz w:val="19"/>
          <w:szCs w:val="19"/>
          <w:color w:val="auto"/>
        </w:rPr>
        <w:t xml:space="preserve"> The Company shall maintain an office or agency (which may be an office of the Trustee or an Affiliate of the Trustee) where Notes may be presented or surrendered for registration of transfer or exchange or for payment or repurchase (“</w:t>
      </w:r>
      <w:r>
        <w:rPr>
          <w:rFonts w:ascii="Arial" w:cs="Arial" w:eastAsia="Arial" w:hAnsi="Arial"/>
          <w:sz w:val="19"/>
          <w:szCs w:val="19"/>
          <w:b w:val="1"/>
          <w:bCs w:val="1"/>
          <w:color w:val="auto"/>
        </w:rPr>
        <w:t>Paying Agent</w:t>
      </w:r>
      <w:r>
        <w:rPr>
          <w:rFonts w:ascii="Arial" w:cs="Arial" w:eastAsia="Arial" w:hAnsi="Arial"/>
          <w:sz w:val="19"/>
          <w:szCs w:val="19"/>
          <w:color w:val="auto"/>
        </w:rPr>
        <w:t>”) or for conversion (“</w:t>
      </w:r>
      <w:r>
        <w:rPr>
          <w:rFonts w:ascii="Arial" w:cs="Arial" w:eastAsia="Arial" w:hAnsi="Arial"/>
          <w:sz w:val="19"/>
          <w:szCs w:val="19"/>
          <w:b w:val="1"/>
          <w:bCs w:val="1"/>
          <w:color w:val="auto"/>
        </w:rPr>
        <w:t>Conversion Agent</w:t>
      </w:r>
      <w:r>
        <w:rPr>
          <w:rFonts w:ascii="Arial" w:cs="Arial" w:eastAsia="Arial" w:hAnsi="Arial"/>
          <w:sz w:val="19"/>
          <w:szCs w:val="19"/>
          <w:color w:val="auto"/>
        </w:rPr>
        <w:t>”) and where notices and demands to or upon the Company in respect of the Notes and this Indenture may be served. The Company shall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w:t>
      </w:r>
    </w:p>
    <w:p>
      <w:pPr>
        <w:spacing w:after="0" w:line="151" w:lineRule="exact"/>
        <w:rPr>
          <w:sz w:val="20"/>
          <w:szCs w:val="20"/>
          <w:color w:val="auto"/>
        </w:rPr>
      </w:pPr>
    </w:p>
    <w:p>
      <w:pPr>
        <w:ind w:right="840" w:firstLine="648"/>
        <w:spacing w:after="0" w:line="263" w:lineRule="auto"/>
        <w:rPr>
          <w:sz w:val="20"/>
          <w:szCs w:val="20"/>
          <w:color w:val="auto"/>
        </w:rPr>
      </w:pPr>
      <w:r>
        <w:rPr>
          <w:rFonts w:ascii="Arial" w:cs="Arial" w:eastAsia="Arial" w:hAnsi="Arial"/>
          <w:sz w:val="22"/>
          <w:szCs w:val="22"/>
          <w:color w:val="auto"/>
        </w:rPr>
        <w:t>The Company may also from time to time designate one or more other offices or agencies where the Notes may be presented or surrendered for any or all such purposes and may from</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00"/>
          </w:cols>
          <w:pgMar w:left="240" w:top="375" w:right="259" w:bottom="1440" w:gutter="0" w:footer="0" w:header="0"/>
        </w:sectPr>
      </w:pPr>
    </w:p>
    <w:bookmarkStart w:id="104" w:name="page105"/>
    <w:bookmarkEnd w:id="104"/>
    <w:p>
      <w:pPr>
        <w:ind w:right="280"/>
        <w:spacing w:after="0" w:line="253" w:lineRule="auto"/>
        <w:rPr>
          <w:sz w:val="20"/>
          <w:szCs w:val="20"/>
          <w:color w:val="auto"/>
        </w:rPr>
      </w:pPr>
      <w:r>
        <w:rPr>
          <w:rFonts w:ascii="Arial" w:cs="Arial" w:eastAsia="Arial" w:hAnsi="Arial"/>
          <w:sz w:val="22"/>
          <w:szCs w:val="22"/>
          <w:color w:val="auto"/>
        </w:rPr>
        <w:t>time to time rescind such designations. The Company shall give prompt written notice to the Trustee of any such designation or rescission and of any change in the location of any such other office or agency. The terms “</w:t>
      </w:r>
      <w:r>
        <w:rPr>
          <w:rFonts w:ascii="Arial" w:cs="Arial" w:eastAsia="Arial" w:hAnsi="Arial"/>
          <w:sz w:val="22"/>
          <w:szCs w:val="22"/>
          <w:b w:val="1"/>
          <w:bCs w:val="1"/>
          <w:color w:val="auto"/>
        </w:rPr>
        <w:t>Paying Agent</w:t>
      </w:r>
      <w:r>
        <w:rPr>
          <w:rFonts w:ascii="Arial" w:cs="Arial" w:eastAsia="Arial" w:hAnsi="Arial"/>
          <w:sz w:val="22"/>
          <w:szCs w:val="22"/>
          <w:color w:val="auto"/>
        </w:rPr>
        <w:t>” and “</w:t>
      </w:r>
      <w:r>
        <w:rPr>
          <w:rFonts w:ascii="Arial" w:cs="Arial" w:eastAsia="Arial" w:hAnsi="Arial"/>
          <w:sz w:val="22"/>
          <w:szCs w:val="22"/>
          <w:b w:val="1"/>
          <w:bCs w:val="1"/>
          <w:color w:val="auto"/>
        </w:rPr>
        <w:t>Conversion</w:t>
      </w:r>
      <w:r>
        <w:rPr>
          <w:rFonts w:ascii="Arial" w:cs="Arial" w:eastAsia="Arial" w:hAnsi="Arial"/>
          <w:sz w:val="22"/>
          <w:szCs w:val="22"/>
          <w:color w:val="auto"/>
        </w:rPr>
        <w:t xml:space="preserve"> </w:t>
      </w:r>
      <w:r>
        <w:rPr>
          <w:rFonts w:ascii="Arial" w:cs="Arial" w:eastAsia="Arial" w:hAnsi="Arial"/>
          <w:sz w:val="22"/>
          <w:szCs w:val="22"/>
          <w:b w:val="1"/>
          <w:bCs w:val="1"/>
          <w:color w:val="auto"/>
        </w:rPr>
        <w:t>Agent</w:t>
      </w:r>
      <w:r>
        <w:rPr>
          <w:rFonts w:ascii="Arial" w:cs="Arial" w:eastAsia="Arial" w:hAnsi="Arial"/>
          <w:sz w:val="22"/>
          <w:szCs w:val="22"/>
          <w:color w:val="auto"/>
        </w:rPr>
        <w:t>” include any such additional or other offices or agencies, as applicable.</w:t>
      </w:r>
    </w:p>
    <w:p>
      <w:pPr>
        <w:spacing w:after="0" w:line="186" w:lineRule="exact"/>
        <w:rPr>
          <w:sz w:val="20"/>
          <w:szCs w:val="20"/>
          <w:color w:val="auto"/>
        </w:rPr>
      </w:pPr>
    </w:p>
    <w:p>
      <w:pPr>
        <w:ind w:right="800" w:firstLine="648"/>
        <w:spacing w:after="0" w:line="287" w:lineRule="auto"/>
        <w:rPr>
          <w:sz w:val="20"/>
          <w:szCs w:val="20"/>
          <w:color w:val="auto"/>
        </w:rPr>
      </w:pPr>
      <w:r>
        <w:rPr>
          <w:rFonts w:ascii="Arial" w:cs="Arial" w:eastAsia="Arial" w:hAnsi="Arial"/>
          <w:sz w:val="21"/>
          <w:szCs w:val="21"/>
          <w:color w:val="auto"/>
        </w:rPr>
        <w:t>The Company hereby appoints the Trustee as Paying Agent, Note Registrar, Custodian and Conversion Agent and designates the Corporate Trust Office of the Trustee as one such office or agency of the Company.</w:t>
      </w:r>
    </w:p>
    <w:p>
      <w:pPr>
        <w:spacing w:after="0" w:line="152"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The Company reserves the right to vary or terminate the appointment of any Note Registrar, Paying Agent or Conversion Agent, and Bid Solicitation Agent; act as the Paying Agent or Bid Solicitation Agent; appoint additional Paying Agents or Conversion Agents; or approve any change in the office through which any Note Registrar or Paying Agent or Conversion Agent acts.</w:t>
      </w:r>
    </w:p>
    <w:p>
      <w:pPr>
        <w:spacing w:after="0" w:line="188" w:lineRule="exact"/>
        <w:rPr>
          <w:sz w:val="20"/>
          <w:szCs w:val="20"/>
          <w:color w:val="auto"/>
        </w:rPr>
      </w:pPr>
    </w:p>
    <w:p>
      <w:pPr>
        <w:jc w:val="both"/>
        <w:ind w:right="200"/>
        <w:spacing w:after="0" w:line="253" w:lineRule="auto"/>
        <w:rPr>
          <w:sz w:val="20"/>
          <w:szCs w:val="20"/>
          <w:color w:val="auto"/>
        </w:rPr>
      </w:pPr>
      <w:r>
        <w:rPr>
          <w:rFonts w:ascii="Arial" w:cs="Arial" w:eastAsia="Arial" w:hAnsi="Arial"/>
          <w:sz w:val="22"/>
          <w:szCs w:val="22"/>
          <w:color w:val="auto"/>
        </w:rPr>
        <w:t>Section 4.03</w:t>
      </w:r>
      <w:r>
        <w:rPr>
          <w:rFonts w:ascii="Arial" w:cs="Arial" w:eastAsia="Arial" w:hAnsi="Arial"/>
          <w:sz w:val="22"/>
          <w:szCs w:val="22"/>
          <w:i w:val="1"/>
          <w:iCs w:val="1"/>
          <w:color w:val="auto"/>
        </w:rPr>
        <w:t>. Appointments to Fill Vacancies in Trustee’s Office.</w:t>
      </w:r>
      <w:r>
        <w:rPr>
          <w:rFonts w:ascii="Arial" w:cs="Arial" w:eastAsia="Arial" w:hAnsi="Arial"/>
          <w:sz w:val="22"/>
          <w:szCs w:val="22"/>
          <w:color w:val="auto"/>
        </w:rPr>
        <w:t xml:space="preserve"> The Company, whenever necessary to avoid or fill a vacancy in the office of Trustee, will appoint, in the manner provided in Section 7.09, a Trustee, so that there shall at all times be a Trustee hereunder.</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Section 4.04</w:t>
      </w:r>
      <w:r>
        <w:rPr>
          <w:rFonts w:ascii="Arial" w:cs="Arial" w:eastAsia="Arial" w:hAnsi="Arial"/>
          <w:sz w:val="22"/>
          <w:szCs w:val="22"/>
          <w:i w:val="1"/>
          <w:iCs w:val="1"/>
          <w:color w:val="auto"/>
        </w:rPr>
        <w:t>. Provisions as to Paying Agent.</w:t>
      </w:r>
      <w:r>
        <w:rPr>
          <w:rFonts w:ascii="Arial" w:cs="Arial" w:eastAsia="Arial" w:hAnsi="Arial"/>
          <w:sz w:val="22"/>
          <w:szCs w:val="22"/>
          <w:color w:val="auto"/>
        </w:rPr>
        <w:t xml:space="preserve"> (a) If the Company shall appoint a Paying Agent other than the Trustee, the Company will cause such Paying Agent to execute and deliver to the Trustee an instrument in which such agent shall agree with the Trustee, subject to the provisions of this Section 4.04:</w:t>
      </w:r>
    </w:p>
    <w:p>
      <w:pPr>
        <w:spacing w:after="0" w:line="186" w:lineRule="exact"/>
        <w:rPr>
          <w:sz w:val="20"/>
          <w:szCs w:val="20"/>
          <w:color w:val="auto"/>
        </w:rPr>
      </w:pPr>
    </w:p>
    <w:p>
      <w:pPr>
        <w:jc w:val="both"/>
        <w:ind w:left="500" w:right="20" w:firstLine="967"/>
        <w:spacing w:after="0" w:line="278" w:lineRule="auto"/>
        <w:tabs>
          <w:tab w:leader="none" w:pos="1856" w:val="left"/>
        </w:tabs>
        <w:numPr>
          <w:ilvl w:val="1"/>
          <w:numId w:val="66"/>
        </w:numPr>
        <w:rPr>
          <w:rFonts w:ascii="Arial" w:cs="Arial" w:eastAsia="Arial" w:hAnsi="Arial"/>
          <w:sz w:val="21"/>
          <w:szCs w:val="21"/>
          <w:color w:val="auto"/>
        </w:rPr>
      </w:pPr>
      <w:r>
        <w:rPr>
          <w:rFonts w:ascii="Arial" w:cs="Arial" w:eastAsia="Arial" w:hAnsi="Arial"/>
          <w:sz w:val="21"/>
          <w:szCs w:val="21"/>
          <w:color w:val="auto"/>
        </w:rPr>
        <w:t>that it will hold all sums held by it as such agent for the payment of the principal (including the Fundamental Change Repurchase Price, if applicable) of, the Settlement Amounts owed on conversion to the extent they include cash, and accrued and unpaid interest on, the Notes in trust for the benefit of the Holders of the Notes;</w:t>
      </w:r>
    </w:p>
    <w:p>
      <w:pPr>
        <w:spacing w:after="0" w:line="106" w:lineRule="exact"/>
        <w:rPr>
          <w:rFonts w:ascii="Arial" w:cs="Arial" w:eastAsia="Arial" w:hAnsi="Arial"/>
          <w:sz w:val="21"/>
          <w:szCs w:val="21"/>
          <w:color w:val="auto"/>
        </w:rPr>
      </w:pPr>
    </w:p>
    <w:p>
      <w:pPr>
        <w:ind w:left="500" w:firstLine="967"/>
        <w:spacing w:after="0" w:line="254" w:lineRule="auto"/>
        <w:tabs>
          <w:tab w:leader="none" w:pos="1916" w:val="left"/>
        </w:tabs>
        <w:numPr>
          <w:ilvl w:val="1"/>
          <w:numId w:val="66"/>
        </w:numPr>
        <w:rPr>
          <w:rFonts w:ascii="Arial" w:cs="Arial" w:eastAsia="Arial" w:hAnsi="Arial"/>
          <w:sz w:val="22"/>
          <w:szCs w:val="22"/>
          <w:color w:val="auto"/>
        </w:rPr>
      </w:pPr>
      <w:r>
        <w:rPr>
          <w:rFonts w:ascii="Arial" w:cs="Arial" w:eastAsia="Arial" w:hAnsi="Arial"/>
          <w:sz w:val="22"/>
          <w:szCs w:val="22"/>
          <w:color w:val="auto"/>
        </w:rPr>
        <w:t>that it will give the Trustee prompt written notice of any failure by the Company to make any payment of the principal (including the Fundamental Change Repurchase Price, if applicable) of, the Settlement Amounts owed on conversion to the extent they include cash, and accrued and unpaid interest on, the Notes when the same shall be due and payable; and</w:t>
      </w:r>
    </w:p>
    <w:p>
      <w:pPr>
        <w:spacing w:after="0" w:line="131" w:lineRule="exact"/>
        <w:rPr>
          <w:rFonts w:ascii="Arial" w:cs="Arial" w:eastAsia="Arial" w:hAnsi="Arial"/>
          <w:sz w:val="22"/>
          <w:szCs w:val="22"/>
          <w:color w:val="auto"/>
        </w:rPr>
      </w:pPr>
    </w:p>
    <w:p>
      <w:pPr>
        <w:ind w:left="500" w:right="40" w:firstLine="967"/>
        <w:spacing w:after="0" w:line="276" w:lineRule="auto"/>
        <w:tabs>
          <w:tab w:leader="none" w:pos="1976" w:val="left"/>
        </w:tabs>
        <w:numPr>
          <w:ilvl w:val="1"/>
          <w:numId w:val="66"/>
        </w:numPr>
        <w:rPr>
          <w:rFonts w:ascii="Arial" w:cs="Arial" w:eastAsia="Arial" w:hAnsi="Arial"/>
          <w:sz w:val="22"/>
          <w:szCs w:val="22"/>
          <w:color w:val="auto"/>
        </w:rPr>
      </w:pPr>
      <w:r>
        <w:rPr>
          <w:rFonts w:ascii="Arial" w:cs="Arial" w:eastAsia="Arial" w:hAnsi="Arial"/>
          <w:sz w:val="22"/>
          <w:szCs w:val="22"/>
          <w:color w:val="auto"/>
        </w:rPr>
        <w:t>that at any time during the continuance of an Event of Default, upon request of the Trustee, it will forthwith pay to the Trustee all sums so held in trust.</w:t>
      </w:r>
    </w:p>
    <w:p>
      <w:pPr>
        <w:spacing w:after="0" w:line="106" w:lineRule="exact"/>
        <w:rPr>
          <w:rFonts w:ascii="Arial" w:cs="Arial" w:eastAsia="Arial" w:hAnsi="Arial"/>
          <w:sz w:val="22"/>
          <w:szCs w:val="22"/>
          <w:color w:val="auto"/>
        </w:rPr>
      </w:pPr>
    </w:p>
    <w:p>
      <w:pPr>
        <w:ind w:left="120" w:firstLine="847"/>
        <w:spacing w:after="0" w:line="294" w:lineRule="auto"/>
        <w:tabs>
          <w:tab w:leader="none" w:pos="1389" w:val="left"/>
        </w:tabs>
        <w:numPr>
          <w:ilvl w:val="0"/>
          <w:numId w:val="67"/>
        </w:numPr>
        <w:rPr>
          <w:rFonts w:ascii="Arial" w:cs="Arial" w:eastAsia="Arial" w:hAnsi="Arial"/>
          <w:sz w:val="19"/>
          <w:szCs w:val="19"/>
          <w:color w:val="auto"/>
        </w:rPr>
      </w:pPr>
      <w:r>
        <w:rPr>
          <w:rFonts w:ascii="Arial" w:cs="Arial" w:eastAsia="Arial" w:hAnsi="Arial"/>
          <w:sz w:val="19"/>
          <w:szCs w:val="19"/>
          <w:color w:val="auto"/>
        </w:rPr>
        <w:t>If the Company shall act as its own Paying Agent, it will, on or before each due date of the principal (including the Fundamental Change Repurchase Price, if applicable) of, the Settlement Amounts owed on conversion to the extent they include cash, and accrued and unpaid interest on, the Notes, set aside, segregate and hold in trust for the benefit of the Holders of the Notes a sum sufficient to pay such principal (including the Fundamental Change Repurchase Price, if applicable), the Settlement Amounts owed on conversion to the extent they include cash and accrued and unpaid interest so becoming due and will promptly notify the Trustee in writing of any failure to take such action and of any failure by the Company to make any payment of the principal (including the Fundamental Change Repurchase Price, if</w:t>
      </w: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320"/>
          </w:cols>
          <w:pgMar w:left="240" w:top="375" w:right="339" w:bottom="1440" w:gutter="0" w:footer="0" w:header="0"/>
        </w:sectPr>
      </w:pPr>
    </w:p>
    <w:bookmarkStart w:id="105" w:name="page106"/>
    <w:bookmarkEnd w:id="105"/>
    <w:p>
      <w:pPr>
        <w:ind w:left="120" w:right="60"/>
        <w:spacing w:after="0" w:line="263" w:lineRule="auto"/>
        <w:rPr>
          <w:sz w:val="20"/>
          <w:szCs w:val="20"/>
          <w:color w:val="auto"/>
        </w:rPr>
      </w:pPr>
      <w:r>
        <w:rPr>
          <w:rFonts w:ascii="Arial" w:cs="Arial" w:eastAsia="Arial" w:hAnsi="Arial"/>
          <w:sz w:val="22"/>
          <w:szCs w:val="22"/>
          <w:color w:val="auto"/>
        </w:rPr>
        <w:t>applicable) of, the Settlement Amounts owed on conversion to the extent they include cash, or accrued and unpaid interest on, the Notes when the same shall become due and payable.</w:t>
      </w:r>
    </w:p>
    <w:p>
      <w:pPr>
        <w:spacing w:after="0" w:line="175" w:lineRule="exact"/>
        <w:rPr>
          <w:sz w:val="20"/>
          <w:szCs w:val="20"/>
          <w:color w:val="auto"/>
        </w:rPr>
      </w:pPr>
    </w:p>
    <w:p>
      <w:pPr>
        <w:ind w:left="120" w:right="180" w:firstLine="847"/>
        <w:spacing w:after="0" w:line="250" w:lineRule="auto"/>
        <w:tabs>
          <w:tab w:leader="none" w:pos="1377"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spacing w:after="0" w:line="188" w:lineRule="exact"/>
        <w:rPr>
          <w:rFonts w:ascii="Arial" w:cs="Arial" w:eastAsia="Arial" w:hAnsi="Arial"/>
          <w:sz w:val="22"/>
          <w:szCs w:val="22"/>
          <w:color w:val="auto"/>
        </w:rPr>
      </w:pPr>
    </w:p>
    <w:p>
      <w:pPr>
        <w:ind w:left="120" w:right="40" w:firstLine="847"/>
        <w:spacing w:after="0" w:line="291" w:lineRule="auto"/>
        <w:tabs>
          <w:tab w:leader="none" w:pos="1389" w:val="left"/>
        </w:tabs>
        <w:numPr>
          <w:ilvl w:val="0"/>
          <w:numId w:val="68"/>
        </w:numPr>
        <w:rPr>
          <w:rFonts w:ascii="Arial" w:cs="Arial" w:eastAsia="Arial" w:hAnsi="Arial"/>
          <w:sz w:val="19"/>
          <w:szCs w:val="19"/>
          <w:color w:val="auto"/>
        </w:rPr>
      </w:pPr>
      <w:r>
        <w:rPr>
          <w:rFonts w:ascii="Arial" w:cs="Arial" w:eastAsia="Arial" w:hAnsi="Arial"/>
          <w:sz w:val="19"/>
          <w:szCs w:val="19"/>
          <w:color w:val="auto"/>
        </w:rPr>
        <w:t>Subject to any applicable escheat laws, any money deposited with the Trustee or any Paying Agent, or then held by the Company, in trust for the payment of the principal (including the Fundamental Change Repurchase Price, if applicable) of, the Settlement Amounts owed on conversion to the extent they include cash, and accrued and unpaid interest on, any Note and remaining unclaimed for two years after such principal (including the Fundamental Change Repurchase Price, if applicable), the Settlement Amounts owed on conversion to the extent they include cash, or interest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trust money, and all liability of the Company as trustee thereof, shall thereupon cease.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Section 4.05</w:t>
      </w:r>
      <w:r>
        <w:rPr>
          <w:rFonts w:ascii="Arial" w:cs="Arial" w:eastAsia="Arial" w:hAnsi="Arial"/>
          <w:sz w:val="22"/>
          <w:szCs w:val="22"/>
          <w:i w:val="1"/>
          <w:iCs w:val="1"/>
          <w:color w:val="auto"/>
        </w:rPr>
        <w:t>.</w:t>
      </w:r>
      <w:r>
        <w:rPr>
          <w:rFonts w:ascii="Arial" w:cs="Arial" w:eastAsia="Arial" w:hAnsi="Arial"/>
          <w:sz w:val="22"/>
          <w:szCs w:val="22"/>
          <w:color w:val="auto"/>
        </w:rPr>
        <w:t xml:space="preserve"> [Reserved].</w:t>
      </w:r>
    </w:p>
    <w:p>
      <w:pPr>
        <w:spacing w:after="0" w:line="220"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Section 4.06</w:t>
      </w:r>
      <w:r>
        <w:rPr>
          <w:rFonts w:ascii="Arial" w:cs="Arial" w:eastAsia="Arial" w:hAnsi="Arial"/>
          <w:sz w:val="19"/>
          <w:szCs w:val="19"/>
          <w:i w:val="1"/>
          <w:iCs w:val="1"/>
          <w:color w:val="auto"/>
        </w:rPr>
        <w:t>. Rule 144A Information Requirement; Reporting; and Additional Interest.</w:t>
      </w:r>
      <w:r>
        <w:rPr>
          <w:rFonts w:ascii="Arial" w:cs="Arial" w:eastAsia="Arial" w:hAnsi="Arial"/>
          <w:sz w:val="19"/>
          <w:szCs w:val="19"/>
          <w:color w:val="auto"/>
        </w:rPr>
        <w:t xml:space="preserve"> (a) For as long as any Notes are outstanding hereunder, at any time the Company is not subject to Sections 13 and 15(d) of the Exchange Act, the Company shall, so long as any of the Notes or any shares of Common Stock issued upon conversion of the Notes shall, at such time, constitute “restricted securities” within the meaning of Rule 144(a)(3) under the Securities Act, promptly provide to the Trustee and shall, upon written request, provide to any Holder, beneficial owner or prospective purchaser of such Notes or any shares of Common Stock issued upon conversion of the Notes, the information required to be delivered pursuant to Rule 144A(d)(4) under the Securities Act to facilitate the resale of such Notes or such Common Stock, as the case may be, pursuant to Rule 144A under the Securities Act.</w:t>
      </w:r>
    </w:p>
    <w:p>
      <w:pPr>
        <w:spacing w:after="0" w:line="97" w:lineRule="exact"/>
        <w:rPr>
          <w:sz w:val="20"/>
          <w:szCs w:val="20"/>
          <w:color w:val="auto"/>
        </w:rPr>
      </w:pPr>
    </w:p>
    <w:p>
      <w:pPr>
        <w:ind w:left="120" w:firstLine="847"/>
        <w:spacing w:after="0" w:line="297" w:lineRule="auto"/>
        <w:tabs>
          <w:tab w:leader="none" w:pos="1389"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Company shall file with the Trustee within 15 days after the same are required to be filed with the Commission (after giving effect to any grace period provided by Rule 12b-25 under the Exchange Act or any successor rule under the Exchange Act), copies of any documents or reports that the Company is required to file with the Commission pursuant to Section 13 or 15(d) of the Exchange Act (excluding any such information, documents or reports, or portions thereof, subject to confidential treatment and any correspondence with the Commission). Any such document or report that the Company files with the Commission via the Commission’s EDGAR system (or any successor thereto) shall be deemed to be filed with</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00"/>
          </w:cols>
          <w:pgMar w:left="240" w:top="375" w:right="259" w:bottom="1440" w:gutter="0" w:footer="0" w:header="0"/>
        </w:sectPr>
      </w:pPr>
    </w:p>
    <w:bookmarkStart w:id="106" w:name="page107"/>
    <w:bookmarkEnd w:id="106"/>
    <w:p>
      <w:pPr>
        <w:ind w:right="900"/>
        <w:spacing w:after="0" w:line="263" w:lineRule="auto"/>
        <w:rPr>
          <w:sz w:val="20"/>
          <w:szCs w:val="20"/>
          <w:color w:val="auto"/>
        </w:rPr>
      </w:pPr>
      <w:r>
        <w:rPr>
          <w:rFonts w:ascii="Arial" w:cs="Arial" w:eastAsia="Arial" w:hAnsi="Arial"/>
          <w:sz w:val="22"/>
          <w:szCs w:val="22"/>
          <w:color w:val="auto"/>
        </w:rPr>
        <w:t>the Trustee for purposes of this Section 4.06(b) as of the time such documents are filed via the EDGAR system (or such successor).</w:t>
      </w:r>
    </w:p>
    <w:p>
      <w:pPr>
        <w:spacing w:after="0" w:line="121" w:lineRule="exact"/>
        <w:rPr>
          <w:sz w:val="20"/>
          <w:szCs w:val="20"/>
          <w:color w:val="auto"/>
        </w:rPr>
      </w:pPr>
    </w:p>
    <w:p>
      <w:pPr>
        <w:ind w:right="40" w:firstLine="847"/>
        <w:spacing w:after="0" w:line="262" w:lineRule="auto"/>
        <w:tabs>
          <w:tab w:leader="none" w:pos="1257" w:val="left"/>
        </w:tabs>
        <w:numPr>
          <w:ilvl w:val="0"/>
          <w:numId w:val="70"/>
        </w:numPr>
        <w:rPr>
          <w:rFonts w:ascii="Arial" w:cs="Arial" w:eastAsia="Arial" w:hAnsi="Arial"/>
          <w:sz w:val="21"/>
          <w:szCs w:val="21"/>
          <w:color w:val="auto"/>
        </w:rPr>
      </w:pPr>
      <w:r>
        <w:rPr>
          <w:rFonts w:ascii="Arial" w:cs="Arial" w:eastAsia="Arial" w:hAnsi="Arial"/>
          <w:sz w:val="21"/>
          <w:szCs w:val="21"/>
          <w:color w:val="auto"/>
        </w:rPr>
        <w:t>Delivery of the reports, information and documents described in Section 4.06(b)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conclusively rely on an Officers’ Certificate). The Trustee shall not be obligated to monitor or confirm, on a continuing basis or otherwise, the Company’s compliance with the covenants or with respect to any reports or other documents filed with the Commission or the Commission’s EDGAR system or any website under this Indenture or participate in any conference calls.</w:t>
      </w:r>
    </w:p>
    <w:p>
      <w:pPr>
        <w:spacing w:after="0" w:line="126" w:lineRule="exact"/>
        <w:rPr>
          <w:rFonts w:ascii="Arial" w:cs="Arial" w:eastAsia="Arial" w:hAnsi="Arial"/>
          <w:sz w:val="21"/>
          <w:szCs w:val="21"/>
          <w:color w:val="auto"/>
        </w:rPr>
      </w:pPr>
    </w:p>
    <w:p>
      <w:pPr>
        <w:ind w:right="100" w:firstLine="847"/>
        <w:spacing w:after="0" w:line="286" w:lineRule="auto"/>
        <w:tabs>
          <w:tab w:leader="none" w:pos="1269" w:val="left"/>
        </w:tabs>
        <w:numPr>
          <w:ilvl w:val="0"/>
          <w:numId w:val="70"/>
        </w:numPr>
        <w:rPr>
          <w:rFonts w:ascii="Arial" w:cs="Arial" w:eastAsia="Arial" w:hAnsi="Arial"/>
          <w:sz w:val="19"/>
          <w:szCs w:val="19"/>
          <w:color w:val="auto"/>
        </w:rPr>
      </w:pPr>
      <w:r>
        <w:rPr>
          <w:rFonts w:ascii="Arial" w:cs="Arial" w:eastAsia="Arial" w:hAnsi="Arial"/>
          <w:sz w:val="19"/>
          <w:szCs w:val="19"/>
          <w:color w:val="auto"/>
        </w:rPr>
        <w:t>Subject to Section 6.03(b), if, at any time during the six-month period beginning on, and including, the date that is six months after the Issue Date, the Company fails to timely file any document or report that it is required to file with the Commission pursuant to Section 13 or 15(d) of the Exchange Act, as applicable (after giving effect to all applicable grace period thereunder and other than reports on Form 8-K), or the Notes are not otherwise freely tradable pursuant to Rule 144 by Holders other than the Company’s Affiliates or Holders that were the Company’s Affiliates at any time during the three months immediately preceding (as a result of restrictions pursuant to U.S. federal securities laws or the terms of this Indenture or the Notes), the Company shall pay Additional Interest on the Notes. Additional Interest shall accrue on the Notes at a rate equal</w:t>
      </w:r>
    </w:p>
    <w:p>
      <w:pPr>
        <w:spacing w:after="0" w:line="5" w:lineRule="exact"/>
        <w:rPr>
          <w:rFonts w:ascii="Arial" w:cs="Arial" w:eastAsia="Arial" w:hAnsi="Arial"/>
          <w:sz w:val="19"/>
          <w:szCs w:val="19"/>
          <w:color w:val="auto"/>
        </w:rPr>
      </w:pPr>
    </w:p>
    <w:p>
      <w:pPr>
        <w:spacing w:after="0" w:line="257" w:lineRule="auto"/>
        <w:rPr>
          <w:rFonts w:ascii="Arial" w:cs="Arial" w:eastAsia="Arial" w:hAnsi="Arial"/>
          <w:sz w:val="19"/>
          <w:szCs w:val="19"/>
          <w:color w:val="auto"/>
        </w:rPr>
      </w:pPr>
      <w:r>
        <w:rPr>
          <w:rFonts w:ascii="Arial" w:cs="Arial" w:eastAsia="Arial" w:hAnsi="Arial"/>
          <w:sz w:val="21"/>
          <w:szCs w:val="21"/>
          <w:color w:val="auto"/>
        </w:rPr>
        <w:t>to 0.50% per annum of the principal amount of the Notes outstanding for each day during such period for which the Company’s failure to file has occurred and is continuing or the Notes are not otherwise freely tradable by Holders other than the Company’s Affiliates or Holders that have been the Company’s Affiliates at any time during the three months immediately preceding without restrictions pursuant to U.S. federal securities laws or the terms of this Indenture or the Notes. For the avoidance of doubt, as used in this Section 4.06(d), documents or reports that the Company is required to “file” with the Commission pursuant to Section 13 or 15(d) of the Exchange Act does not include documents or reports that the Company furnishes to the Commission pursuant to Section 13 or 15(d) of the Exchange Act.</w:t>
      </w:r>
    </w:p>
    <w:p>
      <w:pPr>
        <w:spacing w:after="0" w:line="130" w:lineRule="exact"/>
        <w:rPr>
          <w:rFonts w:ascii="Arial" w:cs="Arial" w:eastAsia="Arial" w:hAnsi="Arial"/>
          <w:sz w:val="19"/>
          <w:szCs w:val="19"/>
          <w:color w:val="auto"/>
        </w:rPr>
      </w:pPr>
    </w:p>
    <w:p>
      <w:pPr>
        <w:ind w:right="20" w:firstLine="847"/>
        <w:spacing w:after="0" w:line="260" w:lineRule="auto"/>
        <w:tabs>
          <w:tab w:leader="none" w:pos="1257" w:val="left"/>
        </w:tabs>
        <w:numPr>
          <w:ilvl w:val="0"/>
          <w:numId w:val="70"/>
        </w:numPr>
        <w:rPr>
          <w:rFonts w:ascii="Arial" w:cs="Arial" w:eastAsia="Arial" w:hAnsi="Arial"/>
          <w:sz w:val="21"/>
          <w:szCs w:val="21"/>
          <w:color w:val="auto"/>
        </w:rPr>
      </w:pPr>
      <w:r>
        <w:rPr>
          <w:rFonts w:ascii="Arial" w:cs="Arial" w:eastAsia="Arial" w:hAnsi="Arial"/>
          <w:sz w:val="21"/>
          <w:szCs w:val="21"/>
          <w:color w:val="auto"/>
        </w:rPr>
        <w:t>Subject to Section 4.06(f) and Section 6.03(b), if, and for so long as, the restrictive legend on the Notes specified in Section 2.05(b) has not been removed (or deemed removed), the Notes are assigned a restricted CUSIP number or the Notes are not otherwise freely tradable as described in Section 4.06(d) by Holders other than the Company’s Affiliates or Holders that were the Company’s Affiliates at any time during the three months immediately preceding without restrictions pursuant to U.S. federal securities law or the terms of this Indenture or the Notes as of the 380th day after the Issue Date, the Company shall pay Additional Interest on the Notes at a rate equal to 0.50% per annum of the principal amount of Notes outstanding until the restrictive legend on the Notes has been removed (or deemed removed), the Notes are assigned an unrestricted CUSIP number and the Notes are freely tradable by Holders other than the Company’s Affiliates (or Holders that were the Company’s Affiliates at any time during the three months preceding) without restrictions pursuant to U.S. federal securities laws or the terms of this Indenture or the Notes.</w:t>
      </w:r>
    </w:p>
    <w:p>
      <w:pPr>
        <w:spacing w:after="0" w:line="369"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60"/>
          </w:cols>
          <w:pgMar w:left="360" w:top="375" w:right="279" w:bottom="1440" w:gutter="0" w:footer="0" w:header="0"/>
        </w:sectPr>
      </w:pPr>
    </w:p>
    <w:bookmarkStart w:id="107" w:name="page108"/>
    <w:bookmarkEnd w:id="107"/>
    <w:p>
      <w:pPr>
        <w:ind w:left="120" w:right="160" w:firstLine="847"/>
        <w:spacing w:after="0" w:line="300" w:lineRule="auto"/>
        <w:tabs>
          <w:tab w:leader="none" w:pos="1353" w:val="left"/>
        </w:tabs>
        <w:numPr>
          <w:ilvl w:val="0"/>
          <w:numId w:val="71"/>
        </w:numPr>
        <w:rPr>
          <w:rFonts w:ascii="Arial" w:cs="Arial" w:eastAsia="Arial" w:hAnsi="Arial"/>
          <w:sz w:val="19"/>
          <w:szCs w:val="19"/>
          <w:color w:val="auto"/>
        </w:rPr>
      </w:pPr>
      <w:r>
        <w:rPr>
          <w:rFonts w:ascii="Arial" w:cs="Arial" w:eastAsia="Arial" w:hAnsi="Arial"/>
          <w:sz w:val="19"/>
          <w:szCs w:val="19"/>
          <w:color w:val="auto"/>
        </w:rPr>
        <w:t>Additional Interest will be payable in arrears on each Interest Payment Date following accrual in the same manner as regular interest on the Notes and shall be in addition to any Additional Interest that may accrue, at the Company’s election, pursuant to Section 6.03. In no event, however, will Additional Interest accrue on any day (taking into consideration any Additional Interest payable as described in Section 4.06(d), Section 4.06(e) or Section 6.03(a)) at a rate in excess of 0.50% per annum, regardless of the number of events or circumstances giving rise to the requirement to pay such Additional Interest.</w:t>
      </w:r>
    </w:p>
    <w:p>
      <w:pPr>
        <w:spacing w:after="0" w:line="93" w:lineRule="exact"/>
        <w:rPr>
          <w:rFonts w:ascii="Arial" w:cs="Arial" w:eastAsia="Arial" w:hAnsi="Arial"/>
          <w:sz w:val="19"/>
          <w:szCs w:val="19"/>
          <w:color w:val="auto"/>
        </w:rPr>
      </w:pPr>
    </w:p>
    <w:p>
      <w:pPr>
        <w:ind w:left="120" w:firstLine="847"/>
        <w:spacing w:after="0" w:line="251" w:lineRule="auto"/>
        <w:tabs>
          <w:tab w:leader="none" w:pos="1389" w:val="left"/>
        </w:tabs>
        <w:numPr>
          <w:ilvl w:val="0"/>
          <w:numId w:val="71"/>
        </w:numPr>
        <w:rPr>
          <w:rFonts w:ascii="Arial" w:cs="Arial" w:eastAsia="Arial" w:hAnsi="Arial"/>
          <w:sz w:val="22"/>
          <w:szCs w:val="22"/>
          <w:color w:val="auto"/>
        </w:rPr>
      </w:pPr>
      <w:r>
        <w:rPr>
          <w:rFonts w:ascii="Arial" w:cs="Arial" w:eastAsia="Arial" w:hAnsi="Arial"/>
          <w:sz w:val="22"/>
          <w:szCs w:val="22"/>
          <w:color w:val="auto"/>
        </w:rPr>
        <w:t>If Additional Interest is payable by the Company pursuant to Section 4.06(d), Section 4.06(e) or Section 6.03(a), the Company shall deliver to the Trustee an Officers’ Certificate to that effect stating (i) the amount of such Additional Interest that is payable and (ii) the date on which such Additional Interest is payable. Unless and until a Responsible Officer of the Trustee receives at the Corporate Trust Office such a certificate, the Trustee may assume without inquiry that no such Additional Interest is payable.</w:t>
      </w:r>
    </w:p>
    <w:p>
      <w:pPr>
        <w:spacing w:after="0" w:line="136" w:lineRule="exact"/>
        <w:rPr>
          <w:sz w:val="20"/>
          <w:szCs w:val="20"/>
          <w:color w:val="auto"/>
        </w:rPr>
      </w:pPr>
    </w:p>
    <w:p>
      <w:pPr>
        <w:ind w:right="20"/>
        <w:spacing w:after="0" w:line="294" w:lineRule="auto"/>
        <w:rPr>
          <w:sz w:val="20"/>
          <w:szCs w:val="20"/>
          <w:color w:val="auto"/>
        </w:rPr>
      </w:pPr>
      <w:r>
        <w:rPr>
          <w:rFonts w:ascii="Arial" w:cs="Arial" w:eastAsia="Arial" w:hAnsi="Arial"/>
          <w:sz w:val="19"/>
          <w:szCs w:val="19"/>
          <w:color w:val="auto"/>
        </w:rPr>
        <w:t>Section 4.07</w:t>
      </w:r>
      <w:r>
        <w:rPr>
          <w:rFonts w:ascii="Arial" w:cs="Arial" w:eastAsia="Arial" w:hAnsi="Arial"/>
          <w:sz w:val="19"/>
          <w:szCs w:val="19"/>
          <w:i w:val="1"/>
          <w:iCs w:val="1"/>
          <w:color w:val="auto"/>
        </w:rPr>
        <w:t>. Stay, Extension and Usury Laws.</w:t>
      </w:r>
      <w:r>
        <w:rPr>
          <w:rFonts w:ascii="Arial" w:cs="Arial" w:eastAsia="Arial" w:hAnsi="Arial"/>
          <w:sz w:val="19"/>
          <w:szCs w:val="19"/>
          <w:color w:val="auto"/>
        </w:rPr>
        <w:t xml:space="preserve"> The Company covenants (to the extent that it may lawfully do so) that it shall not at any time insist upon, plead, or in any manner whatsoever claim or take the benefit or advantage of, any stay, extension or usury law wherever enacted, now or at any time hereafter in force, that may affect the covenants or the performance of this Indenture; and the Company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Section 4.08</w:t>
      </w:r>
      <w:r>
        <w:rPr>
          <w:rFonts w:ascii="Arial" w:cs="Arial" w:eastAsia="Arial" w:hAnsi="Arial"/>
          <w:sz w:val="22"/>
          <w:szCs w:val="22"/>
          <w:i w:val="1"/>
          <w:iCs w:val="1"/>
          <w:color w:val="auto"/>
        </w:rPr>
        <w:t>. Compliance Certificate; Statements as to Defaults.</w:t>
      </w:r>
    </w:p>
    <w:p>
      <w:pPr>
        <w:spacing w:after="0" w:line="220" w:lineRule="exact"/>
        <w:rPr>
          <w:sz w:val="20"/>
          <w:szCs w:val="20"/>
          <w:color w:val="auto"/>
        </w:rPr>
      </w:pPr>
    </w:p>
    <w:p>
      <w:pPr>
        <w:ind w:left="120" w:firstLine="847"/>
        <w:spacing w:after="0" w:line="278" w:lineRule="auto"/>
        <w:tabs>
          <w:tab w:leader="none" w:pos="1377" w:val="left"/>
        </w:tabs>
        <w:numPr>
          <w:ilvl w:val="0"/>
          <w:numId w:val="72"/>
        </w:numPr>
        <w:rPr>
          <w:rFonts w:ascii="Arial" w:cs="Arial" w:eastAsia="Arial" w:hAnsi="Arial"/>
          <w:sz w:val="21"/>
          <w:szCs w:val="21"/>
          <w:color w:val="auto"/>
        </w:rPr>
      </w:pPr>
      <w:r>
        <w:rPr>
          <w:rFonts w:ascii="Arial" w:cs="Arial" w:eastAsia="Arial" w:hAnsi="Arial"/>
          <w:sz w:val="21"/>
          <w:szCs w:val="21"/>
          <w:color w:val="auto"/>
        </w:rPr>
        <w:t>The Company shall deliver to the Trustee, within 120 days after the end of each fiscal year (beginning with the year ended December 31, 2017), an Officers’ Certificate stating whether the signers thereof have knowledge of any Default that occurred during the previous year, if so, specifying each such failure and the nature thereof.</w:t>
      </w:r>
    </w:p>
    <w:p>
      <w:pPr>
        <w:spacing w:after="0" w:line="160" w:lineRule="exact"/>
        <w:rPr>
          <w:rFonts w:ascii="Arial" w:cs="Arial" w:eastAsia="Arial" w:hAnsi="Arial"/>
          <w:sz w:val="21"/>
          <w:szCs w:val="21"/>
          <w:color w:val="auto"/>
        </w:rPr>
      </w:pPr>
    </w:p>
    <w:p>
      <w:pPr>
        <w:ind w:left="120" w:right="180" w:firstLine="847"/>
        <w:spacing w:after="0" w:line="320" w:lineRule="auto"/>
        <w:tabs>
          <w:tab w:leader="none" w:pos="1389"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Company shall, so long as any of the Notes are outstanding, deliver to the Trustee an Officers’ Certificate within 30 days after the occurrence of any event that would constitute a Default or Event of Default, specifying each such event, the status thereof and what action the Company is taking or proposes to take with respect thereto.</w:t>
      </w:r>
    </w:p>
    <w:p>
      <w:pPr>
        <w:spacing w:after="0" w:line="125" w:lineRule="exact"/>
        <w:rPr>
          <w:sz w:val="20"/>
          <w:szCs w:val="20"/>
          <w:color w:val="auto"/>
        </w:rPr>
      </w:pPr>
    </w:p>
    <w:p>
      <w:pPr>
        <w:ind w:right="340"/>
        <w:spacing w:after="0" w:line="253" w:lineRule="auto"/>
        <w:rPr>
          <w:sz w:val="20"/>
          <w:szCs w:val="20"/>
          <w:color w:val="auto"/>
        </w:rPr>
      </w:pPr>
      <w:r>
        <w:rPr>
          <w:rFonts w:ascii="Arial" w:cs="Arial" w:eastAsia="Arial" w:hAnsi="Arial"/>
          <w:sz w:val="22"/>
          <w:szCs w:val="22"/>
          <w:color w:val="auto"/>
        </w:rPr>
        <w:t>Section 4.09</w:t>
      </w:r>
      <w:r>
        <w:rPr>
          <w:rFonts w:ascii="Arial" w:cs="Arial" w:eastAsia="Arial" w:hAnsi="Arial"/>
          <w:sz w:val="22"/>
          <w:szCs w:val="22"/>
          <w:i w:val="1"/>
          <w:iCs w:val="1"/>
          <w:color w:val="auto"/>
        </w:rPr>
        <w:t>. Further Instruments and Acts.</w:t>
      </w:r>
      <w:r>
        <w:rPr>
          <w:rFonts w:ascii="Arial" w:cs="Arial" w:eastAsia="Arial" w:hAnsi="Arial"/>
          <w:sz w:val="22"/>
          <w:szCs w:val="22"/>
          <w:color w:val="auto"/>
        </w:rPr>
        <w:t xml:space="preserve"> Upon request of the Trustee, the Company will execute and deliver such further instruments and do such further acts as may be reasonably necessary or proper to carry out more effectively the purposes of this Indenture.</w:t>
      </w:r>
    </w:p>
    <w:p>
      <w:pPr>
        <w:spacing w:after="0" w:line="186" w:lineRule="exact"/>
        <w:rPr>
          <w:sz w:val="20"/>
          <w:szCs w:val="20"/>
          <w:color w:val="auto"/>
        </w:rPr>
      </w:pPr>
    </w:p>
    <w:p>
      <w:pPr>
        <w:ind w:right="640"/>
        <w:spacing w:after="0" w:line="343" w:lineRule="auto"/>
        <w:rPr>
          <w:sz w:val="20"/>
          <w:szCs w:val="20"/>
          <w:color w:val="auto"/>
        </w:rPr>
      </w:pPr>
      <w:r>
        <w:rPr>
          <w:rFonts w:ascii="Arial" w:cs="Arial" w:eastAsia="Arial" w:hAnsi="Arial"/>
          <w:sz w:val="19"/>
          <w:szCs w:val="19"/>
          <w:color w:val="auto"/>
        </w:rPr>
        <w:t xml:space="preserve">Section 4.10. </w:t>
      </w:r>
      <w:r>
        <w:rPr>
          <w:rFonts w:ascii="Arial" w:cs="Arial" w:eastAsia="Arial" w:hAnsi="Arial"/>
          <w:sz w:val="19"/>
          <w:szCs w:val="19"/>
          <w:i w:val="1"/>
          <w:iCs w:val="1"/>
          <w:color w:val="auto"/>
        </w:rPr>
        <w:t>No Rights as Stockholders.</w:t>
      </w:r>
      <w:r>
        <w:rPr>
          <w:rFonts w:ascii="Arial" w:cs="Arial" w:eastAsia="Arial" w:hAnsi="Arial"/>
          <w:sz w:val="19"/>
          <w:szCs w:val="19"/>
          <w:color w:val="auto"/>
        </w:rPr>
        <w:t xml:space="preserve"> Holders of Notes, as such, will not have any rights as stockholders of the Company (including, without limitation, voting rights and rights to receive any dividends or other distributions on Common Stock).</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00"/>
          </w:cols>
          <w:pgMar w:left="240" w:top="375" w:right="259" w:bottom="1440" w:gutter="0" w:footer="0" w:header="0"/>
        </w:sectPr>
      </w:pPr>
    </w:p>
    <w:bookmarkStart w:id="108" w:name="page109"/>
    <w:bookmarkEnd w:id="108"/>
    <w:p>
      <w:pPr>
        <w:ind w:left="5180"/>
        <w:spacing w:after="0"/>
        <w:rPr>
          <w:sz w:val="20"/>
          <w:szCs w:val="20"/>
          <w:color w:val="auto"/>
        </w:rPr>
      </w:pPr>
      <w:r>
        <w:rPr>
          <w:rFonts w:ascii="Arial" w:cs="Arial" w:eastAsia="Arial" w:hAnsi="Arial"/>
          <w:sz w:val="22"/>
          <w:szCs w:val="22"/>
          <w:color w:val="auto"/>
        </w:rPr>
        <w:t>ARTICLE 5</w:t>
      </w:r>
    </w:p>
    <w:p>
      <w:pPr>
        <w:spacing w:after="0" w:line="25"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ESERVED</w:t>
      </w:r>
      <w:r>
        <w:rPr>
          <w:rFonts w:ascii="Arial" w:cs="Arial" w:eastAsia="Arial" w:hAnsi="Arial"/>
          <w:sz w:val="22"/>
          <w:szCs w:val="22"/>
          <w:color w:val="auto"/>
        </w:rPr>
        <w:t>]</w:t>
      </w: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ARTICLE 6</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D</w:t>
      </w:r>
      <w:r>
        <w:rPr>
          <w:rFonts w:ascii="Arial" w:cs="Arial" w:eastAsia="Arial" w:hAnsi="Arial"/>
          <w:sz w:val="18"/>
          <w:szCs w:val="18"/>
          <w:color w:val="auto"/>
        </w:rPr>
        <w:t>EFAULTS AND</w:t>
      </w:r>
      <w:r>
        <w:rPr>
          <w:rFonts w:ascii="Arial" w:cs="Arial" w:eastAsia="Arial" w:hAnsi="Arial"/>
          <w:sz w:val="22"/>
          <w:szCs w:val="22"/>
          <w:color w:val="auto"/>
        </w:rPr>
        <w:t xml:space="preserve"> R</w:t>
      </w:r>
      <w:r>
        <w:rPr>
          <w:rFonts w:ascii="Arial" w:cs="Arial" w:eastAsia="Arial" w:hAnsi="Arial"/>
          <w:sz w:val="18"/>
          <w:szCs w:val="18"/>
          <w:color w:val="auto"/>
        </w:rPr>
        <w:t>EMEDIES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Section 6.01</w:t>
      </w:r>
      <w:r>
        <w:rPr>
          <w:rFonts w:ascii="Arial" w:cs="Arial" w:eastAsia="Arial" w:hAnsi="Arial"/>
          <w:sz w:val="22"/>
          <w:szCs w:val="22"/>
          <w:i w:val="1"/>
          <w:iCs w:val="1"/>
          <w:color w:val="auto"/>
        </w:rPr>
        <w:t>. Events of Default.</w:t>
      </w:r>
      <w:r>
        <w:rPr>
          <w:rFonts w:ascii="Arial" w:cs="Arial" w:eastAsia="Arial" w:hAnsi="Arial"/>
          <w:sz w:val="22"/>
          <w:szCs w:val="22"/>
          <w:color w:val="auto"/>
        </w:rPr>
        <w:t xml:space="preserve"> The following events shall be “</w:t>
      </w:r>
      <w:r>
        <w:rPr>
          <w:rFonts w:ascii="Arial" w:cs="Arial" w:eastAsia="Arial" w:hAnsi="Arial"/>
          <w:sz w:val="22"/>
          <w:szCs w:val="22"/>
          <w:b w:val="1"/>
          <w:bCs w:val="1"/>
          <w:color w:val="auto"/>
        </w:rPr>
        <w:t>Events of Default</w:t>
      </w:r>
      <w:r>
        <w:rPr>
          <w:rFonts w:ascii="Arial" w:cs="Arial" w:eastAsia="Arial" w:hAnsi="Arial"/>
          <w:sz w:val="22"/>
          <w:szCs w:val="22"/>
          <w:color w:val="auto"/>
        </w:rPr>
        <w:t>” with respect to the Notes:</w:t>
      </w:r>
    </w:p>
    <w:p>
      <w:pPr>
        <w:spacing w:after="0" w:line="172" w:lineRule="exact"/>
        <w:rPr>
          <w:sz w:val="20"/>
          <w:szCs w:val="20"/>
          <w:color w:val="auto"/>
        </w:rPr>
      </w:pPr>
    </w:p>
    <w:p>
      <w:pPr>
        <w:ind w:left="960"/>
        <w:spacing w:after="0"/>
        <w:tabs>
          <w:tab w:leader="none" w:pos="13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default in any payment of interest on any Note when due and payable, and the default continues for a period of 30</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days;</w:t>
      </w:r>
    </w:p>
    <w:p>
      <w:pPr>
        <w:spacing w:after="0" w:line="161" w:lineRule="exact"/>
        <w:rPr>
          <w:sz w:val="20"/>
          <w:szCs w:val="20"/>
          <w:color w:val="auto"/>
        </w:rPr>
      </w:pPr>
    </w:p>
    <w:p>
      <w:pPr>
        <w:ind w:left="120" w:right="360" w:firstLine="847"/>
        <w:spacing w:after="0" w:line="276" w:lineRule="auto"/>
        <w:tabs>
          <w:tab w:leader="none" w:pos="1389" w:val="left"/>
        </w:tabs>
        <w:numPr>
          <w:ilvl w:val="1"/>
          <w:numId w:val="73"/>
        </w:numPr>
        <w:rPr>
          <w:rFonts w:ascii="Arial" w:cs="Arial" w:eastAsia="Arial" w:hAnsi="Arial"/>
          <w:sz w:val="22"/>
          <w:szCs w:val="22"/>
          <w:color w:val="auto"/>
        </w:rPr>
      </w:pPr>
      <w:r>
        <w:rPr>
          <w:rFonts w:ascii="Arial" w:cs="Arial" w:eastAsia="Arial" w:hAnsi="Arial"/>
          <w:sz w:val="22"/>
          <w:szCs w:val="22"/>
          <w:color w:val="auto"/>
        </w:rPr>
        <w:t>default in the payment of principal of any Note when due and payable on the Maturity Date, upon any required repurchase, upon declaration of acceleration or otherwise;</w:t>
      </w:r>
    </w:p>
    <w:p>
      <w:pPr>
        <w:spacing w:after="0" w:line="106" w:lineRule="exact"/>
        <w:rPr>
          <w:rFonts w:ascii="Arial" w:cs="Arial" w:eastAsia="Arial" w:hAnsi="Arial"/>
          <w:sz w:val="22"/>
          <w:szCs w:val="22"/>
          <w:color w:val="auto"/>
        </w:rPr>
      </w:pPr>
    </w:p>
    <w:p>
      <w:pPr>
        <w:ind w:left="120" w:right="140" w:firstLine="847"/>
        <w:spacing w:after="0" w:line="260" w:lineRule="auto"/>
        <w:tabs>
          <w:tab w:leader="none" w:pos="1377" w:val="left"/>
        </w:tabs>
        <w:numPr>
          <w:ilvl w:val="1"/>
          <w:numId w:val="73"/>
        </w:numPr>
        <w:rPr>
          <w:rFonts w:ascii="Arial" w:cs="Arial" w:eastAsia="Arial" w:hAnsi="Arial"/>
          <w:sz w:val="22"/>
          <w:szCs w:val="22"/>
          <w:color w:val="auto"/>
        </w:rPr>
      </w:pPr>
      <w:r>
        <w:rPr>
          <w:rFonts w:ascii="Arial" w:cs="Arial" w:eastAsia="Arial" w:hAnsi="Arial"/>
          <w:sz w:val="22"/>
          <w:szCs w:val="22"/>
          <w:color w:val="auto"/>
        </w:rPr>
        <w:t>failure by the Company to comply with its obligation to convert the Notes in accordance with this Indenture upon exercise of a Holder’s conversion right and, in the case of a conversion to which Physical Settlement applies, such failure continues for three Business Days;</w:t>
      </w:r>
    </w:p>
    <w:p>
      <w:pPr>
        <w:spacing w:after="0" w:line="123" w:lineRule="exact"/>
        <w:rPr>
          <w:rFonts w:ascii="Arial" w:cs="Arial" w:eastAsia="Arial" w:hAnsi="Arial"/>
          <w:sz w:val="22"/>
          <w:szCs w:val="22"/>
          <w:color w:val="auto"/>
        </w:rPr>
      </w:pPr>
    </w:p>
    <w:p>
      <w:pPr>
        <w:ind w:left="120" w:right="60" w:firstLine="847"/>
        <w:spacing w:after="0" w:line="260" w:lineRule="auto"/>
        <w:tabs>
          <w:tab w:leader="none" w:pos="1389" w:val="left"/>
        </w:tabs>
        <w:numPr>
          <w:ilvl w:val="1"/>
          <w:numId w:val="73"/>
        </w:numPr>
        <w:rPr>
          <w:rFonts w:ascii="Arial" w:cs="Arial" w:eastAsia="Arial" w:hAnsi="Arial"/>
          <w:sz w:val="22"/>
          <w:szCs w:val="22"/>
          <w:color w:val="auto"/>
        </w:rPr>
      </w:pPr>
      <w:r>
        <w:rPr>
          <w:rFonts w:ascii="Arial" w:cs="Arial" w:eastAsia="Arial" w:hAnsi="Arial"/>
          <w:sz w:val="22"/>
          <w:szCs w:val="22"/>
          <w:color w:val="auto"/>
        </w:rPr>
        <w:t>failure by the Company to issue a Fundamental Change Company Notice in accordance with Section 15.02(c) or notice of a specified corporate transaction in accordance with Section 14.01(b)(ii) or (iii) or a Make-Whole Fundamental Change Company Notice in accordance with Section 14.03(b), in each case when due;</w:t>
      </w:r>
    </w:p>
    <w:p>
      <w:pPr>
        <w:spacing w:after="0" w:line="123" w:lineRule="exact"/>
        <w:rPr>
          <w:rFonts w:ascii="Arial" w:cs="Arial" w:eastAsia="Arial" w:hAnsi="Arial"/>
          <w:sz w:val="22"/>
          <w:szCs w:val="22"/>
          <w:color w:val="auto"/>
        </w:rPr>
      </w:pPr>
    </w:p>
    <w:p>
      <w:pPr>
        <w:ind w:left="1380" w:hanging="413"/>
        <w:spacing w:after="0"/>
        <w:tabs>
          <w:tab w:leader="none" w:pos="1380" w:val="left"/>
        </w:tabs>
        <w:numPr>
          <w:ilvl w:val="1"/>
          <w:numId w:val="73"/>
        </w:numPr>
        <w:rPr>
          <w:rFonts w:ascii="Arial" w:cs="Arial" w:eastAsia="Arial" w:hAnsi="Arial"/>
          <w:sz w:val="22"/>
          <w:szCs w:val="22"/>
          <w:color w:val="auto"/>
        </w:rPr>
      </w:pPr>
      <w:r>
        <w:rPr>
          <w:rFonts w:ascii="Arial" w:cs="Arial" w:eastAsia="Arial" w:hAnsi="Arial"/>
          <w:sz w:val="22"/>
          <w:szCs w:val="22"/>
          <w:color w:val="auto"/>
        </w:rPr>
        <w:t>failure by the Company to comply with its obligations under Article 11;</w:t>
      </w:r>
    </w:p>
    <w:p>
      <w:pPr>
        <w:spacing w:after="0" w:line="179" w:lineRule="exact"/>
        <w:rPr>
          <w:rFonts w:ascii="Arial" w:cs="Arial" w:eastAsia="Arial" w:hAnsi="Arial"/>
          <w:sz w:val="22"/>
          <w:szCs w:val="22"/>
          <w:color w:val="auto"/>
        </w:rPr>
      </w:pPr>
    </w:p>
    <w:p>
      <w:pPr>
        <w:ind w:left="120" w:right="40" w:firstLine="847"/>
        <w:spacing w:after="0" w:line="260" w:lineRule="auto"/>
        <w:tabs>
          <w:tab w:leader="none" w:pos="1353" w:val="left"/>
        </w:tabs>
        <w:numPr>
          <w:ilvl w:val="1"/>
          <w:numId w:val="73"/>
        </w:numPr>
        <w:rPr>
          <w:rFonts w:ascii="Arial" w:cs="Arial" w:eastAsia="Arial" w:hAnsi="Arial"/>
          <w:sz w:val="22"/>
          <w:szCs w:val="22"/>
          <w:color w:val="auto"/>
        </w:rPr>
      </w:pPr>
      <w:r>
        <w:rPr>
          <w:rFonts w:ascii="Arial" w:cs="Arial" w:eastAsia="Arial" w:hAnsi="Arial"/>
          <w:sz w:val="22"/>
          <w:szCs w:val="22"/>
          <w:color w:val="auto"/>
        </w:rPr>
        <w:t>failure by the Company for 60 days after written notice from the Trustee or the Holders of at least 25% in principal amount of the Notes then outstanding has been received by the Company and the Trustee to comply with any of the other agreements of the Company contained in the Notes or this Indenture;</w:t>
      </w:r>
    </w:p>
    <w:p>
      <w:pPr>
        <w:spacing w:after="0" w:line="123" w:lineRule="exact"/>
        <w:rPr>
          <w:rFonts w:ascii="Arial" w:cs="Arial" w:eastAsia="Arial" w:hAnsi="Arial"/>
          <w:sz w:val="22"/>
          <w:szCs w:val="22"/>
          <w:color w:val="auto"/>
        </w:rPr>
      </w:pPr>
    </w:p>
    <w:p>
      <w:pPr>
        <w:ind w:left="120" w:firstLine="847"/>
        <w:spacing w:after="0" w:line="290" w:lineRule="auto"/>
        <w:tabs>
          <w:tab w:leader="none" w:pos="1389" w:val="left"/>
        </w:tabs>
        <w:numPr>
          <w:ilvl w:val="1"/>
          <w:numId w:val="73"/>
        </w:numPr>
        <w:rPr>
          <w:rFonts w:ascii="Arial" w:cs="Arial" w:eastAsia="Arial" w:hAnsi="Arial"/>
          <w:sz w:val="19"/>
          <w:szCs w:val="19"/>
          <w:color w:val="auto"/>
        </w:rPr>
      </w:pPr>
      <w:r>
        <w:rPr>
          <w:rFonts w:ascii="Arial" w:cs="Arial" w:eastAsia="Arial" w:hAnsi="Arial"/>
          <w:sz w:val="19"/>
          <w:szCs w:val="19"/>
          <w:color w:val="auto"/>
        </w:rPr>
        <w:t>default by the Company or any Significant Subsidiary of the Company with respect to any mortgage, agreement or other instrument under which there may be outstanding, or by which there may be secured or evidenced, any indebtedness for money borrowed having a principal amount in excess of $50,000,000 (or its foreign currency equivalent) in the aggregate of the Company and/or any such Significant Subsidiary, whether such indebtedness exists on the Issue Date or shall hereafter be created</w:t>
      </w:r>
    </w:p>
    <w:p>
      <w:pPr>
        <w:spacing w:after="0" w:line="1" w:lineRule="exact"/>
        <w:rPr>
          <w:rFonts w:ascii="Arial" w:cs="Arial" w:eastAsia="Arial" w:hAnsi="Arial"/>
          <w:sz w:val="19"/>
          <w:szCs w:val="19"/>
          <w:color w:val="auto"/>
        </w:rPr>
      </w:pPr>
    </w:p>
    <w:p>
      <w:pPr>
        <w:ind w:left="120" w:right="80" w:firstLine="10"/>
        <w:spacing w:after="0" w:line="244" w:lineRule="auto"/>
        <w:tabs>
          <w:tab w:leader="none" w:pos="378" w:val="left"/>
        </w:tabs>
        <w:numPr>
          <w:ilvl w:val="0"/>
          <w:numId w:val="74"/>
        </w:numPr>
        <w:rPr>
          <w:rFonts w:ascii="Arial" w:cs="Arial" w:eastAsia="Arial" w:hAnsi="Arial"/>
          <w:sz w:val="22"/>
          <w:szCs w:val="22"/>
          <w:color w:val="auto"/>
        </w:rPr>
      </w:pPr>
      <w:r>
        <w:rPr>
          <w:rFonts w:ascii="Arial" w:cs="Arial" w:eastAsia="Arial" w:hAnsi="Arial"/>
          <w:sz w:val="22"/>
          <w:szCs w:val="22"/>
          <w:color w:val="auto"/>
        </w:rPr>
        <w:t>resulting in such indebtedness becoming or being declared due and payable or (ii) constituting a failure to pay the principal or interest of any such indebtedness when due and payable at its stated maturity, upon required repurchase, upon declaration of acceleration or otherwise, and such acceleration shall not have been rescinded or annulled and such failure to pay shall not have been cured or waived, as the case may be, within 30 days after the occurrence of such acceleration or such failure to pay, as the case may be;</w:t>
      </w:r>
    </w:p>
    <w:p>
      <w:pPr>
        <w:spacing w:after="0" w:line="38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340"/>
          </w:cols>
          <w:pgMar w:left="240" w:top="591" w:right="319" w:bottom="1440" w:gutter="0" w:footer="0" w:header="0"/>
        </w:sectPr>
      </w:pPr>
    </w:p>
    <w:bookmarkStart w:id="109" w:name="page110"/>
    <w:bookmarkEnd w:id="109"/>
    <w:p>
      <w:pPr>
        <w:ind w:left="1400" w:hanging="433"/>
        <w:spacing w:after="0"/>
        <w:tabs>
          <w:tab w:leader="none" w:pos="140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Company or any Significant Subsidiary of the Company pursuant to or within the meaning of Bankruptcy Law:</w:t>
      </w:r>
    </w:p>
    <w:p>
      <w:pPr>
        <w:spacing w:after="0" w:line="213" w:lineRule="exact"/>
        <w:rPr>
          <w:rFonts w:ascii="Arial" w:cs="Arial" w:eastAsia="Arial" w:hAnsi="Arial"/>
          <w:sz w:val="19"/>
          <w:szCs w:val="19"/>
          <w:color w:val="auto"/>
        </w:rPr>
      </w:pPr>
    </w:p>
    <w:p>
      <w:pPr>
        <w:ind w:left="1680" w:hanging="375"/>
        <w:spacing w:after="0"/>
        <w:tabs>
          <w:tab w:leader="none" w:pos="1680" w:val="left"/>
        </w:tabs>
        <w:numPr>
          <w:ilvl w:val="1"/>
          <w:numId w:val="75"/>
        </w:numPr>
        <w:rPr>
          <w:rFonts w:ascii="Arial" w:cs="Arial" w:eastAsia="Arial" w:hAnsi="Arial"/>
          <w:sz w:val="22"/>
          <w:szCs w:val="22"/>
          <w:color w:val="auto"/>
        </w:rPr>
      </w:pPr>
      <w:r>
        <w:rPr>
          <w:rFonts w:ascii="Arial" w:cs="Arial" w:eastAsia="Arial" w:hAnsi="Arial"/>
          <w:sz w:val="22"/>
          <w:szCs w:val="22"/>
          <w:color w:val="auto"/>
        </w:rPr>
        <w:t>commences a voluntary case;</w:t>
      </w:r>
    </w:p>
    <w:p>
      <w:pPr>
        <w:spacing w:after="0" w:line="179" w:lineRule="exact"/>
        <w:rPr>
          <w:rFonts w:ascii="Arial" w:cs="Arial" w:eastAsia="Arial" w:hAnsi="Arial"/>
          <w:sz w:val="22"/>
          <w:szCs w:val="22"/>
          <w:color w:val="auto"/>
        </w:rPr>
      </w:pPr>
    </w:p>
    <w:p>
      <w:pPr>
        <w:ind w:left="1740" w:hanging="435"/>
        <w:spacing w:after="0"/>
        <w:tabs>
          <w:tab w:leader="none" w:pos="1740" w:val="left"/>
        </w:tabs>
        <w:numPr>
          <w:ilvl w:val="1"/>
          <w:numId w:val="75"/>
        </w:numPr>
        <w:rPr>
          <w:rFonts w:ascii="Arial" w:cs="Arial" w:eastAsia="Arial" w:hAnsi="Arial"/>
          <w:sz w:val="22"/>
          <w:szCs w:val="22"/>
          <w:color w:val="auto"/>
        </w:rPr>
      </w:pPr>
      <w:r>
        <w:rPr>
          <w:rFonts w:ascii="Arial" w:cs="Arial" w:eastAsia="Arial" w:hAnsi="Arial"/>
          <w:sz w:val="22"/>
          <w:szCs w:val="22"/>
          <w:color w:val="auto"/>
        </w:rPr>
        <w:t>consents in writing to the entry of an order for relief against it in an involuntary case;</w:t>
      </w:r>
    </w:p>
    <w:p>
      <w:pPr>
        <w:spacing w:after="0" w:line="179" w:lineRule="exact"/>
        <w:rPr>
          <w:rFonts w:ascii="Arial" w:cs="Arial" w:eastAsia="Arial" w:hAnsi="Arial"/>
          <w:sz w:val="22"/>
          <w:szCs w:val="22"/>
          <w:color w:val="auto"/>
        </w:rPr>
      </w:pPr>
    </w:p>
    <w:p>
      <w:pPr>
        <w:ind w:left="1800" w:hanging="495"/>
        <w:spacing w:after="0"/>
        <w:tabs>
          <w:tab w:leader="none" w:pos="1800" w:val="left"/>
        </w:tabs>
        <w:numPr>
          <w:ilvl w:val="1"/>
          <w:numId w:val="75"/>
        </w:numPr>
        <w:rPr>
          <w:rFonts w:ascii="Arial" w:cs="Arial" w:eastAsia="Arial" w:hAnsi="Arial"/>
          <w:sz w:val="21"/>
          <w:szCs w:val="21"/>
          <w:color w:val="auto"/>
        </w:rPr>
      </w:pPr>
      <w:r>
        <w:rPr>
          <w:rFonts w:ascii="Arial" w:cs="Arial" w:eastAsia="Arial" w:hAnsi="Arial"/>
          <w:sz w:val="21"/>
          <w:szCs w:val="21"/>
          <w:color w:val="auto"/>
        </w:rPr>
        <w:t>consents in writing to the appointment of a custodian of it or for all or substantially all of its property;</w:t>
      </w:r>
    </w:p>
    <w:p>
      <w:pPr>
        <w:spacing w:after="0" w:line="190" w:lineRule="exact"/>
        <w:rPr>
          <w:rFonts w:ascii="Arial" w:cs="Arial" w:eastAsia="Arial" w:hAnsi="Arial"/>
          <w:sz w:val="21"/>
          <w:szCs w:val="21"/>
          <w:color w:val="auto"/>
        </w:rPr>
      </w:pPr>
    </w:p>
    <w:p>
      <w:pPr>
        <w:ind w:left="1800" w:hanging="495"/>
        <w:spacing w:after="0"/>
        <w:tabs>
          <w:tab w:leader="none" w:pos="1800" w:val="left"/>
        </w:tabs>
        <w:numPr>
          <w:ilvl w:val="1"/>
          <w:numId w:val="75"/>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 or</w:t>
      </w:r>
    </w:p>
    <w:p>
      <w:pPr>
        <w:spacing w:after="0" w:line="179" w:lineRule="exact"/>
        <w:rPr>
          <w:rFonts w:ascii="Arial" w:cs="Arial" w:eastAsia="Arial" w:hAnsi="Arial"/>
          <w:sz w:val="22"/>
          <w:szCs w:val="22"/>
          <w:color w:val="auto"/>
        </w:rPr>
      </w:pPr>
    </w:p>
    <w:p>
      <w:pPr>
        <w:ind w:left="1740" w:hanging="435"/>
        <w:spacing w:after="0"/>
        <w:tabs>
          <w:tab w:leader="none" w:pos="1740" w:val="left"/>
        </w:tabs>
        <w:numPr>
          <w:ilvl w:val="1"/>
          <w:numId w:val="75"/>
        </w:numPr>
        <w:rPr>
          <w:rFonts w:ascii="Arial" w:cs="Arial" w:eastAsia="Arial" w:hAnsi="Arial"/>
          <w:sz w:val="22"/>
          <w:szCs w:val="22"/>
          <w:color w:val="auto"/>
        </w:rPr>
      </w:pPr>
      <w:r>
        <w:rPr>
          <w:rFonts w:ascii="Arial" w:cs="Arial" w:eastAsia="Arial" w:hAnsi="Arial"/>
          <w:sz w:val="22"/>
          <w:szCs w:val="22"/>
          <w:color w:val="auto"/>
        </w:rPr>
        <w:t>admits in writing it generally is not paying its debts as they become due; or</w:t>
      </w:r>
    </w:p>
    <w:p>
      <w:pPr>
        <w:spacing w:after="0" w:line="179" w:lineRule="exact"/>
        <w:rPr>
          <w:rFonts w:ascii="Arial" w:cs="Arial" w:eastAsia="Arial" w:hAnsi="Arial"/>
          <w:sz w:val="22"/>
          <w:szCs w:val="22"/>
          <w:color w:val="auto"/>
        </w:rPr>
      </w:pPr>
    </w:p>
    <w:p>
      <w:pPr>
        <w:ind w:left="1360" w:hanging="393"/>
        <w:spacing w:after="0"/>
        <w:tabs>
          <w:tab w:leader="none" w:pos="13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a court of competent jurisdiction enters an order or decree under any Bankruptcy Law that:</w:t>
      </w:r>
    </w:p>
    <w:p>
      <w:pPr>
        <w:spacing w:after="0" w:line="179" w:lineRule="exact"/>
        <w:rPr>
          <w:rFonts w:ascii="Arial" w:cs="Arial" w:eastAsia="Arial" w:hAnsi="Arial"/>
          <w:sz w:val="22"/>
          <w:szCs w:val="22"/>
          <w:color w:val="auto"/>
        </w:rPr>
      </w:pPr>
    </w:p>
    <w:p>
      <w:pPr>
        <w:ind w:left="1680" w:hanging="375"/>
        <w:spacing w:after="0"/>
        <w:tabs>
          <w:tab w:leader="none" w:pos="1680" w:val="left"/>
        </w:tabs>
        <w:numPr>
          <w:ilvl w:val="1"/>
          <w:numId w:val="75"/>
        </w:numPr>
        <w:rPr>
          <w:rFonts w:ascii="Arial" w:cs="Arial" w:eastAsia="Arial" w:hAnsi="Arial"/>
          <w:sz w:val="21"/>
          <w:szCs w:val="21"/>
          <w:color w:val="auto"/>
        </w:rPr>
      </w:pPr>
      <w:r>
        <w:rPr>
          <w:rFonts w:ascii="Arial" w:cs="Arial" w:eastAsia="Arial" w:hAnsi="Arial"/>
          <w:sz w:val="21"/>
          <w:szCs w:val="21"/>
          <w:color w:val="auto"/>
        </w:rPr>
        <w:t>is for relief against the Company or any Significant Subsidiary of the Company in an involuntary case;</w:t>
      </w:r>
    </w:p>
    <w:p>
      <w:pPr>
        <w:spacing w:after="0" w:line="190" w:lineRule="exact"/>
        <w:rPr>
          <w:rFonts w:ascii="Arial" w:cs="Arial" w:eastAsia="Arial" w:hAnsi="Arial"/>
          <w:sz w:val="21"/>
          <w:szCs w:val="21"/>
          <w:color w:val="auto"/>
        </w:rPr>
      </w:pPr>
    </w:p>
    <w:p>
      <w:pPr>
        <w:ind w:left="500" w:right="220" w:firstLine="805"/>
        <w:spacing w:after="0" w:line="276" w:lineRule="auto"/>
        <w:tabs>
          <w:tab w:leader="none" w:pos="1754" w:val="left"/>
        </w:tabs>
        <w:numPr>
          <w:ilvl w:val="1"/>
          <w:numId w:val="75"/>
        </w:numPr>
        <w:rPr>
          <w:rFonts w:ascii="Arial" w:cs="Arial" w:eastAsia="Arial" w:hAnsi="Arial"/>
          <w:sz w:val="22"/>
          <w:szCs w:val="22"/>
          <w:color w:val="auto"/>
        </w:rPr>
      </w:pPr>
      <w:r>
        <w:rPr>
          <w:rFonts w:ascii="Arial" w:cs="Arial" w:eastAsia="Arial" w:hAnsi="Arial"/>
          <w:sz w:val="22"/>
          <w:szCs w:val="22"/>
          <w:color w:val="auto"/>
        </w:rPr>
        <w:t>appoints a custodian of the Company or any Significant Subsidiary of the Company or for all or substantially all of the property of the Company or any Significant Subsidiary of the Company; or</w:t>
      </w:r>
    </w:p>
    <w:p>
      <w:pPr>
        <w:spacing w:after="0" w:line="106" w:lineRule="exact"/>
        <w:rPr>
          <w:rFonts w:ascii="Arial" w:cs="Arial" w:eastAsia="Arial" w:hAnsi="Arial"/>
          <w:sz w:val="22"/>
          <w:szCs w:val="22"/>
          <w:color w:val="auto"/>
        </w:rPr>
      </w:pPr>
    </w:p>
    <w:p>
      <w:pPr>
        <w:ind w:left="1800" w:hanging="495"/>
        <w:spacing w:after="0"/>
        <w:tabs>
          <w:tab w:leader="none" w:pos="1800" w:val="left"/>
        </w:tabs>
        <w:numPr>
          <w:ilvl w:val="1"/>
          <w:numId w:val="75"/>
        </w:numPr>
        <w:rPr>
          <w:rFonts w:ascii="Arial" w:cs="Arial" w:eastAsia="Arial" w:hAnsi="Arial"/>
          <w:sz w:val="22"/>
          <w:szCs w:val="22"/>
          <w:color w:val="auto"/>
        </w:rPr>
      </w:pPr>
      <w:r>
        <w:rPr>
          <w:rFonts w:ascii="Arial" w:cs="Arial" w:eastAsia="Arial" w:hAnsi="Arial"/>
          <w:sz w:val="22"/>
          <w:szCs w:val="22"/>
          <w:color w:val="auto"/>
        </w:rPr>
        <w:t>orders the liquidation of the Company or any Significant Subsidiary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and the order or decree remains unstayed and in effect for 60 consecutive days; or</w:t>
      </w:r>
    </w:p>
    <w:p>
      <w:pPr>
        <w:spacing w:after="0" w:line="166" w:lineRule="exact"/>
        <w:rPr>
          <w:sz w:val="20"/>
          <w:szCs w:val="20"/>
          <w:color w:val="auto"/>
        </w:rPr>
      </w:pPr>
    </w:p>
    <w:p>
      <w:pPr>
        <w:ind w:left="120" w:right="300" w:firstLine="847"/>
        <w:spacing w:after="0" w:line="307" w:lineRule="auto"/>
        <w:tabs>
          <w:tab w:leader="none" w:pos="1341" w:val="left"/>
        </w:tabs>
        <w:numPr>
          <w:ilvl w:val="0"/>
          <w:numId w:val="76"/>
        </w:numPr>
        <w:rPr>
          <w:rFonts w:ascii="Arial" w:cs="Arial" w:eastAsia="Arial" w:hAnsi="Arial"/>
          <w:sz w:val="19"/>
          <w:szCs w:val="19"/>
          <w:color w:val="auto"/>
        </w:rPr>
      </w:pPr>
      <w:r>
        <w:rPr>
          <w:rFonts w:ascii="Arial" w:cs="Arial" w:eastAsia="Arial" w:hAnsi="Arial"/>
          <w:sz w:val="19"/>
          <w:szCs w:val="19"/>
          <w:color w:val="auto"/>
        </w:rPr>
        <w:t>a final judgment or judgments for the payment of $50,000,000 (or its foreign currency equivalent) or more (excluding any amounts covered by insurance) in the aggregate rendered against the Company or any Significant Subsidiary of the Company, which judgments are not paid, discharged or stayed within 30 days after (i) the date on which the right to appeal thereof has expired if no such appeal has commenced, or (ii) the date on which all rights to appeal have been extinguished.</w:t>
      </w:r>
    </w:p>
    <w:p>
      <w:pPr>
        <w:spacing w:after="0" w:line="84"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i w:val="1"/>
          <w:iCs w:val="1"/>
          <w:color w:val="auto"/>
        </w:rPr>
        <w:t>Acceleration</w:t>
      </w:r>
      <w:r>
        <w:rPr>
          <w:rFonts w:ascii="Arial" w:cs="Arial" w:eastAsia="Arial" w:hAnsi="Arial"/>
          <w:sz w:val="22"/>
          <w:szCs w:val="22"/>
          <w:color w:val="auto"/>
        </w:rPr>
        <w:t>. In case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Section 6.01(h) or Section 6.01(i) with respect to the Company), either the Trustee by notice in writing to the Company, or the Holders of at least 25% in aggregate principal amount of the Notes then outstanding, by notice in writing to the Company and the Trustee, may declare 100% of the principal of, and accrued and unpaid interest, if any, on, all the Notes to be due and payable immediately, and upon any such declaration the same shall become and shall be immediately due and payable. If an Event of Default specified in Section 6.01(h) or Section 6.01(i) with respect</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00"/>
          </w:cols>
          <w:pgMar w:left="240" w:top="375" w:right="259" w:bottom="1440" w:gutter="0" w:footer="0" w:header="0"/>
        </w:sectPr>
      </w:pPr>
    </w:p>
    <w:bookmarkStart w:id="110" w:name="page111"/>
    <w:bookmarkEnd w:id="110"/>
    <w:p>
      <w:pPr>
        <w:ind w:right="520"/>
        <w:spacing w:after="0" w:line="263" w:lineRule="auto"/>
        <w:rPr>
          <w:sz w:val="20"/>
          <w:szCs w:val="20"/>
          <w:color w:val="auto"/>
        </w:rPr>
      </w:pPr>
      <w:r>
        <w:rPr>
          <w:rFonts w:ascii="Arial" w:cs="Arial" w:eastAsia="Arial" w:hAnsi="Arial"/>
          <w:sz w:val="22"/>
          <w:szCs w:val="22"/>
          <w:color w:val="auto"/>
        </w:rPr>
        <w:t>to the Company occurs and is continuing, 100% of the principal of, and accrued and unpaid interest, if any, on, all Notes shall become and shall automatically be immediately due and payable.</w:t>
      </w:r>
    </w:p>
    <w:p>
      <w:pPr>
        <w:spacing w:after="0" w:line="175" w:lineRule="exact"/>
        <w:rPr>
          <w:sz w:val="20"/>
          <w:szCs w:val="20"/>
          <w:color w:val="auto"/>
        </w:rPr>
      </w:pPr>
    </w:p>
    <w:p>
      <w:pPr>
        <w:ind w:right="140" w:firstLine="648"/>
        <w:spacing w:after="0" w:line="285" w:lineRule="auto"/>
        <w:rPr>
          <w:sz w:val="20"/>
          <w:szCs w:val="20"/>
          <w:color w:val="auto"/>
        </w:rPr>
      </w:pPr>
      <w:r>
        <w:rPr>
          <w:rFonts w:ascii="Arial" w:cs="Arial" w:eastAsia="Arial" w:hAnsi="Arial"/>
          <w:sz w:val="19"/>
          <w:szCs w:val="19"/>
          <w:color w:val="auto"/>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the Company shall pay or shall deposit with the Trustee a sum sufficient to pay installments of accrued and unpaid interest upon all Notes and the principal of any and all Notes that shall have become due otherwise than by acceleration (with interest on overdue installments of accrued and unpaid interest and on such principal at the rate borne by the Notes at such time) and amounts due to the Trustee pursuant to Section 7.06, and if (1) rescission would not conflict with any judgment or decree of a court of competent jurisdiction and (2) any and all existing Events of Default under this Indenture, other than the nonpayment of the principal of and accrued and unpaid interest, if any, on Notes that shall have become due solely by such acceleration, shall have been cured or waived pursuant to Section 6.09, then and in every such case (except as provided in the immediately succeeding sentence)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(including the Fundamental Change Repurchase Price, if applicable) of, or accrued and unpaid interest on, any Notes, (ii) a failure to repurchase any Notes when required or (iii) a failure to pay or deliver, as the case may be, the consideration due upon conversion of the Notes.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i w:val="1"/>
          <w:iCs w:val="1"/>
          <w:color w:val="auto"/>
        </w:rPr>
        <w:t>Additional Interest</w:t>
      </w:r>
      <w:r>
        <w:rPr>
          <w:rFonts w:ascii="Arial" w:cs="Arial" w:eastAsia="Arial" w:hAnsi="Arial"/>
          <w:sz w:val="22"/>
          <w:szCs w:val="22"/>
          <w:color w:val="auto"/>
        </w:rPr>
        <w:t>.</w:t>
      </w:r>
    </w:p>
    <w:p>
      <w:pPr>
        <w:spacing w:after="0" w:line="166" w:lineRule="exact"/>
        <w:rPr>
          <w:sz w:val="20"/>
          <w:szCs w:val="20"/>
          <w:color w:val="auto"/>
        </w:rPr>
      </w:pPr>
    </w:p>
    <w:p>
      <w:pPr>
        <w:ind w:left="120" w:firstLine="847"/>
        <w:spacing w:after="0" w:line="260" w:lineRule="auto"/>
        <w:tabs>
          <w:tab w:leader="none" w:pos="1377" w:val="left"/>
        </w:tabs>
        <w:numPr>
          <w:ilvl w:val="0"/>
          <w:numId w:val="77"/>
        </w:numPr>
        <w:rPr>
          <w:rFonts w:ascii="Arial" w:cs="Arial" w:eastAsia="Arial" w:hAnsi="Arial"/>
          <w:sz w:val="21"/>
          <w:szCs w:val="21"/>
          <w:color w:val="auto"/>
        </w:rPr>
      </w:pPr>
      <w:r>
        <w:rPr>
          <w:rFonts w:ascii="Arial" w:cs="Arial" w:eastAsia="Arial" w:hAnsi="Arial"/>
          <w:sz w:val="21"/>
          <w:szCs w:val="21"/>
          <w:color w:val="auto"/>
        </w:rPr>
        <w:t>Notwithstanding anything in this Indenture or in the Notes to the contrary, to the extent the Company elects, the sole remedy for an Event of Default relating to the Company’s failure to comply with its obligations as set forth in Section 4.06(b) shall, for the first 360 days after the occurrence of such an Event of Default, consist exclusively of the right to receive Additional Interest on the Notes at a rate equal to 0.25% per annum of the principal amount of the Notes outstanding for the first 180 days after the occurrence of such Event of Default and 0.50% per annum of the principal amount of the Notes outstanding from the 181st day until the 360th day following the occurrence of such an Event of Default during which such an Event of Default is continuing, beginning on, and including, the date on which such an Event of Default first occurs (in addition to any Additional Interest that may accrue as a result of a registration default pursuant to Sections 4.06(d) and 4.06(e)). For the avoidance of doubt, the 360 day period described in this Section 6.03 shall not commence until expiration of the 60 day period referenced in Section 6.01(f).</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00"/>
          </w:cols>
          <w:pgMar w:left="240" w:top="375" w:right="259" w:bottom="1440" w:gutter="0" w:footer="0" w:header="0"/>
        </w:sectPr>
      </w:pPr>
    </w:p>
    <w:bookmarkStart w:id="111" w:name="page112"/>
    <w:bookmarkEnd w:id="111"/>
    <w:p>
      <w:pPr>
        <w:ind w:left="120" w:right="60" w:firstLine="847"/>
        <w:spacing w:after="0" w:line="300" w:lineRule="auto"/>
        <w:tabs>
          <w:tab w:leader="none" w:pos="1389" w:val="left"/>
        </w:tabs>
        <w:numPr>
          <w:ilvl w:val="0"/>
          <w:numId w:val="78"/>
        </w:numPr>
        <w:rPr>
          <w:rFonts w:ascii="Arial" w:cs="Arial" w:eastAsia="Arial" w:hAnsi="Arial"/>
          <w:sz w:val="19"/>
          <w:szCs w:val="19"/>
          <w:color w:val="auto"/>
        </w:rPr>
      </w:pPr>
      <w:r>
        <w:rPr>
          <w:rFonts w:ascii="Arial" w:cs="Arial" w:eastAsia="Arial" w:hAnsi="Arial"/>
          <w:sz w:val="19"/>
          <w:szCs w:val="19"/>
          <w:color w:val="auto"/>
        </w:rPr>
        <w:t>Any Additional Interest payable pursuant to Section 6.03(a) above shall be in addition to any Additional Interest that may accrue pursuant to Sections 4.06(d) and 4.06(e). Notwithstanding anything in this Indenture to the contrary, in no event, however, shall Additional Interest accrue (taking into consideration any Additional Interest payable pursuant to Section 6.03(a) above, together with Additional Interest payable pursuant to Sections 4.06(d) and 4.06(e)) at a rate in excess of 0.50% per annum, regardless of the number of events or circumstances giving rise to the requirement to pay such Additional Interest.</w:t>
      </w:r>
    </w:p>
    <w:p>
      <w:pPr>
        <w:spacing w:after="0" w:line="93" w:lineRule="exact"/>
        <w:rPr>
          <w:rFonts w:ascii="Arial" w:cs="Arial" w:eastAsia="Arial" w:hAnsi="Arial"/>
          <w:sz w:val="19"/>
          <w:szCs w:val="19"/>
          <w:color w:val="auto"/>
        </w:rPr>
      </w:pPr>
    </w:p>
    <w:p>
      <w:pPr>
        <w:ind w:left="120" w:right="80" w:firstLine="847"/>
        <w:spacing w:after="0" w:line="258" w:lineRule="auto"/>
        <w:tabs>
          <w:tab w:leader="none" w:pos="1377" w:val="left"/>
        </w:tabs>
        <w:numPr>
          <w:ilvl w:val="0"/>
          <w:numId w:val="78"/>
        </w:numPr>
        <w:rPr>
          <w:rFonts w:ascii="Arial" w:cs="Arial" w:eastAsia="Arial" w:hAnsi="Arial"/>
          <w:sz w:val="21"/>
          <w:szCs w:val="21"/>
          <w:color w:val="auto"/>
        </w:rPr>
      </w:pPr>
      <w:r>
        <w:rPr>
          <w:rFonts w:ascii="Arial" w:cs="Arial" w:eastAsia="Arial" w:hAnsi="Arial"/>
          <w:sz w:val="21"/>
          <w:szCs w:val="21"/>
          <w:color w:val="auto"/>
        </w:rPr>
        <w:t>If the Company elects to pay Additional Interest pursuant to Section 6.03(a), such Additional Interest shall be payable in the same manner and on the same dates as the stated interest payable on the Notes and will accrue on all Notes then outstanding from, and including, the date on which the Event of Default relating to the Company’s failure to comply with its obligations as set forth in Section 4.06(b) first occurs to, but not including, the 361st day thereafter (or such earlier date on which such Event of Default is cured or waived by the Holders of a majority in principal amount of the Notes then outstanding). On the 361st day after such Event of Default (if the Event of Default relating to the Company’s failure to comply with its obligations as set forth in Section 4.06(b) is not cured or waived prior to such 361st day), such Additional Interest will cease to accrue and the Notes will be subject to acceleration as provided in Section 6.02. In the event the Company does not elect to pay Additional Interest following an Event of Default relating to the Company’s failure to comply with its obligations as set forth in Section 4.06(b) in accordance with this Section 6.03, or the Company elects to make such payment but does not pay the Additional Interest when due, the Notes shall immediately be subject to acceleration as provided in Section 6.02. For the avoidance of doubt, the provisions of this Section 6.03 shall not affect the rights of Holders in the event of the occurrence of any other Event of Default.</w:t>
      </w:r>
    </w:p>
    <w:p>
      <w:pPr>
        <w:spacing w:after="0" w:line="136" w:lineRule="exact"/>
        <w:rPr>
          <w:rFonts w:ascii="Arial" w:cs="Arial" w:eastAsia="Arial" w:hAnsi="Arial"/>
          <w:sz w:val="21"/>
          <w:szCs w:val="21"/>
          <w:color w:val="auto"/>
        </w:rPr>
      </w:pPr>
    </w:p>
    <w:p>
      <w:pPr>
        <w:ind w:left="120" w:firstLine="847"/>
        <w:spacing w:after="0" w:line="264" w:lineRule="auto"/>
        <w:tabs>
          <w:tab w:leader="none" w:pos="1389" w:val="left"/>
        </w:tabs>
        <w:numPr>
          <w:ilvl w:val="0"/>
          <w:numId w:val="78"/>
        </w:numPr>
        <w:rPr>
          <w:rFonts w:ascii="Arial" w:cs="Arial" w:eastAsia="Arial" w:hAnsi="Arial"/>
          <w:sz w:val="21"/>
          <w:szCs w:val="21"/>
          <w:color w:val="auto"/>
        </w:rPr>
      </w:pPr>
      <w:r>
        <w:rPr>
          <w:rFonts w:ascii="Arial" w:cs="Arial" w:eastAsia="Arial" w:hAnsi="Arial"/>
          <w:sz w:val="21"/>
          <w:szCs w:val="21"/>
          <w:color w:val="auto"/>
        </w:rPr>
        <w:t>In order to elect to pay Additional Interest as the sole remedy during the first 360 days after the occurrence of an Event of Default relating to the Company’s failure to comply with its obligations as set forth in Section 4.06(b), the Company must notify, in writing, all Holders of the Notes, the Trustee and the Paying Agent (if other than the Trustee) of such election on or before the close of business prior to the beginning of such 360 day period. Upon the Company’s failure to timely give such notice, the Notes shall be immediately subject to acceleration as provided in Section 6.02. The Company may elect to pay Additional Interest with respect to multiple Events of Default in a single written notification.</w:t>
      </w:r>
    </w:p>
    <w:p>
      <w:pPr>
        <w:spacing w:after="0" w:line="121" w:lineRule="exact"/>
        <w:rPr>
          <w:sz w:val="20"/>
          <w:szCs w:val="20"/>
          <w:color w:val="auto"/>
        </w:rPr>
      </w:pPr>
    </w:p>
    <w:p>
      <w:pPr>
        <w:ind w:right="60"/>
        <w:spacing w:after="0" w:line="289" w:lineRule="auto"/>
        <w:rPr>
          <w:sz w:val="20"/>
          <w:szCs w:val="20"/>
          <w:color w:val="auto"/>
        </w:rPr>
      </w:pPr>
      <w:r>
        <w:rPr>
          <w:rFonts w:ascii="Arial" w:cs="Arial" w:eastAsia="Arial" w:hAnsi="Arial"/>
          <w:sz w:val="19"/>
          <w:szCs w:val="19"/>
          <w:color w:val="auto"/>
        </w:rPr>
        <w:t>Section 6.04</w:t>
      </w:r>
      <w:r>
        <w:rPr>
          <w:rFonts w:ascii="Arial" w:cs="Arial" w:eastAsia="Arial" w:hAnsi="Arial"/>
          <w:sz w:val="19"/>
          <w:szCs w:val="19"/>
          <w:i w:val="1"/>
          <w:iCs w:val="1"/>
          <w:color w:val="auto"/>
        </w:rPr>
        <w:t>. Payments of Notes on Default; Suit Therefor.</w:t>
      </w:r>
      <w:r>
        <w:rPr>
          <w:rFonts w:ascii="Arial" w:cs="Arial" w:eastAsia="Arial" w:hAnsi="Arial"/>
          <w:sz w:val="19"/>
          <w:szCs w:val="19"/>
          <w:color w:val="auto"/>
        </w:rPr>
        <w:t xml:space="preserve"> If an Event of Default described in Section 6.01 (a), (b) or (c) shall have occurred and the Notes have become due and payable pursuant to Section 6.02, the Company shall, upon demand of the Trustee, pay to the Trustee, for the benefit of the Holders of the Notes, the whole amount then due and payable on the Notes for principal (including the Fundamental Change Repurchase Price, if applicable), satisfaction of the Conversion Obligation with respect to all Notes that have been converted, and interest, if any, with (to the extent that payment of such interest shall be legally enforceable) interest on any such overdue amounts, at the rate borne by the Notes at such time,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375" w:right="239" w:bottom="1440" w:gutter="0" w:footer="0" w:header="0"/>
        </w:sectPr>
      </w:pPr>
    </w:p>
    <w:bookmarkStart w:id="112" w:name="page113"/>
    <w:bookmarkEnd w:id="112"/>
    <w:p>
      <w:pPr>
        <w:ind w:right="80"/>
        <w:spacing w:after="0" w:line="343" w:lineRule="auto"/>
        <w:rPr>
          <w:sz w:val="20"/>
          <w:szCs w:val="20"/>
          <w:color w:val="auto"/>
        </w:rPr>
      </w:pPr>
      <w:r>
        <w:rPr>
          <w:rFonts w:ascii="Arial" w:cs="Arial" w:eastAsia="Arial" w:hAnsi="Arial"/>
          <w:sz w:val="19"/>
          <w:szCs w:val="19"/>
          <w:color w:val="auto"/>
        </w:rPr>
        <w:t>may enforce the same against the Company or any other obligor upon the Notes and collect the monies adjudged or decreed to be payable in the manner provided by law out of the property of the Company or any other obligor upon the Notes, wherever situated.</w:t>
      </w:r>
    </w:p>
    <w:p>
      <w:pPr>
        <w:spacing w:after="0" w:line="51"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In the event there shall be pending proceedings for the bankruptcy or for the reorganization of the Company under Bankruptcy Law, or any other applicable law, or in case a receiver, assignee or trustee in bankruptcy or reorganization, liquidator, sequestrator or similar official shall have been appointed for or taken possession of the Company, the property of the Company, or in the event of any other judicial proceedings relative to the Company, or to the creditors or property of the Company, the Trustee,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its creditors, or its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spacing w:after="0" w:line="105" w:lineRule="exact"/>
        <w:rPr>
          <w:sz w:val="20"/>
          <w:szCs w:val="20"/>
          <w:color w:val="auto"/>
        </w:rPr>
      </w:pPr>
    </w:p>
    <w:p>
      <w:pPr>
        <w:ind w:right="60" w:firstLine="648"/>
        <w:spacing w:after="0" w:line="312" w:lineRule="auto"/>
        <w:rPr>
          <w:sz w:val="20"/>
          <w:szCs w:val="20"/>
          <w:color w:val="auto"/>
        </w:rPr>
      </w:pPr>
      <w:r>
        <w:rPr>
          <w:rFonts w:ascii="Arial" w:cs="Arial" w:eastAsia="Arial" w:hAnsi="Arial"/>
          <w:sz w:val="19"/>
          <w:szCs w:val="19"/>
          <w:color w:val="auto"/>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8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9"/>
          <w:szCs w:val="19"/>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00"/>
          </w:cols>
          <w:pgMar w:left="240" w:top="375" w:right="259" w:bottom="1440" w:gutter="0" w:footer="0" w:header="0"/>
        </w:sectPr>
      </w:pPr>
    </w:p>
    <w:bookmarkStart w:id="113" w:name="page114"/>
    <w:bookmarkEnd w:id="113"/>
    <w:p>
      <w:pPr>
        <w:ind w:right="20" w:firstLine="648"/>
        <w:spacing w:after="0" w:line="253" w:lineRule="auto"/>
        <w:rPr>
          <w:sz w:val="20"/>
          <w:szCs w:val="20"/>
          <w:color w:val="auto"/>
        </w:rPr>
      </w:pPr>
      <w:r>
        <w:rPr>
          <w:rFonts w:ascii="Arial" w:cs="Arial" w:eastAsia="Arial" w:hAnsi="Arial"/>
          <w:sz w:val="22"/>
          <w:szCs w:val="22"/>
          <w:color w:val="auto"/>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spacing w:after="0" w:line="132" w:lineRule="exact"/>
        <w:rPr>
          <w:sz w:val="20"/>
          <w:szCs w:val="20"/>
          <w:color w:val="auto"/>
        </w:rPr>
      </w:pPr>
    </w:p>
    <w:p>
      <w:pPr>
        <w:ind w:right="80" w:firstLine="648"/>
        <w:spacing w:after="0" w:line="247" w:lineRule="auto"/>
        <w:rPr>
          <w:sz w:val="20"/>
          <w:szCs w:val="20"/>
          <w:color w:val="auto"/>
        </w:rPr>
      </w:pPr>
      <w:r>
        <w:rPr>
          <w:rFonts w:ascii="Arial" w:cs="Arial" w:eastAsia="Arial" w:hAnsi="Arial"/>
          <w:sz w:val="22"/>
          <w:szCs w:val="22"/>
          <w:color w:val="auto"/>
        </w:rPr>
        <w:t>In case the Trustee shall have proceeded to enforce any right under this Indenture and such proceedings shall have been discontinued or abandoned because of any waiver, rescission or annulment pursuant to Section 6.09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40" w:lineRule="exact"/>
        <w:rPr>
          <w:sz w:val="20"/>
          <w:szCs w:val="20"/>
          <w:color w:val="auto"/>
        </w:rPr>
      </w:pPr>
    </w:p>
    <w:p>
      <w:pPr>
        <w:ind w:right="480"/>
        <w:spacing w:after="0" w:line="250" w:lineRule="auto"/>
        <w:rPr>
          <w:sz w:val="20"/>
          <w:szCs w:val="20"/>
          <w:color w:val="auto"/>
        </w:rPr>
      </w:pPr>
      <w:r>
        <w:rPr>
          <w:rFonts w:ascii="Arial" w:cs="Arial" w:eastAsia="Arial" w:hAnsi="Arial"/>
          <w:sz w:val="22"/>
          <w:szCs w:val="22"/>
          <w:color w:val="auto"/>
        </w:rPr>
        <w:t>Section 6.05</w:t>
      </w:r>
      <w:r>
        <w:rPr>
          <w:rFonts w:ascii="Arial" w:cs="Arial" w:eastAsia="Arial" w:hAnsi="Arial"/>
          <w:sz w:val="22"/>
          <w:szCs w:val="22"/>
          <w:i w:val="1"/>
          <w:iCs w:val="1"/>
          <w:color w:val="auto"/>
        </w:rPr>
        <w:t>. Application of Monies Collected by Trustee.</w:t>
      </w:r>
      <w:r>
        <w:rPr>
          <w:rFonts w:ascii="Arial" w:cs="Arial" w:eastAsia="Arial" w:hAnsi="Arial"/>
          <w:sz w:val="22"/>
          <w:szCs w:val="22"/>
          <w:color w:val="auto"/>
        </w:rPr>
        <w:t xml:space="preserve"> Any monies collected by the Trustee pursuant to this Article 6 with respect to the Notes shall be applied in the following order, at the date or dates fixed by the Trustee for the distribution of such monies, upon presentation of the several Notes, and stamping thereon the payment, if only partially paid, and upon surrender thereof, if fully paid:</w:t>
      </w:r>
    </w:p>
    <w:p>
      <w:pPr>
        <w:spacing w:after="0" w:line="18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22"/>
          <w:szCs w:val="22"/>
          <w:color w:val="auto"/>
        </w:rPr>
        <w:t>FIRST:</w:t>
      </w:r>
      <w:r>
        <w:rPr>
          <w:sz w:val="20"/>
          <w:szCs w:val="20"/>
          <w:color w:val="auto"/>
        </w:rPr>
        <w:tab/>
      </w:r>
      <w:r>
        <w:rPr>
          <w:rFonts w:ascii="Arial" w:cs="Arial" w:eastAsia="Arial" w:hAnsi="Arial"/>
          <w:sz w:val="19"/>
          <w:szCs w:val="19"/>
          <w:color w:val="auto"/>
        </w:rPr>
        <w:t>to the payment of all amounts due the Trustee, including its agents and counsel, under Section 7.06;</w:t>
      </w:r>
    </w:p>
    <w:p>
      <w:pPr>
        <w:spacing w:after="0" w:line="220"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SECOND: to the payment of the amounts then due and unpaid for principal of, the Fundamental Change Repurchase Price (if applicable) of, and/or satisfaction of the Conversion Obligation with respect to all Notes that have been converted, and interest on the Notes in respect of which or for the benefit of which such money has been collected, ratably, without preference or priority of any kind, according to the amounts due and payable on such Notes; and</w:t>
      </w:r>
    </w:p>
    <w:p>
      <w:pPr>
        <w:spacing w:after="0" w:line="176"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22"/>
          <w:szCs w:val="22"/>
          <w:color w:val="auto"/>
        </w:rPr>
        <w:t>THIRD:</w:t>
      </w:r>
      <w:r>
        <w:rPr>
          <w:sz w:val="20"/>
          <w:szCs w:val="20"/>
          <w:color w:val="auto"/>
        </w:rPr>
        <w:tab/>
      </w:r>
      <w:r>
        <w:rPr>
          <w:rFonts w:ascii="Arial" w:cs="Arial" w:eastAsia="Arial" w:hAnsi="Arial"/>
          <w:sz w:val="19"/>
          <w:szCs w:val="19"/>
          <w:color w:val="auto"/>
        </w:rPr>
        <w:t>to the Company.</w:t>
      </w:r>
    </w:p>
    <w:p>
      <w:pPr>
        <w:spacing w:after="0" w:line="220"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Section 6.06</w:t>
      </w:r>
      <w:r>
        <w:rPr>
          <w:rFonts w:ascii="Arial" w:cs="Arial" w:eastAsia="Arial" w:hAnsi="Arial"/>
          <w:sz w:val="19"/>
          <w:szCs w:val="19"/>
          <w:i w:val="1"/>
          <w:iCs w:val="1"/>
          <w:color w:val="auto"/>
        </w:rPr>
        <w:t>. Proceedings by Holders.</w:t>
      </w:r>
      <w:r>
        <w:rPr>
          <w:rFonts w:ascii="Arial" w:cs="Arial" w:eastAsia="Arial" w:hAnsi="Arial"/>
          <w:sz w:val="19"/>
          <w:szCs w:val="19"/>
          <w:color w:val="auto"/>
        </w:rPr>
        <w:t xml:space="preserve"> Except to enforce the right to receive payment of principal (including, if applicable, the Fundamental Change Repurchase Price) or interest when due, or the right to receive payment and/or delivery of the consideration due upon conversion, no Holder of any Note shall have any right by virtue of or by availing of any provision of this Indenture to institute any suit, action or proceeding in equity or at law upon or under or with respect to this Indenture, or for the appointment of a receiver, trustee, liquidator, custodian or other similar official, or for any other remedy hereunder, unless:</w:t>
      </w:r>
    </w:p>
    <w:p>
      <w:pPr>
        <w:spacing w:after="0" w:line="93" w:lineRule="exact"/>
        <w:rPr>
          <w:sz w:val="20"/>
          <w:szCs w:val="20"/>
          <w:color w:val="auto"/>
        </w:rPr>
      </w:pPr>
    </w:p>
    <w:p>
      <w:pPr>
        <w:ind w:left="1380" w:hanging="413"/>
        <w:spacing w:after="0"/>
        <w:tabs>
          <w:tab w:leader="none" w:pos="1380" w:val="left"/>
        </w:tabs>
        <w:numPr>
          <w:ilvl w:val="0"/>
          <w:numId w:val="79"/>
        </w:numPr>
        <w:rPr>
          <w:rFonts w:ascii="Arial" w:cs="Arial" w:eastAsia="Arial" w:hAnsi="Arial"/>
          <w:sz w:val="22"/>
          <w:szCs w:val="22"/>
          <w:color w:val="auto"/>
        </w:rPr>
      </w:pPr>
      <w:r>
        <w:rPr>
          <w:rFonts w:ascii="Arial" w:cs="Arial" w:eastAsia="Arial" w:hAnsi="Arial"/>
          <w:sz w:val="22"/>
          <w:szCs w:val="22"/>
          <w:color w:val="auto"/>
        </w:rPr>
        <w:t>such Holder has previously given the Trustee written notice that an Event of Default is continuing;</w:t>
      </w:r>
    </w:p>
    <w:p>
      <w:pPr>
        <w:spacing w:after="0" w:line="179" w:lineRule="exact"/>
        <w:rPr>
          <w:rFonts w:ascii="Arial" w:cs="Arial" w:eastAsia="Arial" w:hAnsi="Arial"/>
          <w:sz w:val="22"/>
          <w:szCs w:val="22"/>
          <w:color w:val="auto"/>
        </w:rPr>
      </w:pPr>
    </w:p>
    <w:p>
      <w:pPr>
        <w:ind w:left="120" w:right="80" w:firstLine="847"/>
        <w:spacing w:after="0" w:line="276" w:lineRule="auto"/>
        <w:tabs>
          <w:tab w:leader="none" w:pos="1389"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Holders of at least 25% in principal amount of the then outstanding Notes have requested the Trustee in writing to pursue the remedy;</w:t>
      </w:r>
    </w:p>
    <w:p>
      <w:pPr>
        <w:spacing w:after="0" w:line="106" w:lineRule="exact"/>
        <w:rPr>
          <w:rFonts w:ascii="Arial" w:cs="Arial" w:eastAsia="Arial" w:hAnsi="Arial"/>
          <w:sz w:val="22"/>
          <w:szCs w:val="22"/>
          <w:color w:val="auto"/>
        </w:rPr>
      </w:pPr>
    </w:p>
    <w:p>
      <w:pPr>
        <w:ind w:left="120" w:right="100" w:firstLine="847"/>
        <w:spacing w:after="0" w:line="276" w:lineRule="auto"/>
        <w:tabs>
          <w:tab w:leader="none" w:pos="1377" w:val="left"/>
        </w:tabs>
        <w:numPr>
          <w:ilvl w:val="0"/>
          <w:numId w:val="79"/>
        </w:numPr>
        <w:rPr>
          <w:rFonts w:ascii="Arial" w:cs="Arial" w:eastAsia="Arial" w:hAnsi="Arial"/>
          <w:sz w:val="22"/>
          <w:szCs w:val="22"/>
          <w:color w:val="auto"/>
        </w:rPr>
      </w:pPr>
      <w:r>
        <w:rPr>
          <w:rFonts w:ascii="Arial" w:cs="Arial" w:eastAsia="Arial" w:hAnsi="Arial"/>
          <w:sz w:val="22"/>
          <w:szCs w:val="22"/>
          <w:color w:val="auto"/>
        </w:rPr>
        <w:t>such Holders have offered the Trustee security or indemnity reasonably satisfactory to the Trustee against any loss, liability or expense;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375" w:right="239" w:bottom="1440" w:gutter="0" w:footer="0" w:header="0"/>
        </w:sectPr>
      </w:pPr>
    </w:p>
    <w:bookmarkStart w:id="114" w:name="page115"/>
    <w:bookmarkEnd w:id="114"/>
    <w:p>
      <w:pPr>
        <w:ind w:left="120" w:right="720" w:firstLine="847"/>
        <w:spacing w:after="0" w:line="276" w:lineRule="auto"/>
        <w:tabs>
          <w:tab w:leader="none" w:pos="1389"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Trustee has not complied with such request within 60 days after the receipt thereof and the offer of such security or indemnity; and</w:t>
      </w:r>
    </w:p>
    <w:p>
      <w:pPr>
        <w:spacing w:after="0" w:line="106" w:lineRule="exact"/>
        <w:rPr>
          <w:rFonts w:ascii="Arial" w:cs="Arial" w:eastAsia="Arial" w:hAnsi="Arial"/>
          <w:sz w:val="22"/>
          <w:szCs w:val="22"/>
          <w:color w:val="auto"/>
        </w:rPr>
      </w:pPr>
    </w:p>
    <w:p>
      <w:pPr>
        <w:ind w:left="120" w:right="200" w:firstLine="847"/>
        <w:spacing w:after="0" w:line="276" w:lineRule="auto"/>
        <w:tabs>
          <w:tab w:leader="none" w:pos="1377"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Holders of a majority in principal amount of the then outstanding Notes have not given the Trustee a direction that, in the opinion of the Trustee, is inconsistent with such request within such 60-day period.</w:t>
      </w:r>
    </w:p>
    <w:p>
      <w:pPr>
        <w:spacing w:after="0" w:line="107" w:lineRule="exact"/>
        <w:rPr>
          <w:sz w:val="20"/>
          <w:szCs w:val="20"/>
          <w:color w:val="auto"/>
        </w:rPr>
      </w:pPr>
    </w:p>
    <w:p>
      <w:pPr>
        <w:ind w:right="380" w:firstLine="648"/>
        <w:spacing w:after="0" w:line="253" w:lineRule="auto"/>
        <w:rPr>
          <w:sz w:val="20"/>
          <w:szCs w:val="20"/>
          <w:color w:val="auto"/>
        </w:rPr>
      </w:pPr>
      <w:r>
        <w:rPr>
          <w:rFonts w:ascii="Arial" w:cs="Arial" w:eastAsia="Arial" w:hAnsi="Arial"/>
          <w:sz w:val="22"/>
          <w:szCs w:val="22"/>
          <w:color w:val="auto"/>
        </w:rPr>
        <w:t>A Holder may not use this Indenture to prejudice the rights of another Holder or to obtain a preference or priority over another Holder, it being understood that the Trustee does not have an affirmative duty to ascertain whether or not any actions or forbearances by a Holder are unduly prejudicial to other Holders.</w:t>
      </w:r>
    </w:p>
    <w:p>
      <w:pPr>
        <w:spacing w:after="0" w:line="132" w:lineRule="exact"/>
        <w:rPr>
          <w:sz w:val="20"/>
          <w:szCs w:val="20"/>
          <w:color w:val="auto"/>
        </w:rPr>
      </w:pPr>
    </w:p>
    <w:p>
      <w:pPr>
        <w:ind w:right="100" w:firstLine="648"/>
        <w:spacing w:after="0" w:line="247" w:lineRule="auto"/>
        <w:rPr>
          <w:sz w:val="20"/>
          <w:szCs w:val="20"/>
          <w:color w:val="auto"/>
        </w:rPr>
      </w:pPr>
      <w:r>
        <w:rPr>
          <w:rFonts w:ascii="Arial" w:cs="Arial" w:eastAsia="Arial" w:hAnsi="Arial"/>
          <w:sz w:val="22"/>
          <w:szCs w:val="22"/>
          <w:color w:val="auto"/>
        </w:rPr>
        <w:t>Notwithstanding any other provision of this Indenture and any provision of any Note, the contractual right of any Holder to receive payment or delivery, as the case may be, of (x) the principal (including, if applicable, the Fundamental Change Repurchase Price) of; (y) accrued and unpaid interest, if any, on; and (z) the consideration due upon the conversion of, such Note, on or after the respective due dates expressed or provided for in such Note or in this Indenture, and the contractual right to bring suit for the enforcement of any such payment or delivery, as the case may be, on or after such respective dates shall not be amended without the consent of such Holder.</w:t>
      </w:r>
    </w:p>
    <w:p>
      <w:pPr>
        <w:spacing w:after="0" w:line="140"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Section 6.07</w:t>
      </w:r>
      <w:r>
        <w:rPr>
          <w:rFonts w:ascii="Arial" w:cs="Arial" w:eastAsia="Arial" w:hAnsi="Arial"/>
          <w:sz w:val="19"/>
          <w:szCs w:val="19"/>
          <w:i w:val="1"/>
          <w:iCs w:val="1"/>
          <w:color w:val="auto"/>
        </w:rPr>
        <w:t>. Proceedings by Trustee.</w:t>
      </w:r>
      <w:r>
        <w:rPr>
          <w:rFonts w:ascii="Arial" w:cs="Arial" w:eastAsia="Arial" w:hAnsi="Arial"/>
          <w:sz w:val="19"/>
          <w:szCs w:val="19"/>
          <w:color w:val="auto"/>
        </w:rPr>
        <w:t xml:space="preserve">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Section 6.08</w:t>
      </w:r>
      <w:r>
        <w:rPr>
          <w:rFonts w:ascii="Arial" w:cs="Arial" w:eastAsia="Arial" w:hAnsi="Arial"/>
          <w:sz w:val="21"/>
          <w:szCs w:val="21"/>
          <w:i w:val="1"/>
          <w:iCs w:val="1"/>
          <w:color w:val="auto"/>
        </w:rPr>
        <w:t>. Remedies Cumulative and Continuing.</w:t>
      </w:r>
      <w:r>
        <w:rPr>
          <w:rFonts w:ascii="Arial" w:cs="Arial" w:eastAsia="Arial" w:hAnsi="Arial"/>
          <w:sz w:val="21"/>
          <w:szCs w:val="21"/>
          <w:color w:val="auto"/>
        </w:rPr>
        <w:t xml:space="preserve"> 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Section 6.09</w:t>
      </w:r>
      <w:r>
        <w:rPr>
          <w:rFonts w:ascii="Arial" w:cs="Arial" w:eastAsia="Arial" w:hAnsi="Arial"/>
          <w:sz w:val="22"/>
          <w:szCs w:val="22"/>
          <w:i w:val="1"/>
          <w:iCs w:val="1"/>
          <w:color w:val="auto"/>
        </w:rPr>
        <w:t>. Direction of Proceedings and Waiver of Defaults by Majority of Holders.</w:t>
      </w:r>
    </w:p>
    <w:p>
      <w:pPr>
        <w:spacing w:after="0" w:line="166" w:lineRule="exact"/>
        <w:rPr>
          <w:sz w:val="20"/>
          <w:szCs w:val="20"/>
          <w:color w:val="auto"/>
        </w:rPr>
      </w:pPr>
    </w:p>
    <w:p>
      <w:pPr>
        <w:ind w:left="120" w:right="120" w:firstLine="847"/>
        <w:spacing w:after="0" w:line="260" w:lineRule="auto"/>
        <w:tabs>
          <w:tab w:leader="none" w:pos="1377"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Holders of a majority of the aggregate principal amount of the Notes at the time outstanding shall have the right to direct the time, method and place of conducting any proceeding for any remedy available to the Trustee or exercising any trust or power conferred</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375" w:right="239" w:bottom="1440" w:gutter="0" w:footer="0" w:header="0"/>
        </w:sectPr>
      </w:pPr>
    </w:p>
    <w:bookmarkStart w:id="115" w:name="page116"/>
    <w:bookmarkEnd w:id="115"/>
    <w:p>
      <w:pPr>
        <w:ind w:right="140"/>
        <w:spacing w:after="0" w:line="247" w:lineRule="auto"/>
        <w:rPr>
          <w:sz w:val="20"/>
          <w:szCs w:val="20"/>
          <w:color w:val="auto"/>
        </w:rPr>
      </w:pPr>
      <w:r>
        <w:rPr>
          <w:rFonts w:ascii="Arial" w:cs="Arial" w:eastAsia="Arial" w:hAnsi="Arial"/>
          <w:sz w:val="22"/>
          <w:szCs w:val="22"/>
          <w:color w:val="auto"/>
        </w:rPr>
        <w:t xml:space="preserve">on the Trustee with respect to Notes;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 such direction shall not be in conflict with any rule of law or with this Indenture, and (ii) the Trustee may take any other action deemed proper by the Trustee that is not inconsistent with such direction. The Trustee may refuse to follow any direction that conflicts with any rule of law or with this Indenture, it determines is unduly prejudicial to the rights of any other Holder (it being understood that the Trustee does not have an affirmative duty to ascertain whether or not any such directions are unduly prejudicial to such Holders) or that would involve the Trustee in personal liability.</w:t>
      </w:r>
    </w:p>
    <w:p>
      <w:pPr>
        <w:spacing w:after="0" w:line="140" w:lineRule="exact"/>
        <w:rPr>
          <w:sz w:val="20"/>
          <w:szCs w:val="20"/>
          <w:color w:val="auto"/>
        </w:rPr>
      </w:pPr>
    </w:p>
    <w:p>
      <w:pPr>
        <w:jc w:val="both"/>
        <w:ind w:left="120" w:right="160" w:firstLine="847"/>
        <w:spacing w:after="0" w:line="260" w:lineRule="auto"/>
        <w:tabs>
          <w:tab w:leader="none" w:pos="1389"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Holders of a majority in aggregate principal amount of the Notes at the time outstanding may on behalf of the Holders of all of the Notes waive any past Default or Event of Default hereunder and rescind any acceleration with respect to the Notes and its consequences hereunder except:</w:t>
      </w:r>
    </w:p>
    <w:p>
      <w:pPr>
        <w:spacing w:after="0" w:line="123" w:lineRule="exact"/>
        <w:rPr>
          <w:rFonts w:ascii="Arial" w:cs="Arial" w:eastAsia="Arial" w:hAnsi="Arial"/>
          <w:sz w:val="22"/>
          <w:szCs w:val="22"/>
          <w:color w:val="auto"/>
        </w:rPr>
      </w:pPr>
    </w:p>
    <w:p>
      <w:pPr>
        <w:ind w:left="500" w:right="240" w:firstLine="805"/>
        <w:spacing w:after="0" w:line="276" w:lineRule="auto"/>
        <w:tabs>
          <w:tab w:leader="none" w:pos="1694" w:val="left"/>
        </w:tabs>
        <w:numPr>
          <w:ilvl w:val="1"/>
          <w:numId w:val="82"/>
        </w:numPr>
        <w:rPr>
          <w:rFonts w:ascii="Arial" w:cs="Arial" w:eastAsia="Arial" w:hAnsi="Arial"/>
          <w:sz w:val="22"/>
          <w:szCs w:val="22"/>
          <w:color w:val="auto"/>
        </w:rPr>
      </w:pPr>
      <w:r>
        <w:rPr>
          <w:rFonts w:ascii="Arial" w:cs="Arial" w:eastAsia="Arial" w:hAnsi="Arial"/>
          <w:sz w:val="22"/>
          <w:szCs w:val="22"/>
          <w:color w:val="auto"/>
        </w:rPr>
        <w:t>a default in the payment of the principal (including any Fundamental Change Repurchase Price, if applicable) of, or accrued and unpaid interest, if any, on the Notes;</w:t>
      </w:r>
    </w:p>
    <w:p>
      <w:pPr>
        <w:spacing w:after="0" w:line="106" w:lineRule="exact"/>
        <w:rPr>
          <w:rFonts w:ascii="Arial" w:cs="Arial" w:eastAsia="Arial" w:hAnsi="Arial"/>
          <w:sz w:val="22"/>
          <w:szCs w:val="22"/>
          <w:color w:val="auto"/>
        </w:rPr>
      </w:pPr>
    </w:p>
    <w:p>
      <w:pPr>
        <w:ind w:left="1800" w:hanging="495"/>
        <w:spacing w:after="0"/>
        <w:tabs>
          <w:tab w:leader="none" w:pos="1800" w:val="left"/>
        </w:tabs>
        <w:numPr>
          <w:ilvl w:val="1"/>
          <w:numId w:val="82"/>
        </w:numPr>
        <w:rPr>
          <w:rFonts w:ascii="Arial" w:cs="Arial" w:eastAsia="Arial" w:hAnsi="Arial"/>
          <w:sz w:val="22"/>
          <w:szCs w:val="22"/>
          <w:color w:val="auto"/>
        </w:rPr>
      </w:pPr>
      <w:r>
        <w:rPr>
          <w:rFonts w:ascii="Arial" w:cs="Arial" w:eastAsia="Arial" w:hAnsi="Arial"/>
          <w:sz w:val="22"/>
          <w:szCs w:val="22"/>
          <w:color w:val="auto"/>
        </w:rPr>
        <w:t>a failure by the Company to deliver the consideration due upon conversion of the Notes; or</w:t>
      </w:r>
    </w:p>
    <w:p>
      <w:pPr>
        <w:spacing w:after="0" w:line="179" w:lineRule="exact"/>
        <w:rPr>
          <w:rFonts w:ascii="Arial" w:cs="Arial" w:eastAsia="Arial" w:hAnsi="Arial"/>
          <w:sz w:val="22"/>
          <w:szCs w:val="22"/>
          <w:color w:val="auto"/>
        </w:rPr>
      </w:pPr>
    </w:p>
    <w:p>
      <w:pPr>
        <w:ind w:left="1800" w:hanging="495"/>
        <w:spacing w:after="0"/>
        <w:tabs>
          <w:tab w:leader="none" w:pos="1800" w:val="left"/>
        </w:tabs>
        <w:numPr>
          <w:ilvl w:val="1"/>
          <w:numId w:val="82"/>
        </w:numPr>
        <w:rPr>
          <w:rFonts w:ascii="Arial" w:cs="Arial" w:eastAsia="Arial" w:hAnsi="Arial"/>
          <w:sz w:val="19"/>
          <w:szCs w:val="19"/>
          <w:color w:val="auto"/>
        </w:rPr>
      </w:pPr>
      <w:r>
        <w:rPr>
          <w:rFonts w:ascii="Arial" w:cs="Arial" w:eastAsia="Arial" w:hAnsi="Arial"/>
          <w:sz w:val="19"/>
          <w:szCs w:val="19"/>
          <w:color w:val="auto"/>
        </w:rPr>
        <w:t>with respect to any other provision that requires the consent of each affected Holder pursuant to Section 10.02</w:t>
      </w:r>
    </w:p>
    <w:p>
      <w:pPr>
        <w:spacing w:after="0" w:line="56" w:lineRule="exact"/>
        <w:rPr>
          <w:rFonts w:ascii="Arial" w:cs="Arial" w:eastAsia="Arial" w:hAnsi="Arial"/>
          <w:sz w:val="19"/>
          <w:szCs w:val="19"/>
          <w:color w:val="auto"/>
        </w:rPr>
      </w:pPr>
    </w:p>
    <w:p>
      <w:pPr>
        <w:ind w:left="500"/>
        <w:spacing w:after="0"/>
        <w:rPr>
          <w:rFonts w:ascii="Arial" w:cs="Arial" w:eastAsia="Arial" w:hAnsi="Arial"/>
          <w:sz w:val="19"/>
          <w:szCs w:val="19"/>
          <w:color w:val="auto"/>
        </w:rPr>
      </w:pPr>
      <w:r>
        <w:rPr>
          <w:rFonts w:ascii="Arial" w:cs="Arial" w:eastAsia="Arial" w:hAnsi="Arial"/>
          <w:sz w:val="22"/>
          <w:szCs w:val="22"/>
          <w:color w:val="auto"/>
        </w:rPr>
        <w:t>to amend;</w:t>
      </w:r>
    </w:p>
    <w:p>
      <w:pPr>
        <w:spacing w:after="0" w:line="1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in the case of the rescission of any acceleration with respect to the Notes, (1) the rescission would not conflict with</w:t>
      </w:r>
      <w:r>
        <w:rPr>
          <w:rFonts w:ascii="Arial" w:cs="Arial" w:eastAsia="Arial" w:hAnsi="Arial"/>
          <w:sz w:val="22"/>
          <w:szCs w:val="22"/>
          <w:i w:val="1"/>
          <w:iCs w:val="1"/>
          <w:color w:val="auto"/>
        </w:rPr>
        <w:t xml:space="preserve"> </w:t>
      </w:r>
      <w:r>
        <w:rPr>
          <w:rFonts w:ascii="Arial" w:cs="Arial" w:eastAsia="Arial" w:hAnsi="Arial"/>
          <w:sz w:val="22"/>
          <w:szCs w:val="22"/>
          <w:color w:val="auto"/>
        </w:rPr>
        <w:t>any judgment or decree of a court of competent jurisdiction and (2) all existing Events of Default (other than the nonpayment of the principal of and interest on the Notes that have become due solely by such declaration of acceleration) have been cured or waived and all amounts owing to the Trustee have been paid.</w:t>
      </w:r>
    </w:p>
    <w:p>
      <w:pPr>
        <w:spacing w:after="0" w:line="134" w:lineRule="exact"/>
        <w:rPr>
          <w:sz w:val="20"/>
          <w:szCs w:val="20"/>
          <w:color w:val="auto"/>
        </w:rPr>
      </w:pPr>
    </w:p>
    <w:p>
      <w:pPr>
        <w:ind w:right="180"/>
        <w:spacing w:after="0" w:line="312" w:lineRule="auto"/>
        <w:rPr>
          <w:sz w:val="20"/>
          <w:szCs w:val="20"/>
          <w:color w:val="auto"/>
        </w:rPr>
      </w:pPr>
      <w:r>
        <w:rPr>
          <w:rFonts w:ascii="Arial" w:cs="Arial" w:eastAsia="Arial" w:hAnsi="Arial"/>
          <w:sz w:val="19"/>
          <w:szCs w:val="19"/>
          <w:color w:val="auto"/>
        </w:rPr>
        <w:t>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80" w:lineRule="exact"/>
        <w:rPr>
          <w:sz w:val="20"/>
          <w:szCs w:val="20"/>
          <w:color w:val="auto"/>
        </w:rPr>
      </w:pPr>
    </w:p>
    <w:p>
      <w:pPr>
        <w:ind w:right="20"/>
        <w:spacing w:after="0" w:line="294" w:lineRule="auto"/>
        <w:rPr>
          <w:sz w:val="20"/>
          <w:szCs w:val="20"/>
          <w:color w:val="auto"/>
        </w:rPr>
      </w:pPr>
      <w:r>
        <w:rPr>
          <w:rFonts w:ascii="Arial" w:cs="Arial" w:eastAsia="Arial" w:hAnsi="Arial"/>
          <w:sz w:val="19"/>
          <w:szCs w:val="19"/>
          <w:color w:val="auto"/>
        </w:rPr>
        <w:t>Section 6.10</w:t>
      </w:r>
      <w:r>
        <w:rPr>
          <w:rFonts w:ascii="Arial" w:cs="Arial" w:eastAsia="Arial" w:hAnsi="Arial"/>
          <w:sz w:val="19"/>
          <w:szCs w:val="19"/>
          <w:i w:val="1"/>
          <w:iCs w:val="1"/>
          <w:color w:val="auto"/>
        </w:rPr>
        <w:t>. Notice of Defaults.</w:t>
      </w:r>
      <w:r>
        <w:rPr>
          <w:rFonts w:ascii="Arial" w:cs="Arial" w:eastAsia="Arial" w:hAnsi="Arial"/>
          <w:sz w:val="19"/>
          <w:szCs w:val="19"/>
          <w:color w:val="auto"/>
        </w:rPr>
        <w:t xml:space="preserve"> If a Default occurs and is continuing and a Responsible Officer of the Trustee is notified in writing of such Default, the Trustee shall deliver to all Holders as the names and addresses of such Holders appear upon the Note Register notice of such Default within 90 days after it is notified. Except in the case of a Default in the payment of principal of (including the Fundamental Change Repurchase Price, if applicable) or accrued and unpaid interest, if any, on any Note or a Default in the payment or delivery of the consideration due upon conversion, the Trustee shall be protected in withholding such notice if and so long as the Trustee in good faith determines that the withholding of such notice is in the interests of the Holders.</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Section 6.11</w:t>
      </w:r>
      <w:r>
        <w:rPr>
          <w:rFonts w:ascii="Arial" w:cs="Arial" w:eastAsia="Arial" w:hAnsi="Arial"/>
          <w:sz w:val="22"/>
          <w:szCs w:val="22"/>
          <w:i w:val="1"/>
          <w:iCs w:val="1"/>
          <w:color w:val="auto"/>
        </w:rPr>
        <w:t>. Undertaking to Pay Costs.</w:t>
      </w:r>
      <w:r>
        <w:rPr>
          <w:rFonts w:ascii="Arial" w:cs="Arial" w:eastAsia="Arial" w:hAnsi="Arial"/>
          <w:sz w:val="22"/>
          <w:szCs w:val="22"/>
          <w:color w:val="auto"/>
        </w:rPr>
        <w:t xml:space="preserve"> All parties to this Indenture agree, and each Holder of any Note by its acceptance thereof shall be deemed to have agreed, that any court may, in its discretion, require, in any suit for the enforcement of any right or remedy under this Indenture, or</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375" w:right="239" w:bottom="1440" w:gutter="0" w:footer="0" w:header="0"/>
        </w:sectPr>
      </w:pPr>
    </w:p>
    <w:bookmarkStart w:id="116" w:name="page117"/>
    <w:bookmarkEnd w:id="116"/>
    <w:p>
      <w:pPr>
        <w:jc w:val="both"/>
        <w:spacing w:after="0" w:line="289" w:lineRule="auto"/>
        <w:rPr>
          <w:sz w:val="20"/>
          <w:szCs w:val="20"/>
          <w:color w:val="auto"/>
        </w:rPr>
      </w:pPr>
      <w:r>
        <w:rPr>
          <w:rFonts w:ascii="Arial" w:cs="Arial" w:eastAsia="Arial" w:hAnsi="Arial"/>
          <w:sz w:val="19"/>
          <w:szCs w:val="19"/>
          <w:color w:val="auto"/>
        </w:rPr>
        <w:t xml:space="preserve">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provisions of this Section 6.11 (to the extent permitted by law) shall not apply to any suit instituted by the Trustee, to any suit instituted by any Holder, or group of Holders, holding in the aggregate more than 10% in principal amount of the Notes at the time outstanding, or to any suit instituted by any Holder for the enforcement of the payment of the principal of (including, but not limited to, the Fundamental Change Repurchase Price with respect to the Notes being purchased as provided in this Indenture) or accrued and unpaid interest, if any, on any Note on or after the due date expressed or provided for in such Note or to any suit for the enforcement of the payment or delivery of consideration due upon conversion.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7</w:t>
      </w:r>
    </w:p>
    <w:p>
      <w:pPr>
        <w:spacing w:after="0" w:line="22"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C</w:t>
      </w:r>
      <w:r>
        <w:rPr>
          <w:rFonts w:ascii="Arial" w:cs="Arial" w:eastAsia="Arial" w:hAnsi="Arial"/>
          <w:sz w:val="18"/>
          <w:szCs w:val="18"/>
          <w:color w:val="auto"/>
        </w:rPr>
        <w:t>ONCERNING THE</w:t>
      </w:r>
      <w:r>
        <w:rPr>
          <w:rFonts w:ascii="Arial" w:cs="Arial" w:eastAsia="Arial" w:hAnsi="Arial"/>
          <w:sz w:val="22"/>
          <w:szCs w:val="22"/>
          <w:color w:val="auto"/>
        </w:rPr>
        <w:t xml:space="preserve"> T</w:t>
      </w:r>
      <w:r>
        <w:rPr>
          <w:rFonts w:ascii="Arial" w:cs="Arial" w:eastAsia="Arial" w:hAnsi="Arial"/>
          <w:sz w:val="18"/>
          <w:szCs w:val="18"/>
          <w:color w:val="auto"/>
        </w:rPr>
        <w:t>RUSTEE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Section 7.01</w:t>
      </w:r>
      <w:r>
        <w:rPr>
          <w:rFonts w:ascii="Arial" w:cs="Arial" w:eastAsia="Arial" w:hAnsi="Arial"/>
          <w:sz w:val="22"/>
          <w:szCs w:val="22"/>
          <w:i w:val="1"/>
          <w:iCs w:val="1"/>
          <w:color w:val="auto"/>
        </w:rPr>
        <w:t>. Duties and Responsibilities of Trustee.</w:t>
      </w:r>
    </w:p>
    <w:p>
      <w:pPr>
        <w:spacing w:after="0" w:line="220" w:lineRule="exact"/>
        <w:rPr>
          <w:sz w:val="20"/>
          <w:szCs w:val="20"/>
          <w:color w:val="auto"/>
        </w:rPr>
      </w:pPr>
    </w:p>
    <w:p>
      <w:pPr>
        <w:ind w:left="960"/>
        <w:spacing w:after="0"/>
        <w:tabs>
          <w:tab w:leader="none" w:pos="13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Prior to the occurrence of an Event of Default and after the curing or waiving of all Events of Default that may have</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occurred:</w:t>
      </w:r>
    </w:p>
    <w:p>
      <w:pPr>
        <w:spacing w:after="0" w:line="215" w:lineRule="exact"/>
        <w:rPr>
          <w:sz w:val="20"/>
          <w:szCs w:val="20"/>
          <w:color w:val="auto"/>
        </w:rPr>
      </w:pPr>
    </w:p>
    <w:p>
      <w:pPr>
        <w:ind w:left="500" w:right="40" w:firstLine="805"/>
        <w:spacing w:after="0" w:line="320" w:lineRule="auto"/>
        <w:tabs>
          <w:tab w:leader="none" w:pos="1694" w:val="left"/>
        </w:tabs>
        <w:numPr>
          <w:ilvl w:val="1"/>
          <w:numId w:val="83"/>
        </w:numPr>
        <w:rPr>
          <w:rFonts w:ascii="Arial" w:cs="Arial" w:eastAsia="Arial" w:hAnsi="Arial"/>
          <w:sz w:val="19"/>
          <w:szCs w:val="19"/>
          <w:color w:val="auto"/>
        </w:rPr>
      </w:pPr>
      <w:r>
        <w:rPr>
          <w:rFonts w:ascii="Arial" w:cs="Arial" w:eastAsia="Arial" w:hAnsi="Arial"/>
          <w:sz w:val="19"/>
          <w:szCs w:val="19"/>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25" w:lineRule="exact"/>
        <w:rPr>
          <w:rFonts w:ascii="Arial" w:cs="Arial" w:eastAsia="Arial" w:hAnsi="Arial"/>
          <w:sz w:val="19"/>
          <w:szCs w:val="19"/>
          <w:color w:val="auto"/>
        </w:rPr>
      </w:pPr>
    </w:p>
    <w:p>
      <w:pPr>
        <w:ind w:left="500" w:right="180" w:firstLine="805"/>
        <w:spacing w:after="0" w:line="264" w:lineRule="auto"/>
        <w:tabs>
          <w:tab w:leader="none" w:pos="1754" w:val="left"/>
        </w:tabs>
        <w:numPr>
          <w:ilvl w:val="1"/>
          <w:numId w:val="83"/>
        </w:numPr>
        <w:rPr>
          <w:rFonts w:ascii="Arial" w:cs="Arial" w:eastAsia="Arial" w:hAnsi="Arial"/>
          <w:sz w:val="21"/>
          <w:szCs w:val="21"/>
          <w:color w:val="auto"/>
        </w:rPr>
      </w:pPr>
      <w:r>
        <w:rPr>
          <w:rFonts w:ascii="Arial" w:cs="Arial" w:eastAsia="Arial" w:hAnsi="Arial"/>
          <w:sz w:val="21"/>
          <w:szCs w:val="21"/>
          <w:color w:val="auto"/>
        </w:rPr>
        <w:t>in the absence of bad faith or willful misconduct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w:t>
      </w:r>
    </w:p>
    <w:p>
      <w:pPr>
        <w:spacing w:after="0" w:line="175" w:lineRule="exact"/>
        <w:rPr>
          <w:rFonts w:ascii="Arial" w:cs="Arial" w:eastAsia="Arial" w:hAnsi="Arial"/>
          <w:sz w:val="21"/>
          <w:szCs w:val="21"/>
          <w:color w:val="auto"/>
        </w:rPr>
      </w:pPr>
    </w:p>
    <w:p>
      <w:pPr>
        <w:ind w:left="120" w:right="340" w:firstLine="847"/>
        <w:spacing w:after="0" w:line="260" w:lineRule="auto"/>
        <w:tabs>
          <w:tab w:leader="none" w:pos="1389" w:val="left"/>
        </w:tabs>
        <w:numPr>
          <w:ilvl w:val="0"/>
          <w:numId w:val="84"/>
        </w:numPr>
        <w:rPr>
          <w:rFonts w:ascii="Arial" w:cs="Arial" w:eastAsia="Arial" w:hAnsi="Arial"/>
          <w:sz w:val="22"/>
          <w:szCs w:val="22"/>
          <w:color w:val="auto"/>
        </w:rPr>
      </w:pPr>
      <w:r>
        <w:rPr>
          <w:rFonts w:ascii="Arial" w:cs="Arial" w:eastAsia="Arial" w:hAnsi="Arial"/>
          <w:sz w:val="22"/>
          <w:szCs w:val="22"/>
          <w:color w:val="auto"/>
        </w:rPr>
        <w:t>In the event an Event of Default has occurred and is continuing, the Trustee shall exercise such of the rights and powers vested in it by this Indenture, and use the same degree of care and skill in their exercise, as a prudent person would exercise or use under the circumstances in the conduct of such person’s own affairs.</w:t>
      </w:r>
    </w:p>
    <w:p>
      <w:pPr>
        <w:spacing w:after="0" w:line="177" w:lineRule="exact"/>
        <w:rPr>
          <w:rFonts w:ascii="Arial" w:cs="Arial" w:eastAsia="Arial" w:hAnsi="Arial"/>
          <w:sz w:val="22"/>
          <w:szCs w:val="22"/>
          <w:color w:val="auto"/>
        </w:rPr>
      </w:pPr>
    </w:p>
    <w:p>
      <w:pPr>
        <w:ind w:left="120" w:right="240" w:firstLine="847"/>
        <w:spacing w:after="0" w:line="276" w:lineRule="auto"/>
        <w:tabs>
          <w:tab w:leader="none" w:pos="1377" w:val="left"/>
        </w:tabs>
        <w:numPr>
          <w:ilvl w:val="0"/>
          <w:numId w:val="84"/>
        </w:numPr>
        <w:rPr>
          <w:rFonts w:ascii="Arial" w:cs="Arial" w:eastAsia="Arial" w:hAnsi="Arial"/>
          <w:sz w:val="22"/>
          <w:szCs w:val="22"/>
          <w:color w:val="auto"/>
        </w:rPr>
      </w:pPr>
      <w:r>
        <w:rPr>
          <w:rFonts w:ascii="Arial" w:cs="Arial" w:eastAsia="Arial" w:hAnsi="Arial"/>
          <w:sz w:val="22"/>
          <w:szCs w:val="22"/>
          <w:color w:val="auto"/>
        </w:rPr>
        <w:t>No provision of this Indenture shall be construed to relieve the Trustee from liability for its own negligent action, its own negligent failure to act or its own willful misconduct, except that: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375" w:right="239" w:bottom="1440" w:gutter="0" w:footer="0" w:header="0"/>
        </w:sectPr>
      </w:pPr>
    </w:p>
    <w:bookmarkStart w:id="117" w:name="page118"/>
    <w:bookmarkEnd w:id="117"/>
    <w:p>
      <w:pPr>
        <w:ind w:left="1680" w:hanging="375"/>
        <w:spacing w:after="0"/>
        <w:tabs>
          <w:tab w:leader="none" w:pos="1680" w:val="left"/>
        </w:tabs>
        <w:numPr>
          <w:ilvl w:val="1"/>
          <w:numId w:val="85"/>
        </w:numPr>
        <w:rPr>
          <w:rFonts w:ascii="Arial" w:cs="Arial" w:eastAsia="Arial" w:hAnsi="Arial"/>
          <w:sz w:val="22"/>
          <w:szCs w:val="22"/>
          <w:color w:val="auto"/>
        </w:rPr>
      </w:pPr>
      <w:r>
        <w:rPr>
          <w:rFonts w:ascii="Arial" w:cs="Arial" w:eastAsia="Arial" w:hAnsi="Arial"/>
          <w:sz w:val="22"/>
          <w:szCs w:val="22"/>
          <w:color w:val="auto"/>
        </w:rPr>
        <w:t>this subsection shall not be construed to limit the effect of subsection (a) of this Section;</w:t>
      </w:r>
    </w:p>
    <w:p>
      <w:pPr>
        <w:spacing w:after="0" w:line="233" w:lineRule="exact"/>
        <w:rPr>
          <w:rFonts w:ascii="Arial" w:cs="Arial" w:eastAsia="Arial" w:hAnsi="Arial"/>
          <w:sz w:val="22"/>
          <w:szCs w:val="22"/>
          <w:color w:val="auto"/>
        </w:rPr>
      </w:pPr>
    </w:p>
    <w:p>
      <w:pPr>
        <w:ind w:left="500" w:firstLine="805"/>
        <w:spacing w:after="0" w:line="301" w:lineRule="auto"/>
        <w:tabs>
          <w:tab w:leader="none" w:pos="1754" w:val="left"/>
        </w:tabs>
        <w:numPr>
          <w:ilvl w:val="1"/>
          <w:numId w:val="85"/>
        </w:numPr>
        <w:rPr>
          <w:rFonts w:ascii="Arial" w:cs="Arial" w:eastAsia="Arial" w:hAnsi="Arial"/>
          <w:sz w:val="21"/>
          <w:szCs w:val="21"/>
          <w:color w:val="auto"/>
        </w:rPr>
      </w:pPr>
      <w:r>
        <w:rPr>
          <w:rFonts w:ascii="Arial" w:cs="Arial" w:eastAsia="Arial" w:hAnsi="Arial"/>
          <w:sz w:val="21"/>
          <w:szCs w:val="21"/>
          <w:color w:val="auto"/>
        </w:rPr>
        <w:t>the Trustee shall not be liable for any error of judgment made in good faith by a Responsible Officer or Officers of the Trustee, unless it shall be proved that the Trustee was negligent in ascertaining the pertinent facts;</w:t>
      </w:r>
    </w:p>
    <w:p>
      <w:pPr>
        <w:spacing w:after="0" w:line="137" w:lineRule="exact"/>
        <w:rPr>
          <w:rFonts w:ascii="Arial" w:cs="Arial" w:eastAsia="Arial" w:hAnsi="Arial"/>
          <w:sz w:val="21"/>
          <w:szCs w:val="21"/>
          <w:color w:val="auto"/>
        </w:rPr>
      </w:pPr>
    </w:p>
    <w:p>
      <w:pPr>
        <w:ind w:left="500" w:right="40" w:firstLine="805"/>
        <w:spacing w:after="0" w:line="251" w:lineRule="auto"/>
        <w:tabs>
          <w:tab w:leader="none" w:pos="1814" w:val="left"/>
        </w:tabs>
        <w:numPr>
          <w:ilvl w:val="1"/>
          <w:numId w:val="85"/>
        </w:numPr>
        <w:rPr>
          <w:rFonts w:ascii="Arial" w:cs="Arial" w:eastAsia="Arial" w:hAnsi="Arial"/>
          <w:sz w:val="22"/>
          <w:szCs w:val="22"/>
          <w:color w:val="auto"/>
        </w:rPr>
      </w:pPr>
      <w:r>
        <w:rPr>
          <w:rFonts w:ascii="Arial" w:cs="Arial" w:eastAsia="Arial" w:hAnsi="Arial"/>
          <w:sz w:val="22"/>
          <w:szCs w:val="22"/>
          <w:color w:val="auto"/>
        </w:rPr>
        <w:t>the Trustee shall not be liable with respect to any action taken or omitted to be taken by it in good faith in accordance with the written direction of the Holders of not less than a majority of the aggregate principal amount of the Notes at the time outstanding determined as provided in Article 8 relating to the time, method and place of conducting any proceeding for any remedy available to the Trustee, or exercising any trust or power conferred upon the Trustee, under this Indenture; and</w:t>
      </w:r>
    </w:p>
    <w:p>
      <w:pPr>
        <w:spacing w:after="0" w:line="189" w:lineRule="exact"/>
        <w:rPr>
          <w:rFonts w:ascii="Arial" w:cs="Arial" w:eastAsia="Arial" w:hAnsi="Arial"/>
          <w:sz w:val="22"/>
          <w:szCs w:val="22"/>
          <w:color w:val="auto"/>
        </w:rPr>
      </w:pPr>
    </w:p>
    <w:p>
      <w:pPr>
        <w:jc w:val="both"/>
        <w:ind w:left="500" w:right="100" w:firstLine="805"/>
        <w:spacing w:after="0" w:line="254" w:lineRule="auto"/>
        <w:tabs>
          <w:tab w:leader="none" w:pos="1802" w:val="left"/>
        </w:tabs>
        <w:numPr>
          <w:ilvl w:val="1"/>
          <w:numId w:val="85"/>
        </w:numPr>
        <w:rPr>
          <w:rFonts w:ascii="Arial" w:cs="Arial" w:eastAsia="Arial" w:hAnsi="Arial"/>
          <w:sz w:val="22"/>
          <w:szCs w:val="22"/>
          <w:color w:val="auto"/>
        </w:rPr>
      </w:pPr>
      <w:r>
        <w:rPr>
          <w:rFonts w:ascii="Arial" w:cs="Arial" w:eastAsia="Arial" w:hAnsi="Arial"/>
          <w:sz w:val="22"/>
          <w:szCs w:val="22"/>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85" w:lineRule="exact"/>
        <w:rPr>
          <w:rFonts w:ascii="Arial" w:cs="Arial" w:eastAsia="Arial" w:hAnsi="Arial"/>
          <w:sz w:val="22"/>
          <w:szCs w:val="22"/>
          <w:color w:val="auto"/>
        </w:rPr>
      </w:pPr>
    </w:p>
    <w:p>
      <w:pPr>
        <w:ind w:left="120" w:right="200" w:firstLine="847"/>
        <w:spacing w:after="0" w:line="276" w:lineRule="auto"/>
        <w:tabs>
          <w:tab w:leader="none" w:pos="1389" w:val="left"/>
        </w:tabs>
        <w:numPr>
          <w:ilvl w:val="0"/>
          <w:numId w:val="86"/>
        </w:numPr>
        <w:rPr>
          <w:rFonts w:ascii="Arial" w:cs="Arial" w:eastAsia="Arial" w:hAnsi="Arial"/>
          <w:sz w:val="22"/>
          <w:szCs w:val="22"/>
          <w:color w:val="auto"/>
        </w:rPr>
      </w:pPr>
      <w:r>
        <w:rPr>
          <w:rFonts w:ascii="Arial" w:cs="Arial" w:eastAsia="Arial" w:hAnsi="Arial"/>
          <w:sz w:val="22"/>
          <w:szCs w:val="22"/>
          <w:color w:val="auto"/>
        </w:rPr>
        <w:t>Whether or not therein provided, every provision of this Indenture relating to the conduct or affecting the liability of, or affording protection to, the Trustee shall be subject to the provisions of this Section 7.01.</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Section 7.02</w:t>
      </w:r>
      <w:r>
        <w:rPr>
          <w:rFonts w:ascii="Arial" w:cs="Arial" w:eastAsia="Arial" w:hAnsi="Arial"/>
          <w:sz w:val="22"/>
          <w:szCs w:val="22"/>
          <w:i w:val="1"/>
          <w:iCs w:val="1"/>
          <w:color w:val="auto"/>
        </w:rPr>
        <w:t>. Certain Rights of the Trustee</w:t>
      </w:r>
      <w:r>
        <w:rPr>
          <w:rFonts w:ascii="Arial" w:cs="Arial" w:eastAsia="Arial" w:hAnsi="Arial"/>
          <w:sz w:val="22"/>
          <w:szCs w:val="22"/>
          <w:color w:val="auto"/>
        </w:rPr>
        <w:t>.</w:t>
      </w:r>
    </w:p>
    <w:p>
      <w:pPr>
        <w:spacing w:after="0" w:line="166" w:lineRule="exact"/>
        <w:rPr>
          <w:sz w:val="20"/>
          <w:szCs w:val="20"/>
          <w:color w:val="auto"/>
        </w:rPr>
      </w:pPr>
    </w:p>
    <w:p>
      <w:pPr>
        <w:ind w:left="120" w:right="100" w:firstLine="847"/>
        <w:spacing w:after="0" w:line="278" w:lineRule="auto"/>
        <w:tabs>
          <w:tab w:leader="none" w:pos="1377" w:val="left"/>
        </w:tabs>
        <w:numPr>
          <w:ilvl w:val="0"/>
          <w:numId w:val="87"/>
        </w:numPr>
        <w:rPr>
          <w:rFonts w:ascii="Arial" w:cs="Arial" w:eastAsia="Arial" w:hAnsi="Arial"/>
          <w:sz w:val="21"/>
          <w:szCs w:val="21"/>
          <w:color w:val="auto"/>
        </w:rPr>
      </w:pPr>
      <w:r>
        <w:rPr>
          <w:rFonts w:ascii="Arial" w:cs="Arial" w:eastAsia="Arial" w:hAnsi="Arial"/>
          <w:sz w:val="21"/>
          <w:szCs w:val="21"/>
          <w:color w:val="auto"/>
        </w:rPr>
        <w:t>The Trustee may conclusively rely and shall be fully protected in acting upon any resolution, certificate, statement, instrument, opinion, report, notice, request, consent, order, bond, note, coupon or other paper or document believed by it in good faith to be genuine and to have been signed or presented by the proper party or parties;</w:t>
      </w:r>
    </w:p>
    <w:p>
      <w:pPr>
        <w:spacing w:after="0" w:line="106" w:lineRule="exact"/>
        <w:rPr>
          <w:rFonts w:ascii="Arial" w:cs="Arial" w:eastAsia="Arial" w:hAnsi="Arial"/>
          <w:sz w:val="21"/>
          <w:szCs w:val="21"/>
          <w:color w:val="auto"/>
        </w:rPr>
      </w:pPr>
    </w:p>
    <w:p>
      <w:pPr>
        <w:ind w:left="120" w:right="40" w:firstLine="847"/>
        <w:spacing w:after="0" w:line="320" w:lineRule="auto"/>
        <w:tabs>
          <w:tab w:leader="none" w:pos="1389" w:val="left"/>
        </w:tabs>
        <w:numPr>
          <w:ilvl w:val="0"/>
          <w:numId w:val="87"/>
        </w:numPr>
        <w:rPr>
          <w:rFonts w:ascii="Arial" w:cs="Arial" w:eastAsia="Arial" w:hAnsi="Arial"/>
          <w:sz w:val="19"/>
          <w:szCs w:val="19"/>
          <w:color w:val="auto"/>
        </w:rPr>
      </w:pPr>
      <w:r>
        <w:rPr>
          <w:rFonts w:ascii="Arial" w:cs="Arial" w:eastAsia="Arial" w:hAnsi="Arial"/>
          <w:sz w:val="19"/>
          <w:szCs w:val="19"/>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71" w:lineRule="exact"/>
        <w:rPr>
          <w:rFonts w:ascii="Arial" w:cs="Arial" w:eastAsia="Arial" w:hAnsi="Arial"/>
          <w:sz w:val="19"/>
          <w:szCs w:val="19"/>
          <w:color w:val="auto"/>
        </w:rPr>
      </w:pPr>
    </w:p>
    <w:p>
      <w:pPr>
        <w:ind w:left="120" w:right="40" w:firstLine="847"/>
        <w:spacing w:after="0" w:line="260" w:lineRule="auto"/>
        <w:tabs>
          <w:tab w:leader="none" w:pos="1377"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spacing w:after="0" w:line="123" w:lineRule="exact"/>
        <w:rPr>
          <w:rFonts w:ascii="Arial" w:cs="Arial" w:eastAsia="Arial" w:hAnsi="Arial"/>
          <w:sz w:val="22"/>
          <w:szCs w:val="22"/>
          <w:color w:val="auto"/>
        </w:rPr>
      </w:pPr>
    </w:p>
    <w:p>
      <w:pPr>
        <w:ind w:left="120" w:firstLine="847"/>
        <w:spacing w:after="0" w:line="266" w:lineRule="auto"/>
        <w:tabs>
          <w:tab w:leader="none" w:pos="1389" w:val="left"/>
        </w:tabs>
        <w:numPr>
          <w:ilvl w:val="0"/>
          <w:numId w:val="87"/>
        </w:numPr>
        <w:rPr>
          <w:rFonts w:ascii="Arial" w:cs="Arial" w:eastAsia="Arial" w:hAnsi="Arial"/>
          <w:sz w:val="21"/>
          <w:szCs w:val="21"/>
          <w:color w:val="auto"/>
        </w:rPr>
      </w:pPr>
      <w:r>
        <w:rPr>
          <w:rFonts w:ascii="Arial" w:cs="Arial" w:eastAsia="Arial" w:hAnsi="Arial"/>
          <w:sz w:val="21"/>
          <w:szCs w:val="21"/>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at a reasonable time on any Business Day, to examine the books, records and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375" w:right="239" w:bottom="1440" w:gutter="0" w:footer="0" w:header="0"/>
        </w:sectPr>
      </w:pPr>
    </w:p>
    <w:bookmarkStart w:id="118" w:name="page119"/>
    <w:bookmarkEnd w:id="118"/>
    <w:p>
      <w:pPr>
        <w:ind w:right="420"/>
        <w:spacing w:after="0" w:line="263" w:lineRule="auto"/>
        <w:rPr>
          <w:sz w:val="20"/>
          <w:szCs w:val="20"/>
          <w:color w:val="auto"/>
        </w:rPr>
      </w:pPr>
      <w:r>
        <w:rPr>
          <w:rFonts w:ascii="Arial" w:cs="Arial" w:eastAsia="Arial" w:hAnsi="Arial"/>
          <w:sz w:val="22"/>
          <w:szCs w:val="22"/>
          <w:color w:val="auto"/>
        </w:rPr>
        <w:t>premises of the Company, personally or by agent or attorney at the expense of the Company and shall incur no liability of any kind by reason of such inquiry or investigation;</w:t>
      </w:r>
    </w:p>
    <w:p>
      <w:pPr>
        <w:spacing w:after="0" w:line="175" w:lineRule="exact"/>
        <w:rPr>
          <w:sz w:val="20"/>
          <w:szCs w:val="20"/>
          <w:color w:val="auto"/>
        </w:rPr>
      </w:pPr>
    </w:p>
    <w:p>
      <w:pPr>
        <w:ind w:right="60" w:firstLine="847"/>
        <w:spacing w:after="0" w:line="320" w:lineRule="auto"/>
        <w:tabs>
          <w:tab w:leader="none" w:pos="1257"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Trustee may execute any of the trusts or powers hereunder or perform any duties hereunder either directly or by or through duly authorized agents, custodians, nominees or attorneys and the Trustee shall not be responsible for any misconduct or negligence on the part of any agent, custodian, nominee or attorney appointed by it with due care hereunder;</w:t>
      </w:r>
    </w:p>
    <w:p>
      <w:pPr>
        <w:spacing w:after="0" w:line="125" w:lineRule="exact"/>
        <w:rPr>
          <w:rFonts w:ascii="Arial" w:cs="Arial" w:eastAsia="Arial" w:hAnsi="Arial"/>
          <w:sz w:val="19"/>
          <w:szCs w:val="19"/>
          <w:color w:val="auto"/>
        </w:rPr>
      </w:pPr>
    </w:p>
    <w:p>
      <w:pPr>
        <w:ind w:left="1240" w:hanging="393"/>
        <w:spacing w:after="0"/>
        <w:tabs>
          <w:tab w:leader="none" w:pos="124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permissive rights of the Trustee enumerated herein shall not be construed as duties;</w:t>
      </w:r>
    </w:p>
    <w:p>
      <w:pPr>
        <w:spacing w:after="0" w:line="233" w:lineRule="exact"/>
        <w:rPr>
          <w:rFonts w:ascii="Arial" w:cs="Arial" w:eastAsia="Arial" w:hAnsi="Arial"/>
          <w:sz w:val="22"/>
          <w:szCs w:val="22"/>
          <w:color w:val="auto"/>
        </w:rPr>
      </w:pPr>
    </w:p>
    <w:p>
      <w:pPr>
        <w:ind w:left="1280" w:hanging="433"/>
        <w:spacing w:after="0"/>
        <w:tabs>
          <w:tab w:leader="none" w:pos="12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right="60" w:firstLine="847"/>
        <w:spacing w:after="0" w:line="276" w:lineRule="auto"/>
        <w:tabs>
          <w:tab w:leader="none" w:pos="1269"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Trustee may request that the Company deliver a certificate setting forth the names of individuals and/or titles of Officers authorized at such time to take specified actions pursuant to this Indenture;</w:t>
      </w:r>
    </w:p>
    <w:p>
      <w:pPr>
        <w:spacing w:after="0" w:line="160" w:lineRule="exact"/>
        <w:rPr>
          <w:rFonts w:ascii="Arial" w:cs="Arial" w:eastAsia="Arial" w:hAnsi="Arial"/>
          <w:sz w:val="22"/>
          <w:szCs w:val="22"/>
          <w:color w:val="auto"/>
        </w:rPr>
      </w:pPr>
    </w:p>
    <w:p>
      <w:pPr>
        <w:jc w:val="both"/>
        <w:ind w:firstLine="847"/>
        <w:spacing w:after="0" w:line="260" w:lineRule="auto"/>
        <w:tabs>
          <w:tab w:leader="none" w:pos="1221" w:val="left"/>
        </w:tabs>
        <w:numPr>
          <w:ilvl w:val="0"/>
          <w:numId w:val="88"/>
        </w:numPr>
        <w:rPr>
          <w:rFonts w:ascii="Arial" w:cs="Arial" w:eastAsia="Arial" w:hAnsi="Arial"/>
          <w:sz w:val="22"/>
          <w:szCs w:val="22"/>
          <w:color w:val="auto"/>
        </w:rPr>
      </w:pPr>
      <w:r>
        <w:rPr>
          <w:rFonts w:ascii="Arial" w:cs="Arial" w:eastAsia="Arial" w:hAnsi="Arial"/>
          <w:sz w:val="22"/>
          <w:szCs w:val="22"/>
          <w:color w:val="auto"/>
        </w:rPr>
        <w:t>in no event shall the Trustee be liable for any special, indirect, punitive or consequential loss or damage of any kind whatsoever (including but not limited to lost profits), even if the Trustee has been advised of the likelihood of such loss or damage and regardless of the form of action;</w:t>
      </w:r>
    </w:p>
    <w:p>
      <w:pPr>
        <w:spacing w:after="0" w:line="177" w:lineRule="exact"/>
        <w:rPr>
          <w:rFonts w:ascii="Arial" w:cs="Arial" w:eastAsia="Arial" w:hAnsi="Arial"/>
          <w:sz w:val="22"/>
          <w:szCs w:val="22"/>
          <w:color w:val="auto"/>
        </w:rPr>
      </w:pPr>
    </w:p>
    <w:p>
      <w:pPr>
        <w:ind w:firstLine="847"/>
        <w:spacing w:after="0" w:line="307" w:lineRule="auto"/>
        <w:tabs>
          <w:tab w:leader="none" w:pos="1221"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Trustee shall not be charged with knowledge of any Default or Event of Default with respect to the Notes, unless either (1) a Default or Event of Default under Section 6.01(a) or (b) of this Indenture has occurred or (2) written notice of such Default or Event of Default shall have been given to a Responsible Officer of the Trustee by the Company or by any Holder of the Notes at the Corporate Trust Office of the Trustee and such notice references the Notes and this Indenture;</w:t>
      </w:r>
    </w:p>
    <w:p>
      <w:pPr>
        <w:spacing w:after="0" w:line="138" w:lineRule="exact"/>
        <w:rPr>
          <w:rFonts w:ascii="Arial" w:cs="Arial" w:eastAsia="Arial" w:hAnsi="Arial"/>
          <w:sz w:val="19"/>
          <w:szCs w:val="19"/>
          <w:color w:val="auto"/>
        </w:rPr>
      </w:pPr>
    </w:p>
    <w:p>
      <w:pPr>
        <w:jc w:val="both"/>
        <w:ind w:right="160" w:firstLine="847"/>
        <w:spacing w:after="0" w:line="260" w:lineRule="auto"/>
        <w:tabs>
          <w:tab w:leader="none" w:pos="1269"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Trustee shall not be liable in respect of any payment (as to the correctness of amount, entitlement to receive or any other matters relating to payment) or notice effected by the Company or any Paying Agent (if other than the Trustee) or any records maintained by any co-Note Registrar with respect to the Notes;</w:t>
      </w:r>
    </w:p>
    <w:p>
      <w:pPr>
        <w:spacing w:after="0" w:line="177" w:lineRule="exact"/>
        <w:rPr>
          <w:rFonts w:ascii="Arial" w:cs="Arial" w:eastAsia="Arial" w:hAnsi="Arial"/>
          <w:sz w:val="22"/>
          <w:szCs w:val="22"/>
          <w:color w:val="auto"/>
        </w:rPr>
      </w:pPr>
    </w:p>
    <w:p>
      <w:pPr>
        <w:ind w:right="320" w:firstLine="847"/>
        <w:spacing w:after="0" w:line="320" w:lineRule="auto"/>
        <w:tabs>
          <w:tab w:leader="none" w:pos="1221" w:val="left"/>
        </w:tabs>
        <w:numPr>
          <w:ilvl w:val="0"/>
          <w:numId w:val="88"/>
        </w:numPr>
        <w:rPr>
          <w:rFonts w:ascii="Arial" w:cs="Arial" w:eastAsia="Arial" w:hAnsi="Arial"/>
          <w:sz w:val="19"/>
          <w:szCs w:val="19"/>
          <w:color w:val="auto"/>
        </w:rPr>
      </w:pPr>
      <w:r>
        <w:rPr>
          <w:rFonts w:ascii="Arial" w:cs="Arial" w:eastAsia="Arial" w:hAnsi="Arial"/>
          <w:sz w:val="19"/>
          <w:szCs w:val="19"/>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conclusively rely upon an Officers’ Certificate;</w:t>
      </w:r>
    </w:p>
    <w:p>
      <w:pPr>
        <w:spacing w:after="0" w:line="125" w:lineRule="exact"/>
        <w:rPr>
          <w:rFonts w:ascii="Arial" w:cs="Arial" w:eastAsia="Arial" w:hAnsi="Arial"/>
          <w:sz w:val="19"/>
          <w:szCs w:val="19"/>
          <w:color w:val="auto"/>
        </w:rPr>
      </w:pPr>
    </w:p>
    <w:p>
      <w:pPr>
        <w:ind w:right="20" w:firstLine="847"/>
        <w:spacing w:after="0" w:line="260" w:lineRule="auto"/>
        <w:tabs>
          <w:tab w:leader="none" w:pos="1329" w:val="left"/>
        </w:tabs>
        <w:numPr>
          <w:ilvl w:val="0"/>
          <w:numId w:val="88"/>
        </w:numPr>
        <w:rPr>
          <w:rFonts w:ascii="Arial" w:cs="Arial" w:eastAsia="Arial" w:hAnsi="Arial"/>
          <w:sz w:val="22"/>
          <w:szCs w:val="22"/>
          <w:color w:val="auto"/>
        </w:rPr>
      </w:pPr>
      <w:r>
        <w:rPr>
          <w:rFonts w:ascii="Arial" w:cs="Arial" w:eastAsia="Arial" w:hAnsi="Arial"/>
          <w:sz w:val="22"/>
          <w:szCs w:val="22"/>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w:t>
      </w:r>
    </w:p>
    <w:p>
      <w:pPr>
        <w:spacing w:after="0" w:line="177" w:lineRule="exact"/>
        <w:rPr>
          <w:rFonts w:ascii="Arial" w:cs="Arial" w:eastAsia="Arial" w:hAnsi="Arial"/>
          <w:sz w:val="22"/>
          <w:szCs w:val="22"/>
          <w:color w:val="auto"/>
        </w:rPr>
      </w:pPr>
    </w:p>
    <w:p>
      <w:pPr>
        <w:jc w:val="both"/>
        <w:ind w:right="180" w:firstLine="847"/>
        <w:spacing w:after="0" w:line="260" w:lineRule="auto"/>
        <w:tabs>
          <w:tab w:leader="none" w:pos="1269"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rights and protections afforded to the Trustee under this Indenture, including, without limitation, its right to be indemnified, shall also be afforded to the Trustee in each of its capacities hereunder, and each agent, custodian and other Person employed to act hereunder;</w:t>
      </w:r>
    </w:p>
    <w:p>
      <w:pPr>
        <w:spacing w:after="0" w:line="200" w:lineRule="exact"/>
        <w:rPr>
          <w:sz w:val="20"/>
          <w:szCs w:val="20"/>
          <w:color w:val="auto"/>
        </w:rPr>
      </w:pP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300"/>
          </w:cols>
          <w:pgMar w:left="360" w:top="375" w:right="239" w:bottom="1440" w:gutter="0" w:footer="0" w:header="0"/>
        </w:sectPr>
      </w:pPr>
    </w:p>
    <w:bookmarkStart w:id="119" w:name="page120"/>
    <w:bookmarkEnd w:id="119"/>
    <w:p>
      <w:pPr>
        <w:jc w:val="both"/>
        <w:ind w:left="120" w:right="60" w:firstLine="847"/>
        <w:spacing w:after="0" w:line="307" w:lineRule="auto"/>
        <w:tabs>
          <w:tab w:leader="none" w:pos="1389" w:val="left"/>
        </w:tabs>
        <w:numPr>
          <w:ilvl w:val="0"/>
          <w:numId w:val="89"/>
        </w:numPr>
        <w:rPr>
          <w:rFonts w:ascii="Arial" w:cs="Arial" w:eastAsia="Arial" w:hAnsi="Arial"/>
          <w:sz w:val="19"/>
          <w:szCs w:val="19"/>
          <w:color w:val="auto"/>
        </w:rPr>
      </w:pPr>
      <w:r>
        <w:rPr>
          <w:rFonts w:ascii="Arial" w:cs="Arial" w:eastAsia="Arial" w:hAnsi="Arial"/>
          <w:sz w:val="19"/>
          <w:szCs w:val="19"/>
          <w:color w:val="auto"/>
        </w:rPr>
        <w:t>subject to this Article 7, if an Event of Default occurs and is continuing, the Trustee shall be under no obligation to exercise any of the rights or powers vested in it by this Indenture at the request or direction of any of the Holders pursuant to this Indenture, unless such Holders shall have offered to the Trustee security or indemnity reasonably satisfactory to the Trustee against any loss, liability and expense which might be incurred by it in compliance with such request or direction; and</w:t>
      </w:r>
    </w:p>
    <w:p>
      <w:pPr>
        <w:spacing w:after="0" w:line="84" w:lineRule="exact"/>
        <w:rPr>
          <w:rFonts w:ascii="Arial" w:cs="Arial" w:eastAsia="Arial" w:hAnsi="Arial"/>
          <w:sz w:val="19"/>
          <w:szCs w:val="19"/>
          <w:color w:val="auto"/>
        </w:rPr>
      </w:pPr>
    </w:p>
    <w:p>
      <w:pPr>
        <w:ind w:left="120" w:right="760" w:firstLine="847"/>
        <w:spacing w:after="0" w:line="358" w:lineRule="auto"/>
        <w:tabs>
          <w:tab w:leader="none" w:pos="1389"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Trustee shall not be liable for any action taken, suffered, or omitted to be taken by it in good faith and reasonably believed by it to be authorized or within the discretion or rights or powers conferred upon it by this Indenture.</w:t>
      </w:r>
    </w:p>
    <w:p>
      <w:pPr>
        <w:spacing w:after="0" w:line="37" w:lineRule="exact"/>
        <w:rPr>
          <w:sz w:val="20"/>
          <w:szCs w:val="20"/>
          <w:color w:val="auto"/>
        </w:rPr>
      </w:pPr>
    </w:p>
    <w:p>
      <w:pPr>
        <w:ind w:right="60"/>
        <w:spacing w:after="0" w:line="263" w:lineRule="auto"/>
        <w:rPr>
          <w:sz w:val="20"/>
          <w:szCs w:val="20"/>
          <w:color w:val="auto"/>
        </w:rPr>
      </w:pPr>
      <w:r>
        <w:rPr>
          <w:rFonts w:ascii="Arial" w:cs="Arial" w:eastAsia="Arial" w:hAnsi="Arial"/>
          <w:sz w:val="21"/>
          <w:szCs w:val="21"/>
          <w:color w:val="auto"/>
        </w:rPr>
        <w:t>Section 7.03</w:t>
      </w:r>
      <w:r>
        <w:rPr>
          <w:rFonts w:ascii="Arial" w:cs="Arial" w:eastAsia="Arial" w:hAnsi="Arial"/>
          <w:sz w:val="21"/>
          <w:szCs w:val="21"/>
          <w:i w:val="1"/>
          <w:iCs w:val="1"/>
          <w:color w:val="auto"/>
        </w:rPr>
        <w:t>. No Responsibility for Recitals, Etc.</w:t>
      </w:r>
      <w:r>
        <w:rPr>
          <w:rFonts w:ascii="Arial" w:cs="Arial" w:eastAsia="Arial" w:hAnsi="Arial"/>
          <w:sz w:val="21"/>
          <w:szCs w:val="21"/>
          <w:color w:val="auto"/>
        </w:rPr>
        <w:t xml:space="preserve">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or of the Notes. The Trustee shall not be accountable for the use or application by the Company of any Notes or the proceeds of any Notes authenticated and delivered by the Trustee in conformity with the provisions of this Indenture.</w:t>
      </w:r>
    </w:p>
    <w:p>
      <w:pPr>
        <w:spacing w:after="0" w:line="122" w:lineRule="exact"/>
        <w:rPr>
          <w:sz w:val="20"/>
          <w:szCs w:val="20"/>
          <w:color w:val="auto"/>
        </w:rPr>
      </w:pPr>
    </w:p>
    <w:p>
      <w:pPr>
        <w:jc w:val="both"/>
        <w:ind w:right="200"/>
        <w:spacing w:after="0" w:line="265" w:lineRule="auto"/>
        <w:rPr>
          <w:sz w:val="20"/>
          <w:szCs w:val="20"/>
          <w:color w:val="auto"/>
        </w:rPr>
      </w:pPr>
      <w:r>
        <w:rPr>
          <w:rFonts w:ascii="Arial" w:cs="Arial" w:eastAsia="Arial" w:hAnsi="Arial"/>
          <w:sz w:val="21"/>
          <w:szCs w:val="21"/>
          <w:color w:val="auto"/>
        </w:rPr>
        <w:t>Section 7.04</w:t>
      </w:r>
      <w:r>
        <w:rPr>
          <w:rFonts w:ascii="Arial" w:cs="Arial" w:eastAsia="Arial" w:hAnsi="Arial"/>
          <w:sz w:val="21"/>
          <w:szCs w:val="21"/>
          <w:i w:val="1"/>
          <w:iCs w:val="1"/>
          <w:color w:val="auto"/>
        </w:rPr>
        <w:t>. Trustee, Paying Agents, Conversion Agents, Bid Solicitation Agent or Note Registrar May Own Notes.</w:t>
      </w:r>
      <w:r>
        <w:rPr>
          <w:rFonts w:ascii="Arial" w:cs="Arial" w:eastAsia="Arial" w:hAnsi="Arial"/>
          <w:sz w:val="21"/>
          <w:szCs w:val="21"/>
          <w:color w:val="auto"/>
        </w:rPr>
        <w:t xml:space="preserve"> The Trustee, any Paying Agent, any Conversion Agent, the Custodian, Bid Solicitation Agent or Note Registrar, in its individual or any other capacity, may become the owner or pledgee of Notes with the same rights it would have if it were not the Trustee, Paying Agent, Conversion Agent, Custodian, Bid Solicitation Agent or Note Registrar.</w:t>
      </w:r>
    </w:p>
    <w:p>
      <w:pPr>
        <w:spacing w:after="0" w:line="122" w:lineRule="exact"/>
        <w:rPr>
          <w:sz w:val="20"/>
          <w:szCs w:val="20"/>
          <w:color w:val="auto"/>
        </w:rPr>
      </w:pPr>
    </w:p>
    <w:p>
      <w:pPr>
        <w:ind w:right="220"/>
        <w:spacing w:after="0" w:line="297" w:lineRule="auto"/>
        <w:rPr>
          <w:sz w:val="20"/>
          <w:szCs w:val="20"/>
          <w:color w:val="auto"/>
        </w:rPr>
      </w:pPr>
      <w:r>
        <w:rPr>
          <w:rFonts w:ascii="Arial" w:cs="Arial" w:eastAsia="Arial" w:hAnsi="Arial"/>
          <w:sz w:val="19"/>
          <w:szCs w:val="19"/>
          <w:color w:val="auto"/>
        </w:rPr>
        <w:t>Section 7.05</w:t>
      </w:r>
      <w:r>
        <w:rPr>
          <w:rFonts w:ascii="Arial" w:cs="Arial" w:eastAsia="Arial" w:hAnsi="Arial"/>
          <w:sz w:val="19"/>
          <w:szCs w:val="19"/>
          <w:i w:val="1"/>
          <w:iCs w:val="1"/>
          <w:color w:val="auto"/>
        </w:rPr>
        <w:t>. Monies and Shares of Common Stock to Be Held in Trust.</w:t>
      </w:r>
      <w:r>
        <w:rPr>
          <w:rFonts w:ascii="Arial" w:cs="Arial" w:eastAsia="Arial" w:hAnsi="Arial"/>
          <w:sz w:val="19"/>
          <w:szCs w:val="19"/>
          <w:color w:val="auto"/>
        </w:rPr>
        <w:t xml:space="preserve"> All monies and shares of Common Stock received by the Trustee shall, until used or applied as herein provided, be held in trust for the purposes for which they were received. Money and shares of Common Stock held by the Trustee in trust hereunder need not be segregated from other funds except to the extent required by law or as expressly provided herein. The Trustee shall be under no liability for interest on any money or shares of Common Stock received by it hereunder except as may be agreed from time to time by the Company and the Trustee.</w:t>
      </w:r>
    </w:p>
    <w:p>
      <w:pPr>
        <w:spacing w:after="0" w:line="93"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Section 7.06</w:t>
      </w:r>
      <w:r>
        <w:rPr>
          <w:rFonts w:ascii="Arial" w:cs="Arial" w:eastAsia="Arial" w:hAnsi="Arial"/>
          <w:sz w:val="19"/>
          <w:szCs w:val="19"/>
          <w:i w:val="1"/>
          <w:iCs w:val="1"/>
          <w:color w:val="auto"/>
        </w:rPr>
        <w:t>. Compensation and Expenses of Trustee.</w:t>
      </w:r>
      <w:r>
        <w:rPr>
          <w:rFonts w:ascii="Arial" w:cs="Arial" w:eastAsia="Arial" w:hAnsi="Arial"/>
          <w:sz w:val="19"/>
          <w:szCs w:val="19"/>
          <w:color w:val="auto"/>
        </w:rPr>
        <w:t xml:space="preserve"> The Company covenants and agrees to pay to the Trustee from time to time, and the Trustee shall be entitled to, such compensation for all services rendered by it hereunder in any capacity (which shall not be limited by any provision of law in regard to the compensation of a trustee of an express trust) as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hereunder (including the reasonable compensation and the expenses and disbursements of its agents and counsel and of all Persons not regularly in its employ) except any such expense, disbursement or advance as shall have been caused by its negligence, willful misconduct or bad faith. The Company also covenants and agrees to indemnify the Trustee in any capacity under this Indenture and any other document or transaction entered into in connection herewith and its agents and any authenticating agent for, and to hold them harmless against, any loss, claim, damage, liability or expense, including taxes (other than taxes based upon, measured by or</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380"/>
          </w:cols>
          <w:pgMar w:left="240" w:top="375" w:right="279" w:bottom="1440" w:gutter="0" w:footer="0" w:header="0"/>
        </w:sectPr>
      </w:pPr>
    </w:p>
    <w:bookmarkStart w:id="120" w:name="page121"/>
    <w:bookmarkEnd w:id="120"/>
    <w:p>
      <w:pPr>
        <w:spacing w:after="0" w:line="287" w:lineRule="auto"/>
        <w:rPr>
          <w:sz w:val="20"/>
          <w:szCs w:val="20"/>
          <w:color w:val="auto"/>
        </w:rPr>
      </w:pPr>
      <w:r>
        <w:rPr>
          <w:rFonts w:ascii="Arial" w:cs="Arial" w:eastAsia="Arial" w:hAnsi="Arial"/>
          <w:sz w:val="19"/>
          <w:szCs w:val="19"/>
          <w:color w:val="auto"/>
        </w:rPr>
        <w:t>determined by the income of the Trustee) incurred without negligence, willful misconduct or bad faith on the part of the Trustee, its officers, directors, agents or employees, or such agent or authenticating agent, as the case may be, and arising out of or in connection with the acceptance or administration of this Indenture or in any other capacity hereunder, including the costs and expenses of defending themselves against any claim (whether asserted by the Company, a Holder or any other Person) of liability in the premises. The obligations of the Company under this Section 7.06 to compensate or indemnify the Trustee and to pay or reimburse the Trustee for expenses, disbursements and advances shall be secured by a senior claim to which the Notes are hereby made subordinate on all money or property held or collected by the Trustee, except, subject to the effect of Section 6.05, funds held in trust herewith for the benefit of the Holders of particular Notes. The Trustee’s right to receive payment of any amounts due under this Section 7.06 shall not be made expressly subordinate to any other liability or indebtedness of the Company. The obligation of the Company under this Section 7.06 shall survive the satisfaction and discharge of this Indenture, final payment of the Notes and the earlier resignation or removal of the Trustee. The Company need not pay for any settlement made without its consent, which consent shall not be unreasonably withheld. The indemnification provided in this Section 7.06 shall extend to the officers, directors, agents and employees of the Trustee.</w:t>
      </w:r>
    </w:p>
    <w:p>
      <w:pPr>
        <w:spacing w:after="0" w:line="363"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Without prejudice to any other rights available to the Trustee under applicable law, when the Trustee and its agents and any authenticating agent incur expenses or render services after an Event of Default specified in Section 6.01(h) or Section 6.01(i) occurs with respect to the Company, the expenses and the compensation for the services are intended to constitute expenses of administration under any bankruptcy, insolvency or similar laws.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Section 7.07</w:t>
      </w:r>
      <w:r>
        <w:rPr>
          <w:rFonts w:ascii="Arial" w:cs="Arial" w:eastAsia="Arial" w:hAnsi="Arial"/>
          <w:sz w:val="22"/>
          <w:szCs w:val="22"/>
          <w:i w:val="1"/>
          <w:iCs w:val="1"/>
          <w:color w:val="auto"/>
        </w:rPr>
        <w:t>. [Reserved].</w:t>
      </w:r>
    </w:p>
    <w:p>
      <w:pPr>
        <w:spacing w:after="0" w:line="166" w:lineRule="exact"/>
        <w:rPr>
          <w:sz w:val="20"/>
          <w:szCs w:val="20"/>
          <w:color w:val="auto"/>
        </w:rPr>
      </w:pPr>
    </w:p>
    <w:p>
      <w:pPr>
        <w:spacing w:after="0" w:line="260" w:lineRule="auto"/>
        <w:rPr>
          <w:sz w:val="20"/>
          <w:szCs w:val="20"/>
          <w:color w:val="auto"/>
        </w:rPr>
      </w:pPr>
      <w:r>
        <w:rPr>
          <w:rFonts w:ascii="Arial" w:cs="Arial" w:eastAsia="Arial" w:hAnsi="Arial"/>
          <w:sz w:val="21"/>
          <w:szCs w:val="21"/>
          <w:color w:val="auto"/>
        </w:rPr>
        <w:t>Section 7.08</w:t>
      </w:r>
      <w:r>
        <w:rPr>
          <w:rFonts w:ascii="Arial" w:cs="Arial" w:eastAsia="Arial" w:hAnsi="Arial"/>
          <w:sz w:val="21"/>
          <w:szCs w:val="21"/>
          <w:i w:val="1"/>
          <w:iCs w:val="1"/>
          <w:color w:val="auto"/>
        </w:rPr>
        <w:t>. Eligibility of Trustee.</w:t>
      </w:r>
      <w:r>
        <w:rPr>
          <w:rFonts w:ascii="Arial" w:cs="Arial" w:eastAsia="Arial" w:hAnsi="Arial"/>
          <w:sz w:val="21"/>
          <w:szCs w:val="21"/>
          <w:color w:val="auto"/>
        </w:rPr>
        <w:t xml:space="preserve"> There shall at all times be a Trustee hereunder which shall be a Person that is eligible pursuant to the Trust Indenture Act (as if the Trust Indenture Act were applicable hereto) to act as such and has a combined capital and surplus of at least $50,000,000. If such Person publishes reports of condition at least annually, pursuant to law or to the requirements of any supervising or examining authority, then for the purposes of this Section 7.08,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7.</w:t>
      </w:r>
    </w:p>
    <w:p>
      <w:pPr>
        <w:spacing w:after="0" w:line="127" w:lineRule="exact"/>
        <w:rPr>
          <w:sz w:val="20"/>
          <w:szCs w:val="20"/>
          <w:color w:val="auto"/>
        </w:rPr>
      </w:pPr>
    </w:p>
    <w:p>
      <w:pPr>
        <w:ind w:right="60"/>
        <w:spacing w:after="0" w:line="285" w:lineRule="auto"/>
        <w:rPr>
          <w:sz w:val="20"/>
          <w:szCs w:val="20"/>
          <w:color w:val="auto"/>
        </w:rPr>
      </w:pPr>
      <w:r>
        <w:rPr>
          <w:rFonts w:ascii="Arial" w:cs="Arial" w:eastAsia="Arial" w:hAnsi="Arial"/>
          <w:sz w:val="19"/>
          <w:szCs w:val="19"/>
          <w:color w:val="auto"/>
        </w:rPr>
        <w:t>Section 7.09</w:t>
      </w:r>
      <w:r>
        <w:rPr>
          <w:rFonts w:ascii="Arial" w:cs="Arial" w:eastAsia="Arial" w:hAnsi="Arial"/>
          <w:sz w:val="19"/>
          <w:szCs w:val="19"/>
          <w:i w:val="1"/>
          <w:iCs w:val="1"/>
          <w:color w:val="auto"/>
        </w:rPr>
        <w:t>. Resignation or Removal of Trustee.</w:t>
      </w:r>
      <w:r>
        <w:rPr>
          <w:rFonts w:ascii="Arial" w:cs="Arial" w:eastAsia="Arial" w:hAnsi="Arial"/>
          <w:sz w:val="19"/>
          <w:szCs w:val="19"/>
          <w:color w:val="auto"/>
        </w:rPr>
        <w:t xml:space="preserve"> The Trustee may at any time resign by giving 30 days prior written notice of such resignation to the Company and by mailing notice thereof to the Holders at their addresses as they shall appear on the Note Register.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w:t>
      </w:r>
    </w:p>
    <w:p>
      <w:pPr>
        <w:spacing w:after="0" w:line="4"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30 days after the mailing of such notice of resignation to the Holders, the resigning Trustee may, upon ten Business Days’ notice to the Company and the Holders, petition any court of competent jurisdiction for the appointment of a successor trustee, or any Holder who has been a bona fide holder of a Note or Notes for at least six months may, subject to the provisions of Section 6.11,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375" w:right="239" w:bottom="1440" w:gutter="0" w:footer="0" w:header="0"/>
        </w:sectPr>
      </w:pPr>
    </w:p>
    <w:bookmarkStart w:id="121" w:name="page122"/>
    <w:bookmarkEnd w:id="121"/>
    <w:p>
      <w:pPr>
        <w:ind w:right="120"/>
        <w:spacing w:after="0" w:line="287" w:lineRule="auto"/>
        <w:rPr>
          <w:sz w:val="20"/>
          <w:szCs w:val="20"/>
          <w:color w:val="auto"/>
        </w:rPr>
      </w:pPr>
      <w:r>
        <w:rPr>
          <w:rFonts w:ascii="Arial" w:cs="Arial" w:eastAsia="Arial" w:hAnsi="Arial"/>
          <w:sz w:val="21"/>
          <w:szCs w:val="21"/>
          <w:color w:val="auto"/>
        </w:rPr>
        <w:t>on behalf of himself and all others similarly situated, petition any such court for the appointment of a successor trustee. Such court may thereupon, after such notice, if any, as it may deem proper and prescribe, appoint a successor trustee.</w:t>
      </w:r>
    </w:p>
    <w:p>
      <w:pPr>
        <w:spacing w:after="0" w:line="98" w:lineRule="exact"/>
        <w:rPr>
          <w:sz w:val="20"/>
          <w:szCs w:val="20"/>
          <w:color w:val="auto"/>
        </w:rPr>
      </w:pPr>
    </w:p>
    <w:p>
      <w:pPr>
        <w:ind w:left="1380" w:hanging="413"/>
        <w:spacing w:after="0"/>
        <w:tabs>
          <w:tab w:leader="none" w:pos="13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In case at any time any of the following shall occur:</w:t>
      </w:r>
    </w:p>
    <w:p>
      <w:pPr>
        <w:spacing w:after="0" w:line="179" w:lineRule="exact"/>
        <w:rPr>
          <w:rFonts w:ascii="Arial" w:cs="Arial" w:eastAsia="Arial" w:hAnsi="Arial"/>
          <w:sz w:val="22"/>
          <w:szCs w:val="22"/>
          <w:color w:val="auto"/>
        </w:rPr>
      </w:pPr>
    </w:p>
    <w:p>
      <w:pPr>
        <w:ind w:left="500" w:right="180" w:firstLine="805"/>
        <w:spacing w:after="0" w:line="301" w:lineRule="auto"/>
        <w:tabs>
          <w:tab w:leader="none" w:pos="1694" w:val="left"/>
        </w:tabs>
        <w:numPr>
          <w:ilvl w:val="1"/>
          <w:numId w:val="90"/>
        </w:numPr>
        <w:rPr>
          <w:rFonts w:ascii="Arial" w:cs="Arial" w:eastAsia="Arial" w:hAnsi="Arial"/>
          <w:sz w:val="21"/>
          <w:szCs w:val="21"/>
          <w:color w:val="auto"/>
        </w:rPr>
      </w:pPr>
      <w:r>
        <w:rPr>
          <w:rFonts w:ascii="Arial" w:cs="Arial" w:eastAsia="Arial" w:hAnsi="Arial"/>
          <w:sz w:val="21"/>
          <w:szCs w:val="21"/>
          <w:color w:val="auto"/>
        </w:rPr>
        <w:t>the Trustee shall fail to comply with Section 7.13 within a reasonable time after written request therefor by the Company or by any Holder who has been a bona fide Holder of a Note or Notes for at least six (6) months;</w:t>
      </w:r>
    </w:p>
    <w:p>
      <w:pPr>
        <w:spacing w:after="0" w:line="83" w:lineRule="exact"/>
        <w:rPr>
          <w:rFonts w:ascii="Arial" w:cs="Arial" w:eastAsia="Arial" w:hAnsi="Arial"/>
          <w:sz w:val="21"/>
          <w:szCs w:val="21"/>
          <w:color w:val="auto"/>
        </w:rPr>
      </w:pPr>
    </w:p>
    <w:p>
      <w:pPr>
        <w:ind w:left="500" w:right="240" w:firstLine="805"/>
        <w:spacing w:after="0" w:line="276" w:lineRule="auto"/>
        <w:tabs>
          <w:tab w:leader="none" w:pos="1754" w:val="left"/>
        </w:tabs>
        <w:numPr>
          <w:ilvl w:val="1"/>
          <w:numId w:val="90"/>
        </w:numPr>
        <w:rPr>
          <w:rFonts w:ascii="Arial" w:cs="Arial" w:eastAsia="Arial" w:hAnsi="Arial"/>
          <w:sz w:val="22"/>
          <w:szCs w:val="22"/>
          <w:color w:val="auto"/>
        </w:rPr>
      </w:pPr>
      <w:r>
        <w:rPr>
          <w:rFonts w:ascii="Arial" w:cs="Arial" w:eastAsia="Arial" w:hAnsi="Arial"/>
          <w:sz w:val="22"/>
          <w:szCs w:val="22"/>
          <w:color w:val="auto"/>
        </w:rPr>
        <w:t>the Trustee shall cease to be eligible in accordance with the provisions of Section 7.08 and shall fail to resign after written request therefor by the Company or by any such Holder, or</w:t>
      </w:r>
    </w:p>
    <w:p>
      <w:pPr>
        <w:spacing w:after="0" w:line="106" w:lineRule="exact"/>
        <w:rPr>
          <w:rFonts w:ascii="Arial" w:cs="Arial" w:eastAsia="Arial" w:hAnsi="Arial"/>
          <w:sz w:val="22"/>
          <w:szCs w:val="22"/>
          <w:color w:val="auto"/>
        </w:rPr>
      </w:pPr>
    </w:p>
    <w:p>
      <w:pPr>
        <w:ind w:left="500" w:right="120" w:firstLine="805"/>
        <w:spacing w:after="0" w:line="260" w:lineRule="auto"/>
        <w:tabs>
          <w:tab w:leader="none" w:pos="1814" w:val="left"/>
        </w:tabs>
        <w:numPr>
          <w:ilvl w:val="1"/>
          <w:numId w:val="90"/>
        </w:numPr>
        <w:rPr>
          <w:rFonts w:ascii="Arial" w:cs="Arial" w:eastAsia="Arial" w:hAnsi="Arial"/>
          <w:sz w:val="22"/>
          <w:szCs w:val="22"/>
          <w:color w:val="auto"/>
        </w:rPr>
      </w:pPr>
      <w:r>
        <w:rPr>
          <w:rFonts w:ascii="Arial" w:cs="Arial" w:eastAsia="Arial" w:hAnsi="Arial"/>
          <w:sz w:val="22"/>
          <w:szCs w:val="22"/>
          <w:color w:val="auto"/>
        </w:rPr>
        <w:t>the Trustee shall become incapable of acting, or shall be adjudged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23" w:lineRule="exact"/>
        <w:rPr>
          <w:sz w:val="20"/>
          <w:szCs w:val="20"/>
          <w:color w:val="auto"/>
        </w:rPr>
      </w:pPr>
    </w:p>
    <w:p>
      <w:pPr>
        <w:ind w:right="140"/>
        <w:spacing w:after="0" w:line="294" w:lineRule="auto"/>
        <w:rPr>
          <w:sz w:val="20"/>
          <w:szCs w:val="20"/>
          <w:color w:val="auto"/>
        </w:rPr>
      </w:pPr>
      <w:r>
        <w:rPr>
          <w:rFonts w:ascii="Arial" w:cs="Arial" w:eastAsia="Arial" w:hAnsi="Arial"/>
          <w:sz w:val="19"/>
          <w:szCs w:val="19"/>
          <w:color w:val="auto"/>
        </w:rPr>
        <w:t>then, in any such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months may, on behalf of himself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96" w:lineRule="exact"/>
        <w:rPr>
          <w:sz w:val="20"/>
          <w:szCs w:val="20"/>
          <w:color w:val="auto"/>
        </w:rPr>
      </w:pPr>
    </w:p>
    <w:p>
      <w:pPr>
        <w:ind w:left="120" w:right="60" w:firstLine="847"/>
        <w:spacing w:after="0" w:line="297" w:lineRule="auto"/>
        <w:tabs>
          <w:tab w:leader="none" w:pos="1389"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Holders of a majority in aggregate principal amount of the Notes at the time outstanding may at any time, with 30 days prior written notice to the Trustee and the Company, remove the Trustee and nominate a successor trustee that shall be deemed appointed as successor trustee unless within ten days after notice to the Company of such nomination the Company objects thereto. If no successor trustee shall have been so appointed and have accepted appointment within 30 days after removal of the Trustee by the Holders, the Trustee may, at the expense of the Company, upon ten Business Days’ notice to the Company and the Holders, petition any court of competent jurisdiction for the appointment of a successor trustee.</w:t>
      </w:r>
    </w:p>
    <w:p>
      <w:pPr>
        <w:spacing w:after="0" w:line="92" w:lineRule="exact"/>
        <w:rPr>
          <w:rFonts w:ascii="Arial" w:cs="Arial" w:eastAsia="Arial" w:hAnsi="Arial"/>
          <w:sz w:val="19"/>
          <w:szCs w:val="19"/>
          <w:color w:val="auto"/>
        </w:rPr>
      </w:pPr>
    </w:p>
    <w:p>
      <w:pPr>
        <w:ind w:left="120" w:right="120" w:firstLine="847"/>
        <w:spacing w:after="0" w:line="260" w:lineRule="auto"/>
        <w:tabs>
          <w:tab w:leader="none" w:pos="1377" w:val="left"/>
        </w:tabs>
        <w:numPr>
          <w:ilvl w:val="0"/>
          <w:numId w:val="91"/>
        </w:numPr>
        <w:rPr>
          <w:rFonts w:ascii="Arial" w:cs="Arial" w:eastAsia="Arial" w:hAnsi="Arial"/>
          <w:sz w:val="22"/>
          <w:szCs w:val="22"/>
          <w:color w:val="auto"/>
        </w:rPr>
      </w:pPr>
      <w:r>
        <w:rPr>
          <w:rFonts w:ascii="Arial" w:cs="Arial" w:eastAsia="Arial" w:hAnsi="Arial"/>
          <w:sz w:val="22"/>
          <w:szCs w:val="22"/>
          <w:color w:val="auto"/>
        </w:rPr>
        <w:t>Any resignation or removal of the Trustee and appointment of a successor trustee pursuant to any of the provisions of this Section 7.09 shall become effective upon (i) payment of all fees and expenses owing to the Trustee and (ii) acceptance of appointment by the successor trustee as provided in Section 7.10.</w:t>
      </w:r>
    </w:p>
    <w:p>
      <w:pPr>
        <w:spacing w:after="0" w:line="123"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Section 7.10</w:t>
      </w:r>
      <w:r>
        <w:rPr>
          <w:rFonts w:ascii="Arial" w:cs="Arial" w:eastAsia="Arial" w:hAnsi="Arial"/>
          <w:sz w:val="22"/>
          <w:szCs w:val="22"/>
          <w:i w:val="1"/>
          <w:iCs w:val="1"/>
          <w:color w:val="auto"/>
        </w:rPr>
        <w:t>. Acceptance by Successor Trustee.</w:t>
      </w:r>
      <w:r>
        <w:rPr>
          <w:rFonts w:ascii="Arial" w:cs="Arial" w:eastAsia="Arial" w:hAnsi="Arial"/>
          <w:sz w:val="22"/>
          <w:szCs w:val="22"/>
          <w:color w:val="auto"/>
        </w:rPr>
        <w:t xml:space="preserve">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375" w:right="239" w:bottom="1440" w:gutter="0" w:footer="0" w:header="0"/>
        </w:sectPr>
      </w:pPr>
    </w:p>
    <w:bookmarkStart w:id="122" w:name="page123"/>
    <w:bookmarkEnd w:id="122"/>
    <w:p>
      <w:pPr>
        <w:ind w:right="40"/>
        <w:spacing w:after="0" w:line="292" w:lineRule="auto"/>
        <w:rPr>
          <w:sz w:val="20"/>
          <w:szCs w:val="20"/>
          <w:color w:val="auto"/>
        </w:rPr>
      </w:pPr>
      <w:r>
        <w:rPr>
          <w:rFonts w:ascii="Arial" w:cs="Arial" w:eastAsia="Arial" w:hAnsi="Arial"/>
          <w:sz w:val="19"/>
          <w:szCs w:val="19"/>
          <w:color w:val="auto"/>
        </w:rPr>
        <w:t>but, nevertheless, on the written request of the Company or of the successor trustee, the predecessor trustee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claim to which the Notes are hereby made subordinate on all money or property held or collected by such trustee as such pursuant to this Indenture, except for funds held in trust for the benefit of Holders of particular Notes, to secure any amounts then due it pursuant to the provisions of Section 7.06.</w:t>
      </w:r>
    </w:p>
    <w:p>
      <w:pPr>
        <w:spacing w:after="0" w:line="97"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No successor trustee shall accept appointment as provided in this Section 7.10 unless at the time of such acceptance such successor trustee shall be eligible under the provisions of Section 7.08.</w:t>
      </w:r>
    </w:p>
    <w:p>
      <w:pPr>
        <w:spacing w:after="0" w:line="121"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Upon acceptance of appointment by a successor trustee as provided in this Section 7.10, each of the Company and the successor trustee, at the written direction and at the expense of the Company shall send or cause to be sent notice of the succession of such trustee hereunder to the Holders at their addresses as they shall appear on the Note Register. If the Company fails to mail such notice within ten days after acceptance of appointment by the successor trustee, the successor trustee shall cause such notice to be mailed at the expense of the Company.</w:t>
      </w:r>
    </w:p>
    <w:p>
      <w:pPr>
        <w:spacing w:after="0" w:line="138" w:lineRule="exact"/>
        <w:rPr>
          <w:sz w:val="20"/>
          <w:szCs w:val="20"/>
          <w:color w:val="auto"/>
        </w:rPr>
      </w:pPr>
    </w:p>
    <w:p>
      <w:pPr>
        <w:ind w:right="160"/>
        <w:spacing w:after="0" w:line="260" w:lineRule="auto"/>
        <w:rPr>
          <w:sz w:val="20"/>
          <w:szCs w:val="20"/>
          <w:color w:val="auto"/>
        </w:rPr>
      </w:pPr>
      <w:r>
        <w:rPr>
          <w:rFonts w:ascii="Arial" w:cs="Arial" w:eastAsia="Arial" w:hAnsi="Arial"/>
          <w:sz w:val="21"/>
          <w:szCs w:val="21"/>
          <w:color w:val="auto"/>
        </w:rPr>
        <w:t>Section 7.11</w:t>
      </w:r>
      <w:r>
        <w:rPr>
          <w:rFonts w:ascii="Arial" w:cs="Arial" w:eastAsia="Arial" w:hAnsi="Arial"/>
          <w:sz w:val="21"/>
          <w:szCs w:val="21"/>
          <w:i w:val="1"/>
          <w:iCs w:val="1"/>
          <w:color w:val="auto"/>
        </w:rPr>
        <w:t>. Succession by Merger, Etc.</w:t>
      </w:r>
      <w:r>
        <w:rPr>
          <w:rFonts w:ascii="Arial" w:cs="Arial" w:eastAsia="Arial" w:hAnsi="Arial"/>
          <w:sz w:val="21"/>
          <w:szCs w:val="21"/>
          <w:color w:val="auto"/>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case of any corporation or other entity succeeding to all or substantially all of the corporate trust business of the Trustee such corporation or other entity shall be eligible under the provisions of Section 7.08.</w:t>
      </w:r>
    </w:p>
    <w:p>
      <w:pPr>
        <w:spacing w:after="0" w:line="127" w:lineRule="exact"/>
        <w:rPr>
          <w:sz w:val="20"/>
          <w:szCs w:val="20"/>
          <w:color w:val="auto"/>
        </w:rPr>
      </w:pPr>
    </w:p>
    <w:p>
      <w:pPr>
        <w:ind w:right="80" w:firstLine="648"/>
        <w:spacing w:after="0" w:line="289" w:lineRule="auto"/>
        <w:rPr>
          <w:sz w:val="20"/>
          <w:szCs w:val="20"/>
          <w:color w:val="auto"/>
        </w:rPr>
      </w:pPr>
      <w:r>
        <w:rPr>
          <w:rFonts w:ascii="Arial" w:cs="Arial" w:eastAsia="Arial" w:hAnsi="Arial"/>
          <w:sz w:val="19"/>
          <w:szCs w:val="19"/>
          <w:color w:val="auto"/>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of authentication shall have the full force which it is anywhere in the Notes or in this Indenture provided that the certificate of authentication of the Trustee shall have;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right to adopt the certificate of authentication of any predecessor trustee or to authenticate Notes in the name of any predecessor trustee shall apply only to its successor or successors by merger, conversion or consolidation.</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375" w:right="239" w:bottom="1440" w:gutter="0" w:footer="0" w:header="0"/>
        </w:sectPr>
      </w:pPr>
    </w:p>
    <w:bookmarkStart w:id="123" w:name="page124"/>
    <w:bookmarkEnd w:id="123"/>
    <w:p>
      <w:pPr>
        <w:spacing w:after="0" w:line="258" w:lineRule="auto"/>
        <w:rPr>
          <w:sz w:val="20"/>
          <w:szCs w:val="20"/>
          <w:color w:val="auto"/>
        </w:rPr>
      </w:pPr>
      <w:r>
        <w:rPr>
          <w:rFonts w:ascii="Arial" w:cs="Arial" w:eastAsia="Arial" w:hAnsi="Arial"/>
          <w:sz w:val="21"/>
          <w:szCs w:val="21"/>
          <w:color w:val="auto"/>
        </w:rPr>
        <w:t>Section 7.12</w:t>
      </w:r>
      <w:r>
        <w:rPr>
          <w:rFonts w:ascii="Arial" w:cs="Arial" w:eastAsia="Arial" w:hAnsi="Arial"/>
          <w:sz w:val="21"/>
          <w:szCs w:val="21"/>
          <w:i w:val="1"/>
          <w:iCs w:val="1"/>
          <w:color w:val="auto"/>
        </w:rPr>
        <w:t>. Trustee’s Application for Instructions from the Company.</w:t>
      </w:r>
      <w:r>
        <w:rPr>
          <w:rFonts w:ascii="Arial" w:cs="Arial" w:eastAsia="Arial" w:hAnsi="Arial"/>
          <w:sz w:val="21"/>
          <w:szCs w:val="21"/>
          <w:color w:val="auto"/>
        </w:rPr>
        <w:t xml:space="preserve">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for any action taken by, or omission of, the Trustee in accordance with a proposal included in such application on or after the date specified in such application (which date shall not be less than three Business Days after the date any Officer actually receives such application, unless any such Officer shall have consented in writing to any earlier date), unless, prior to taking any such action (or the date of effectiveness in the case of any omission), the Trustee shall have received written instructions in accordance with this Indenture in response to such application specifying the action to be taken or omitted.</w:t>
      </w:r>
    </w:p>
    <w:p>
      <w:pPr>
        <w:spacing w:after="0" w:line="132" w:lineRule="exact"/>
        <w:rPr>
          <w:sz w:val="20"/>
          <w:szCs w:val="20"/>
          <w:color w:val="auto"/>
        </w:rPr>
      </w:pPr>
    </w:p>
    <w:p>
      <w:pPr>
        <w:jc w:val="both"/>
        <w:ind w:right="420"/>
        <w:spacing w:after="0" w:line="253" w:lineRule="auto"/>
        <w:rPr>
          <w:sz w:val="20"/>
          <w:szCs w:val="20"/>
          <w:color w:val="auto"/>
        </w:rPr>
      </w:pPr>
      <w:r>
        <w:rPr>
          <w:rFonts w:ascii="Arial" w:cs="Arial" w:eastAsia="Arial" w:hAnsi="Arial"/>
          <w:sz w:val="22"/>
          <w:szCs w:val="22"/>
          <w:color w:val="auto"/>
        </w:rPr>
        <w:t>Section 7.13</w:t>
      </w:r>
      <w:r>
        <w:rPr>
          <w:rFonts w:ascii="Arial" w:cs="Arial" w:eastAsia="Arial" w:hAnsi="Arial"/>
          <w:sz w:val="22"/>
          <w:szCs w:val="22"/>
          <w:i w:val="1"/>
          <w:iCs w:val="1"/>
          <w:color w:val="auto"/>
        </w:rPr>
        <w:t>. Conflicting Interests of Trustee.</w:t>
      </w:r>
      <w:r>
        <w:rPr>
          <w:rFonts w:ascii="Arial" w:cs="Arial" w:eastAsia="Arial" w:hAnsi="Arial"/>
          <w:sz w:val="22"/>
          <w:szCs w:val="22"/>
          <w:color w:val="auto"/>
        </w:rPr>
        <w:t xml:space="preserve"> If the Trustee has or shall acquire a conflicting interest within the meaning of the Trust Indenture Act, the Trustee shall either eliminate such interest or resign, to the extent and in the manner provided by, and subject to the provisions of this Indenture.</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8</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w:t>
      </w:r>
      <w:r>
        <w:rPr>
          <w:rFonts w:ascii="Arial" w:cs="Arial" w:eastAsia="Arial" w:hAnsi="Arial"/>
          <w:sz w:val="18"/>
          <w:szCs w:val="18"/>
          <w:color w:val="auto"/>
        </w:rPr>
        <w:t>ONCERNING THE</w:t>
      </w:r>
      <w:r>
        <w:rPr>
          <w:rFonts w:ascii="Arial" w:cs="Arial" w:eastAsia="Arial" w:hAnsi="Arial"/>
          <w:sz w:val="22"/>
          <w:szCs w:val="22"/>
          <w:color w:val="auto"/>
        </w:rPr>
        <w:t xml:space="preserve"> H</w:t>
      </w:r>
      <w:r>
        <w:rPr>
          <w:rFonts w:ascii="Arial" w:cs="Arial" w:eastAsia="Arial" w:hAnsi="Arial"/>
          <w:sz w:val="18"/>
          <w:szCs w:val="18"/>
          <w:color w:val="auto"/>
        </w:rPr>
        <w:t>OLDERS</w:t>
      </w:r>
    </w:p>
    <w:p>
      <w:pPr>
        <w:spacing w:after="0" w:line="161" w:lineRule="exact"/>
        <w:rPr>
          <w:sz w:val="20"/>
          <w:szCs w:val="20"/>
          <w:color w:val="auto"/>
        </w:rPr>
      </w:pPr>
    </w:p>
    <w:p>
      <w:pPr>
        <w:ind w:right="20"/>
        <w:spacing w:after="0" w:line="288" w:lineRule="auto"/>
        <w:rPr>
          <w:sz w:val="20"/>
          <w:szCs w:val="20"/>
          <w:color w:val="auto"/>
        </w:rPr>
      </w:pPr>
      <w:r>
        <w:rPr>
          <w:rFonts w:ascii="Arial" w:cs="Arial" w:eastAsia="Arial" w:hAnsi="Arial"/>
          <w:sz w:val="19"/>
          <w:szCs w:val="19"/>
          <w:color w:val="auto"/>
        </w:rPr>
        <w:t>Section 8.01</w:t>
      </w:r>
      <w:r>
        <w:rPr>
          <w:rFonts w:ascii="Arial" w:cs="Arial" w:eastAsia="Arial" w:hAnsi="Arial"/>
          <w:sz w:val="19"/>
          <w:szCs w:val="19"/>
          <w:i w:val="1"/>
          <w:iCs w:val="1"/>
          <w:color w:val="auto"/>
        </w:rPr>
        <w:t>. Action by Holders.</w:t>
      </w:r>
      <w:r>
        <w:rPr>
          <w:rFonts w:ascii="Arial" w:cs="Arial" w:eastAsia="Arial" w:hAnsi="Arial"/>
          <w:sz w:val="19"/>
          <w:szCs w:val="19"/>
          <w:color w:val="auto"/>
        </w:rPr>
        <w:t xml:space="preserve">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(i) by any instrument or any number of instruments of similar tenor executed by Holders in person or by agent or proxy appointed in writing, or (ii) by the record of the Holders voting in favor thereof at any meeting of Holders duly called and held, or (iii) 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10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Section 8.02</w:t>
      </w:r>
      <w:r>
        <w:rPr>
          <w:rFonts w:ascii="Arial" w:cs="Arial" w:eastAsia="Arial" w:hAnsi="Arial"/>
          <w:sz w:val="22"/>
          <w:szCs w:val="22"/>
          <w:i w:val="1"/>
          <w:iCs w:val="1"/>
          <w:color w:val="auto"/>
        </w:rPr>
        <w:t>. Proof of Execution by Holders.</w:t>
      </w:r>
      <w:r>
        <w:rPr>
          <w:rFonts w:ascii="Arial" w:cs="Arial" w:eastAsia="Arial" w:hAnsi="Arial"/>
          <w:sz w:val="22"/>
          <w:szCs w:val="22"/>
          <w:color w:val="auto"/>
        </w:rPr>
        <w:t xml:space="preserve"> Subject to the provisions of Section 7.01 and Section 7.02, proof of the execution of any instrument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w:t>
      </w:r>
    </w:p>
    <w:p>
      <w:pPr>
        <w:spacing w:after="0" w:line="134" w:lineRule="exact"/>
        <w:rPr>
          <w:sz w:val="20"/>
          <w:szCs w:val="20"/>
          <w:color w:val="auto"/>
        </w:rPr>
      </w:pPr>
    </w:p>
    <w:p>
      <w:pPr>
        <w:ind w:right="180"/>
        <w:spacing w:after="0" w:line="302" w:lineRule="auto"/>
        <w:rPr>
          <w:sz w:val="20"/>
          <w:szCs w:val="20"/>
          <w:color w:val="auto"/>
        </w:rPr>
      </w:pPr>
      <w:r>
        <w:rPr>
          <w:rFonts w:ascii="Arial" w:cs="Arial" w:eastAsia="Arial" w:hAnsi="Arial"/>
          <w:sz w:val="19"/>
          <w:szCs w:val="19"/>
          <w:color w:val="auto"/>
        </w:rPr>
        <w:t>Section 8.03</w:t>
      </w:r>
      <w:r>
        <w:rPr>
          <w:rFonts w:ascii="Arial" w:cs="Arial" w:eastAsia="Arial" w:hAnsi="Arial"/>
          <w:sz w:val="19"/>
          <w:szCs w:val="19"/>
          <w:i w:val="1"/>
          <w:iCs w:val="1"/>
          <w:color w:val="auto"/>
        </w:rPr>
        <w:t>. Who Are Deemed Absolute Owners.</w:t>
      </w:r>
      <w:r>
        <w:rPr>
          <w:rFonts w:ascii="Arial" w:cs="Arial" w:eastAsia="Arial" w:hAnsi="Arial"/>
          <w:sz w:val="19"/>
          <w:szCs w:val="19"/>
          <w:color w:val="auto"/>
        </w:rPr>
        <w:t xml:space="preserve">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380"/>
          </w:cols>
          <w:pgMar w:left="240" w:top="374" w:right="279" w:bottom="1440" w:gutter="0" w:footer="0" w:header="0"/>
        </w:sectPr>
      </w:pPr>
    </w:p>
    <w:bookmarkStart w:id="124" w:name="page125"/>
    <w:bookmarkEnd w:id="124"/>
    <w:p>
      <w:pPr>
        <w:spacing w:after="0" w:line="258" w:lineRule="auto"/>
        <w:rPr>
          <w:sz w:val="20"/>
          <w:szCs w:val="20"/>
          <w:color w:val="auto"/>
        </w:rPr>
      </w:pPr>
      <w:r>
        <w:rPr>
          <w:rFonts w:ascii="Arial" w:cs="Arial" w:eastAsia="Arial" w:hAnsi="Arial"/>
          <w:sz w:val="21"/>
          <w:szCs w:val="21"/>
          <w:color w:val="auto"/>
        </w:rPr>
        <w:t>or any Note Registrar) for the purpose of receiving payment of or on account of the principal of and (subject to Section 2.03) accrued and unpaid interest on such Note, for conversion of such Note and for all other purposes; and neither the Company nor the Trustee nor any Paying Agent nor any Conversion Agent nor any Note Registrar shall be affected by any notice to the contrary. The sole registered holder of a Global Note shall be the Depositary or its nominee. All such payments or deliveries so made to any Holder, or upon its order, shall be valid, and, to the extent of the sums or shares of Common Stock so paid or delivered, effectual to satisfy and discharge the liability for monies payable or shares deliverable upon any such Note. Notwithstanding anything to the contrary in this Indenture or the Notes following an Event of Default, any holder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w:t>
      </w:r>
    </w:p>
    <w:p>
      <w:pPr>
        <w:spacing w:after="0" w:line="78" w:lineRule="exact"/>
        <w:rPr>
          <w:sz w:val="20"/>
          <w:szCs w:val="20"/>
          <w:color w:val="auto"/>
        </w:rPr>
      </w:pPr>
    </w:p>
    <w:p>
      <w:pPr>
        <w:ind w:right="20"/>
        <w:spacing w:after="0" w:line="286" w:lineRule="auto"/>
        <w:rPr>
          <w:sz w:val="20"/>
          <w:szCs w:val="20"/>
          <w:color w:val="auto"/>
        </w:rPr>
      </w:pPr>
      <w:r>
        <w:rPr>
          <w:rFonts w:ascii="Arial" w:cs="Arial" w:eastAsia="Arial" w:hAnsi="Arial"/>
          <w:sz w:val="19"/>
          <w:szCs w:val="19"/>
          <w:color w:val="auto"/>
        </w:rPr>
        <w:t>Section 8.04</w:t>
      </w:r>
      <w:r>
        <w:rPr>
          <w:rFonts w:ascii="Arial" w:cs="Arial" w:eastAsia="Arial" w:hAnsi="Arial"/>
          <w:sz w:val="19"/>
          <w:szCs w:val="19"/>
          <w:i w:val="1"/>
          <w:iCs w:val="1"/>
          <w:color w:val="auto"/>
        </w:rPr>
        <w:t>. Company-Owned Notes Disregarded.</w:t>
      </w:r>
      <w:r>
        <w:rPr>
          <w:rFonts w:ascii="Arial" w:cs="Arial" w:eastAsia="Arial" w:hAnsi="Arial"/>
          <w:sz w:val="19"/>
          <w:szCs w:val="19"/>
          <w:color w:val="auto"/>
        </w:rPr>
        <w:t xml:space="preserve"> In determining whether the Holders of the requisite aggregate principal amount of Notes have concurred in any direction, consent, waiver or other action under this Indenture, Notes that are owned by the Company, by any Subsidiary thereof or by any Affiliate of the Company or any Subsidiary thereof shall be disregarded (from both the numerator and the denominator) and deemed not to be outstanding for the purpose of any such determination;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the purposes of determining whether the Trustee shall be protected in relying on any such direction, consent, waiver or other action only Notes that a Responsible Officer actually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a Subsidiary thereof or any Affiliate of the Company or a Subsidiary thereof.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spacing w:after="0" w:line="55" w:lineRule="exact"/>
        <w:rPr>
          <w:sz w:val="20"/>
          <w:szCs w:val="20"/>
          <w:color w:val="auto"/>
        </w:rPr>
      </w:pPr>
    </w:p>
    <w:p>
      <w:pPr>
        <w:ind w:right="20"/>
        <w:spacing w:after="0" w:line="289" w:lineRule="auto"/>
        <w:rPr>
          <w:sz w:val="20"/>
          <w:szCs w:val="20"/>
          <w:color w:val="auto"/>
        </w:rPr>
      </w:pPr>
      <w:r>
        <w:rPr>
          <w:rFonts w:ascii="Arial" w:cs="Arial" w:eastAsia="Arial" w:hAnsi="Arial"/>
          <w:sz w:val="19"/>
          <w:szCs w:val="19"/>
          <w:color w:val="auto"/>
        </w:rPr>
        <w:t>Section 8.05</w:t>
      </w:r>
      <w:r>
        <w:rPr>
          <w:rFonts w:ascii="Arial" w:cs="Arial" w:eastAsia="Arial" w:hAnsi="Arial"/>
          <w:sz w:val="19"/>
          <w:szCs w:val="19"/>
          <w:i w:val="1"/>
          <w:iCs w:val="1"/>
          <w:color w:val="auto"/>
        </w:rPr>
        <w:t>. Revocation of Consents; Future Holders Bound.</w:t>
      </w:r>
      <w:r>
        <w:rPr>
          <w:rFonts w:ascii="Arial" w:cs="Arial" w:eastAsia="Arial" w:hAnsi="Arial"/>
          <w:sz w:val="19"/>
          <w:szCs w:val="19"/>
          <w:color w:val="auto"/>
        </w:rPr>
        <w:t xml:space="preserve">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375" w:right="239" w:bottom="1440" w:gutter="0" w:footer="0" w:header="0"/>
        </w:sectPr>
      </w:pPr>
    </w:p>
    <w:bookmarkStart w:id="125" w:name="page126"/>
    <w:bookmarkEnd w:id="125"/>
    <w:p>
      <w:pPr>
        <w:ind w:left="5180"/>
        <w:spacing w:after="0"/>
        <w:rPr>
          <w:sz w:val="20"/>
          <w:szCs w:val="20"/>
          <w:color w:val="auto"/>
        </w:rPr>
      </w:pPr>
      <w:r>
        <w:rPr>
          <w:rFonts w:ascii="Arial" w:cs="Arial" w:eastAsia="Arial" w:hAnsi="Arial"/>
          <w:sz w:val="22"/>
          <w:szCs w:val="22"/>
          <w:color w:val="auto"/>
        </w:rPr>
        <w:t>ARTICLE 9</w:t>
      </w:r>
    </w:p>
    <w:p>
      <w:pPr>
        <w:spacing w:after="0" w:line="25"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ESERVED</w:t>
      </w:r>
      <w:r>
        <w:rPr>
          <w:rFonts w:ascii="Arial" w:cs="Arial" w:eastAsia="Arial" w:hAnsi="Arial"/>
          <w:sz w:val="22"/>
          <w:szCs w:val="22"/>
          <w:color w:val="auto"/>
        </w:rPr>
        <w:t>]</w:t>
      </w: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ARTICLE 10</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UPPLEMENTAL</w:t>
      </w:r>
      <w:r>
        <w:rPr>
          <w:rFonts w:ascii="Arial" w:cs="Arial" w:eastAsia="Arial" w:hAnsi="Arial"/>
          <w:sz w:val="22"/>
          <w:szCs w:val="22"/>
          <w:color w:val="auto"/>
        </w:rPr>
        <w:t xml:space="preserve"> I</w:t>
      </w:r>
      <w:r>
        <w:rPr>
          <w:rFonts w:ascii="Arial" w:cs="Arial" w:eastAsia="Arial" w:hAnsi="Arial"/>
          <w:sz w:val="18"/>
          <w:szCs w:val="18"/>
          <w:color w:val="auto"/>
        </w:rPr>
        <w:t>NDENTURES</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color w:val="auto"/>
        </w:rPr>
        <w:t>Section 10.01</w:t>
      </w:r>
      <w:r>
        <w:rPr>
          <w:rFonts w:ascii="Arial" w:cs="Arial" w:eastAsia="Arial" w:hAnsi="Arial"/>
          <w:sz w:val="19"/>
          <w:szCs w:val="19"/>
          <w:i w:val="1"/>
          <w:iCs w:val="1"/>
          <w:color w:val="auto"/>
        </w:rPr>
        <w:t>. Supplemental Indentures Without Consent of Holders.</w:t>
      </w:r>
      <w:r>
        <w:rPr>
          <w:rFonts w:ascii="Arial" w:cs="Arial" w:eastAsia="Arial" w:hAnsi="Arial"/>
          <w:sz w:val="19"/>
          <w:szCs w:val="19"/>
          <w:color w:val="auto"/>
        </w:rPr>
        <w:t xml:space="preserve"> Notwithstanding Section 10.02, without the consent of any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Holder, the Company and the Trustee may amend or supplement this Indenture and the Notes to:</w:t>
      </w:r>
    </w:p>
    <w:p>
      <w:pPr>
        <w:spacing w:after="0" w:line="202" w:lineRule="exact"/>
        <w:rPr>
          <w:sz w:val="20"/>
          <w:szCs w:val="20"/>
          <w:color w:val="auto"/>
        </w:rPr>
      </w:pPr>
    </w:p>
    <w:p>
      <w:pPr>
        <w:ind w:left="120" w:right="480" w:firstLine="658"/>
        <w:spacing w:after="0" w:line="276" w:lineRule="auto"/>
        <w:tabs>
          <w:tab w:leader="none" w:pos="1188" w:val="left"/>
        </w:tabs>
        <w:numPr>
          <w:ilvl w:val="0"/>
          <w:numId w:val="92"/>
        </w:numPr>
        <w:rPr>
          <w:rFonts w:ascii="Arial" w:cs="Arial" w:eastAsia="Arial" w:hAnsi="Arial"/>
          <w:sz w:val="22"/>
          <w:szCs w:val="22"/>
          <w:color w:val="auto"/>
        </w:rPr>
      </w:pPr>
      <w:r>
        <w:rPr>
          <w:rFonts w:ascii="Arial" w:cs="Arial" w:eastAsia="Arial" w:hAnsi="Arial"/>
          <w:sz w:val="22"/>
          <w:szCs w:val="22"/>
          <w:color w:val="auto"/>
        </w:rPr>
        <w:t>cure any ambiguity, omission, defect or inconsistency in this Indenture or in the Notes in a manner that does not adversely affect any Holder in any material respect;</w:t>
      </w:r>
    </w:p>
    <w:p>
      <w:pPr>
        <w:spacing w:after="0" w:line="160" w:lineRule="exact"/>
        <w:rPr>
          <w:rFonts w:ascii="Arial" w:cs="Arial" w:eastAsia="Arial" w:hAnsi="Arial"/>
          <w:sz w:val="22"/>
          <w:szCs w:val="22"/>
          <w:color w:val="auto"/>
        </w:rPr>
      </w:pPr>
    </w:p>
    <w:p>
      <w:pPr>
        <w:ind w:left="120" w:right="240" w:firstLine="658"/>
        <w:spacing w:after="0" w:line="276" w:lineRule="auto"/>
        <w:tabs>
          <w:tab w:leader="none" w:pos="1200" w:val="left"/>
        </w:tabs>
        <w:numPr>
          <w:ilvl w:val="0"/>
          <w:numId w:val="92"/>
        </w:numPr>
        <w:rPr>
          <w:rFonts w:ascii="Arial" w:cs="Arial" w:eastAsia="Arial" w:hAnsi="Arial"/>
          <w:sz w:val="22"/>
          <w:szCs w:val="22"/>
          <w:color w:val="auto"/>
        </w:rPr>
      </w:pPr>
      <w:r>
        <w:rPr>
          <w:rFonts w:ascii="Arial" w:cs="Arial" w:eastAsia="Arial" w:hAnsi="Arial"/>
          <w:sz w:val="22"/>
          <w:szCs w:val="22"/>
          <w:color w:val="auto"/>
        </w:rPr>
        <w:t>provide for the assumption by a Successor Company of the obligations of the Company under this Indenture or the Notes in accordance with Article 11;</w:t>
      </w:r>
    </w:p>
    <w:p>
      <w:pPr>
        <w:spacing w:after="0" w:line="160" w:lineRule="exact"/>
        <w:rPr>
          <w:rFonts w:ascii="Arial" w:cs="Arial" w:eastAsia="Arial" w:hAnsi="Arial"/>
          <w:sz w:val="22"/>
          <w:szCs w:val="22"/>
          <w:color w:val="auto"/>
        </w:rPr>
      </w:pPr>
    </w:p>
    <w:p>
      <w:pPr>
        <w:ind w:left="1200" w:hanging="422"/>
        <w:spacing w:after="0"/>
        <w:tabs>
          <w:tab w:leader="none" w:pos="1200" w:val="left"/>
        </w:tabs>
        <w:numPr>
          <w:ilvl w:val="0"/>
          <w:numId w:val="92"/>
        </w:numPr>
        <w:rPr>
          <w:rFonts w:ascii="Arial" w:cs="Arial" w:eastAsia="Arial" w:hAnsi="Arial"/>
          <w:sz w:val="22"/>
          <w:szCs w:val="22"/>
          <w:color w:val="auto"/>
        </w:rPr>
      </w:pPr>
      <w:r>
        <w:rPr>
          <w:rFonts w:ascii="Arial" w:cs="Arial" w:eastAsia="Arial" w:hAnsi="Arial"/>
          <w:sz w:val="22"/>
          <w:szCs w:val="22"/>
          <w:color w:val="auto"/>
        </w:rPr>
        <w:t>add guarantees with respect to the Notes;</w:t>
      </w:r>
    </w:p>
    <w:p>
      <w:pPr>
        <w:spacing w:after="0" w:line="233" w:lineRule="exact"/>
        <w:rPr>
          <w:rFonts w:ascii="Arial" w:cs="Arial" w:eastAsia="Arial" w:hAnsi="Arial"/>
          <w:sz w:val="22"/>
          <w:szCs w:val="22"/>
          <w:color w:val="auto"/>
        </w:rPr>
      </w:pPr>
    </w:p>
    <w:p>
      <w:pPr>
        <w:ind w:left="1200" w:hanging="422"/>
        <w:spacing w:after="0"/>
        <w:tabs>
          <w:tab w:leader="none" w:pos="1200" w:val="left"/>
        </w:tabs>
        <w:numPr>
          <w:ilvl w:val="0"/>
          <w:numId w:val="92"/>
        </w:numPr>
        <w:rPr>
          <w:rFonts w:ascii="Arial" w:cs="Arial" w:eastAsia="Arial" w:hAnsi="Arial"/>
          <w:sz w:val="22"/>
          <w:szCs w:val="22"/>
          <w:color w:val="auto"/>
        </w:rPr>
      </w:pPr>
      <w:r>
        <w:rPr>
          <w:rFonts w:ascii="Arial" w:cs="Arial" w:eastAsia="Arial" w:hAnsi="Arial"/>
          <w:sz w:val="22"/>
          <w:szCs w:val="22"/>
          <w:color w:val="auto"/>
        </w:rPr>
        <w:t>secure the Notes;</w:t>
      </w:r>
    </w:p>
    <w:p>
      <w:pPr>
        <w:spacing w:after="0" w:line="233" w:lineRule="exact"/>
        <w:rPr>
          <w:rFonts w:ascii="Arial" w:cs="Arial" w:eastAsia="Arial" w:hAnsi="Arial"/>
          <w:sz w:val="22"/>
          <w:szCs w:val="22"/>
          <w:color w:val="auto"/>
        </w:rPr>
      </w:pPr>
    </w:p>
    <w:p>
      <w:pPr>
        <w:ind w:left="1200" w:hanging="422"/>
        <w:spacing w:after="0"/>
        <w:tabs>
          <w:tab w:leader="none" w:pos="1200" w:val="left"/>
        </w:tabs>
        <w:numPr>
          <w:ilvl w:val="0"/>
          <w:numId w:val="92"/>
        </w:numPr>
        <w:rPr>
          <w:rFonts w:ascii="Arial" w:cs="Arial" w:eastAsia="Arial" w:hAnsi="Arial"/>
          <w:sz w:val="22"/>
          <w:szCs w:val="22"/>
          <w:color w:val="auto"/>
        </w:rPr>
      </w:pPr>
      <w:r>
        <w:rPr>
          <w:rFonts w:ascii="Arial" w:cs="Arial" w:eastAsia="Arial" w:hAnsi="Arial"/>
          <w:sz w:val="22"/>
          <w:szCs w:val="22"/>
          <w:color w:val="auto"/>
        </w:rPr>
        <w:t>increase the Conversion Rate of the Notes;</w:t>
      </w:r>
    </w:p>
    <w:p>
      <w:pPr>
        <w:spacing w:after="0" w:line="233" w:lineRule="exact"/>
        <w:rPr>
          <w:rFonts w:ascii="Arial" w:cs="Arial" w:eastAsia="Arial" w:hAnsi="Arial"/>
          <w:sz w:val="22"/>
          <w:szCs w:val="22"/>
          <w:color w:val="auto"/>
        </w:rPr>
      </w:pPr>
    </w:p>
    <w:p>
      <w:pPr>
        <w:ind w:left="120" w:right="340" w:firstLine="658"/>
        <w:spacing w:after="0" w:line="276" w:lineRule="auto"/>
        <w:tabs>
          <w:tab w:leader="none" w:pos="1164" w:val="left"/>
        </w:tabs>
        <w:numPr>
          <w:ilvl w:val="0"/>
          <w:numId w:val="92"/>
        </w:numPr>
        <w:rPr>
          <w:rFonts w:ascii="Arial" w:cs="Arial" w:eastAsia="Arial" w:hAnsi="Arial"/>
          <w:sz w:val="22"/>
          <w:szCs w:val="22"/>
          <w:color w:val="auto"/>
        </w:rPr>
      </w:pPr>
      <w:r>
        <w:rPr>
          <w:rFonts w:ascii="Arial" w:cs="Arial" w:eastAsia="Arial" w:hAnsi="Arial"/>
          <w:sz w:val="22"/>
          <w:szCs w:val="22"/>
          <w:color w:val="auto"/>
        </w:rPr>
        <w:t>irrevocably select a Settlement Method or Specified Dollar Amount, or eliminate the Company’s right to choose a particular settlement method, on conversion of Notes;</w:t>
      </w:r>
    </w:p>
    <w:p>
      <w:pPr>
        <w:spacing w:after="0" w:line="160" w:lineRule="exact"/>
        <w:rPr>
          <w:rFonts w:ascii="Arial" w:cs="Arial" w:eastAsia="Arial" w:hAnsi="Arial"/>
          <w:sz w:val="22"/>
          <w:szCs w:val="22"/>
          <w:color w:val="auto"/>
        </w:rPr>
      </w:pPr>
    </w:p>
    <w:p>
      <w:pPr>
        <w:ind w:left="120" w:right="800" w:firstLine="658"/>
        <w:spacing w:after="0" w:line="276" w:lineRule="auto"/>
        <w:tabs>
          <w:tab w:leader="none" w:pos="1200" w:val="left"/>
        </w:tabs>
        <w:numPr>
          <w:ilvl w:val="0"/>
          <w:numId w:val="92"/>
        </w:numPr>
        <w:rPr>
          <w:rFonts w:ascii="Arial" w:cs="Arial" w:eastAsia="Arial" w:hAnsi="Arial"/>
          <w:sz w:val="22"/>
          <w:szCs w:val="22"/>
          <w:color w:val="auto"/>
        </w:rPr>
      </w:pPr>
      <w:r>
        <w:rPr>
          <w:rFonts w:ascii="Arial" w:cs="Arial" w:eastAsia="Arial" w:hAnsi="Arial"/>
          <w:sz w:val="22"/>
          <w:szCs w:val="22"/>
          <w:color w:val="auto"/>
        </w:rPr>
        <w:t>add to the covenants or Events of Default for the benefit of the Holders or make changes that would provide additional rights to Holders or surrender any right or power conferred upon the Company;</w:t>
      </w:r>
    </w:p>
    <w:p>
      <w:pPr>
        <w:spacing w:after="0" w:line="160" w:lineRule="exact"/>
        <w:rPr>
          <w:rFonts w:ascii="Arial" w:cs="Arial" w:eastAsia="Arial" w:hAnsi="Arial"/>
          <w:sz w:val="22"/>
          <w:szCs w:val="22"/>
          <w:color w:val="auto"/>
        </w:rPr>
      </w:pPr>
    </w:p>
    <w:p>
      <w:pPr>
        <w:ind w:left="1200" w:hanging="422"/>
        <w:spacing w:after="0"/>
        <w:tabs>
          <w:tab w:leader="none" w:pos="1200" w:val="left"/>
        </w:tabs>
        <w:numPr>
          <w:ilvl w:val="0"/>
          <w:numId w:val="92"/>
        </w:numPr>
        <w:rPr>
          <w:rFonts w:ascii="Arial" w:cs="Arial" w:eastAsia="Arial" w:hAnsi="Arial"/>
          <w:sz w:val="22"/>
          <w:szCs w:val="22"/>
          <w:color w:val="auto"/>
        </w:rPr>
      </w:pPr>
      <w:r>
        <w:rPr>
          <w:rFonts w:ascii="Arial" w:cs="Arial" w:eastAsia="Arial" w:hAnsi="Arial"/>
          <w:sz w:val="22"/>
          <w:szCs w:val="22"/>
          <w:color w:val="auto"/>
        </w:rPr>
        <w:t>make any change that does not adversely affect the rights of any Holder in any material respect;</w:t>
      </w:r>
    </w:p>
    <w:p>
      <w:pPr>
        <w:spacing w:after="0" w:line="233" w:lineRule="exact"/>
        <w:rPr>
          <w:rFonts w:ascii="Arial" w:cs="Arial" w:eastAsia="Arial" w:hAnsi="Arial"/>
          <w:sz w:val="22"/>
          <w:szCs w:val="22"/>
          <w:color w:val="auto"/>
        </w:rPr>
      </w:pPr>
    </w:p>
    <w:p>
      <w:pPr>
        <w:jc w:val="both"/>
        <w:ind w:left="120" w:right="360" w:firstLine="658"/>
        <w:spacing w:after="0" w:line="260" w:lineRule="auto"/>
        <w:tabs>
          <w:tab w:leader="none" w:pos="1152" w:val="left"/>
        </w:tabs>
        <w:numPr>
          <w:ilvl w:val="0"/>
          <w:numId w:val="92"/>
        </w:numPr>
        <w:rPr>
          <w:rFonts w:ascii="Arial" w:cs="Arial" w:eastAsia="Arial" w:hAnsi="Arial"/>
          <w:sz w:val="22"/>
          <w:szCs w:val="22"/>
          <w:color w:val="auto"/>
        </w:rPr>
      </w:pPr>
      <w:r>
        <w:rPr>
          <w:rFonts w:ascii="Arial" w:cs="Arial" w:eastAsia="Arial" w:hAnsi="Arial"/>
          <w:sz w:val="22"/>
          <w:szCs w:val="22"/>
          <w:color w:val="auto"/>
        </w:rPr>
        <w:t>in connection with any Specified Corporate Event, provide that the Notes are convertible into Reference Property, subject to Section 14.02, and make certain related changes to the terms of this Indenture and the Notes to the extent expressly required by this Indenture;</w:t>
      </w:r>
    </w:p>
    <w:p>
      <w:pPr>
        <w:spacing w:after="0" w:line="177" w:lineRule="exact"/>
        <w:rPr>
          <w:rFonts w:ascii="Arial" w:cs="Arial" w:eastAsia="Arial" w:hAnsi="Arial"/>
          <w:sz w:val="22"/>
          <w:szCs w:val="22"/>
          <w:color w:val="auto"/>
        </w:rPr>
      </w:pPr>
    </w:p>
    <w:p>
      <w:pPr>
        <w:ind w:left="120" w:firstLine="658"/>
        <w:spacing w:after="0" w:line="260" w:lineRule="auto"/>
        <w:tabs>
          <w:tab w:leader="none" w:pos="1152" w:val="left"/>
        </w:tabs>
        <w:numPr>
          <w:ilvl w:val="0"/>
          <w:numId w:val="92"/>
        </w:numPr>
        <w:rPr>
          <w:rFonts w:ascii="Arial" w:cs="Arial" w:eastAsia="Arial" w:hAnsi="Arial"/>
          <w:sz w:val="22"/>
          <w:szCs w:val="22"/>
          <w:color w:val="auto"/>
        </w:rPr>
      </w:pPr>
      <w:r>
        <w:rPr>
          <w:rFonts w:ascii="Arial" w:cs="Arial" w:eastAsia="Arial" w:hAnsi="Arial"/>
          <w:sz w:val="22"/>
          <w:szCs w:val="22"/>
          <w:color w:val="auto"/>
        </w:rPr>
        <w:t>evidence and provide for the acceptance of an appointment under this Indenture of a successor Trustee; provided that the successor Trustee is otherwise qualified and eligible to act as such under the terms of this Indenture as set forth in an Officers’ Certificate;</w:t>
      </w:r>
    </w:p>
    <w:p>
      <w:pPr>
        <w:spacing w:after="0" w:line="177" w:lineRule="exact"/>
        <w:rPr>
          <w:rFonts w:ascii="Arial" w:cs="Arial" w:eastAsia="Arial" w:hAnsi="Arial"/>
          <w:sz w:val="22"/>
          <w:szCs w:val="22"/>
          <w:color w:val="auto"/>
        </w:rPr>
      </w:pPr>
    </w:p>
    <w:p>
      <w:pPr>
        <w:ind w:left="120" w:right="1000" w:firstLine="658"/>
        <w:spacing w:after="0" w:line="276" w:lineRule="auto"/>
        <w:tabs>
          <w:tab w:leader="none" w:pos="1200" w:val="left"/>
        </w:tabs>
        <w:numPr>
          <w:ilvl w:val="0"/>
          <w:numId w:val="92"/>
        </w:numPr>
        <w:rPr>
          <w:rFonts w:ascii="Arial" w:cs="Arial" w:eastAsia="Arial" w:hAnsi="Arial"/>
          <w:sz w:val="22"/>
          <w:szCs w:val="22"/>
          <w:color w:val="auto"/>
        </w:rPr>
      </w:pPr>
      <w:r>
        <w:rPr>
          <w:rFonts w:ascii="Arial" w:cs="Arial" w:eastAsia="Arial" w:hAnsi="Arial"/>
          <w:sz w:val="22"/>
          <w:szCs w:val="22"/>
          <w:color w:val="auto"/>
        </w:rPr>
        <w:t>conform the provisions of this Indenture or the Notes to the “Description of notes” section of the Offering Memorandum; and</w:t>
      </w:r>
    </w:p>
    <w:p>
      <w:pPr>
        <w:spacing w:after="0" w:line="160" w:lineRule="exact"/>
        <w:rPr>
          <w:rFonts w:ascii="Arial" w:cs="Arial" w:eastAsia="Arial" w:hAnsi="Arial"/>
          <w:sz w:val="22"/>
          <w:szCs w:val="22"/>
          <w:color w:val="auto"/>
        </w:rPr>
      </w:pPr>
    </w:p>
    <w:p>
      <w:pPr>
        <w:ind w:left="1160" w:hanging="382"/>
        <w:spacing w:after="0"/>
        <w:tabs>
          <w:tab w:leader="none" w:pos="11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provide for the issuance of additional Notes in accordance with Section 2.10(a).</w:t>
      </w:r>
    </w:p>
    <w:p>
      <w:pPr>
        <w:spacing w:after="0" w:line="233"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The Trustee is hereby authorized to join with the Company in the execution of any such amendment, supplement or waiver, to make any further appropriate agreements and stipulations</w:t>
      </w: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360"/>
          </w:cols>
          <w:pgMar w:left="240" w:top="591" w:right="299" w:bottom="1440" w:gutter="0" w:footer="0" w:header="0"/>
        </w:sectPr>
      </w:pPr>
    </w:p>
    <w:bookmarkStart w:id="126" w:name="page127"/>
    <w:bookmarkEnd w:id="126"/>
    <w:p>
      <w:pPr>
        <w:jc w:val="both"/>
        <w:ind w:right="640"/>
        <w:spacing w:after="0" w:line="343" w:lineRule="auto"/>
        <w:rPr>
          <w:sz w:val="20"/>
          <w:szCs w:val="20"/>
          <w:color w:val="auto"/>
        </w:rPr>
      </w:pPr>
      <w:r>
        <w:rPr>
          <w:rFonts w:ascii="Arial" w:cs="Arial" w:eastAsia="Arial" w:hAnsi="Arial"/>
          <w:sz w:val="19"/>
          <w:szCs w:val="19"/>
          <w:color w:val="auto"/>
        </w:rPr>
        <w:t>that may be therein contained, but the Trustee shall not be obligated to, but may in its discretion, enter into any amendment, supplement or waiver that adversely affects the Trustee’s own rights, duties or immunities under this Indenture or otherwise.</w:t>
      </w:r>
    </w:p>
    <w:p>
      <w:pPr>
        <w:spacing w:after="0" w:line="51" w:lineRule="exact"/>
        <w:rPr>
          <w:sz w:val="20"/>
          <w:szCs w:val="20"/>
          <w:color w:val="auto"/>
        </w:rPr>
      </w:pPr>
    </w:p>
    <w:p>
      <w:pPr>
        <w:ind w:right="160"/>
        <w:spacing w:after="0" w:line="261" w:lineRule="auto"/>
        <w:rPr>
          <w:sz w:val="20"/>
          <w:szCs w:val="20"/>
          <w:color w:val="auto"/>
        </w:rPr>
      </w:pPr>
      <w:r>
        <w:rPr>
          <w:rFonts w:ascii="Arial" w:cs="Arial" w:eastAsia="Arial" w:hAnsi="Arial"/>
          <w:sz w:val="21"/>
          <w:szCs w:val="21"/>
          <w:color w:val="auto"/>
        </w:rPr>
        <w:t>Section 10.02</w:t>
      </w:r>
      <w:r>
        <w:rPr>
          <w:rFonts w:ascii="Arial" w:cs="Arial" w:eastAsia="Arial" w:hAnsi="Arial"/>
          <w:sz w:val="21"/>
          <w:szCs w:val="21"/>
          <w:i w:val="1"/>
          <w:iCs w:val="1"/>
          <w:color w:val="auto"/>
        </w:rPr>
        <w:t>. Supplemental Indentures with Consent of Holders.</w:t>
      </w:r>
      <w:r>
        <w:rPr>
          <w:rFonts w:ascii="Arial" w:cs="Arial" w:eastAsia="Arial" w:hAnsi="Arial"/>
          <w:sz w:val="21"/>
          <w:szCs w:val="21"/>
          <w:color w:val="auto"/>
        </w:rPr>
        <w:t xml:space="preserve"> Except as provided above in Section 10.01 and below in this Section 10.02, the Company and the Trustee may from time to time and at any time amend or supplement this Indenture and the Notes 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Notes);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without the consent of each Holder of an outstanding Note affected, no such amendment shall:</w:t>
      </w:r>
    </w:p>
    <w:p>
      <w:pPr>
        <w:spacing w:after="0" w:line="180" w:lineRule="exact"/>
        <w:rPr>
          <w:sz w:val="20"/>
          <w:szCs w:val="20"/>
          <w:color w:val="auto"/>
        </w:rPr>
      </w:pPr>
    </w:p>
    <w:p>
      <w:pPr>
        <w:ind w:left="1200" w:hanging="422"/>
        <w:spacing w:after="0"/>
        <w:tabs>
          <w:tab w:leader="none" w:pos="1200" w:val="left"/>
        </w:tabs>
        <w:numPr>
          <w:ilvl w:val="0"/>
          <w:numId w:val="93"/>
        </w:numPr>
        <w:rPr>
          <w:rFonts w:ascii="Arial" w:cs="Arial" w:eastAsia="Arial" w:hAnsi="Arial"/>
          <w:sz w:val="19"/>
          <w:szCs w:val="19"/>
          <w:color w:val="auto"/>
        </w:rPr>
      </w:pPr>
      <w:r>
        <w:rPr>
          <w:rFonts w:ascii="Arial" w:cs="Arial" w:eastAsia="Arial" w:hAnsi="Arial"/>
          <w:sz w:val="19"/>
          <w:szCs w:val="19"/>
          <w:color w:val="auto"/>
        </w:rPr>
        <w:t>reduce the percentage in aggregate principal amount of Notes whose Holders must consent to an amendment;</w:t>
      </w:r>
    </w:p>
    <w:p>
      <w:pPr>
        <w:spacing w:after="0" w:line="267" w:lineRule="exact"/>
        <w:rPr>
          <w:rFonts w:ascii="Arial" w:cs="Arial" w:eastAsia="Arial" w:hAnsi="Arial"/>
          <w:sz w:val="19"/>
          <w:szCs w:val="19"/>
          <w:color w:val="auto"/>
        </w:rPr>
      </w:pPr>
    </w:p>
    <w:p>
      <w:pPr>
        <w:ind w:left="1200" w:hanging="422"/>
        <w:spacing w:after="0"/>
        <w:tabs>
          <w:tab w:leader="none" w:pos="12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reduce the rate of or extend the stated time for payment of interest on any Note;</w:t>
      </w:r>
    </w:p>
    <w:p>
      <w:pPr>
        <w:spacing w:after="0" w:line="233" w:lineRule="exact"/>
        <w:rPr>
          <w:rFonts w:ascii="Arial" w:cs="Arial" w:eastAsia="Arial" w:hAnsi="Arial"/>
          <w:sz w:val="22"/>
          <w:szCs w:val="22"/>
          <w:color w:val="auto"/>
        </w:rPr>
      </w:pPr>
    </w:p>
    <w:p>
      <w:pPr>
        <w:ind w:left="1200" w:hanging="422"/>
        <w:spacing w:after="0"/>
        <w:tabs>
          <w:tab w:leader="none" w:pos="12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reduce the principal of or extend the Maturity Date of any Note;</w:t>
      </w:r>
    </w:p>
    <w:p>
      <w:pPr>
        <w:spacing w:after="0" w:line="233" w:lineRule="exact"/>
        <w:rPr>
          <w:rFonts w:ascii="Arial" w:cs="Arial" w:eastAsia="Arial" w:hAnsi="Arial"/>
          <w:sz w:val="22"/>
          <w:szCs w:val="22"/>
          <w:color w:val="auto"/>
        </w:rPr>
      </w:pPr>
    </w:p>
    <w:p>
      <w:pPr>
        <w:ind w:left="1200" w:hanging="422"/>
        <w:spacing w:after="0"/>
        <w:tabs>
          <w:tab w:leader="none" w:pos="12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make any change that adversely affects the conversion rights of any Notes;</w:t>
      </w:r>
    </w:p>
    <w:p>
      <w:pPr>
        <w:spacing w:after="0" w:line="233" w:lineRule="exact"/>
        <w:rPr>
          <w:rFonts w:ascii="Arial" w:cs="Arial" w:eastAsia="Arial" w:hAnsi="Arial"/>
          <w:sz w:val="22"/>
          <w:szCs w:val="22"/>
          <w:color w:val="auto"/>
        </w:rPr>
      </w:pPr>
    </w:p>
    <w:p>
      <w:pPr>
        <w:ind w:left="120" w:right="460" w:firstLine="658"/>
        <w:spacing w:after="0" w:line="260" w:lineRule="auto"/>
        <w:tabs>
          <w:tab w:leader="none" w:pos="1188" w:val="left"/>
        </w:tabs>
        <w:numPr>
          <w:ilvl w:val="0"/>
          <w:numId w:val="93"/>
        </w:numPr>
        <w:rPr>
          <w:rFonts w:ascii="Arial" w:cs="Arial" w:eastAsia="Arial" w:hAnsi="Arial"/>
          <w:sz w:val="22"/>
          <w:szCs w:val="22"/>
          <w:color w:val="auto"/>
        </w:rPr>
      </w:pPr>
      <w:r>
        <w:rPr>
          <w:rFonts w:ascii="Arial" w:cs="Arial" w:eastAsia="Arial" w:hAnsi="Arial"/>
          <w:sz w:val="22"/>
          <w:szCs w:val="22"/>
          <w:color w:val="auto"/>
        </w:rPr>
        <w:t>reduce the Fundamental Change Repurchase Price of any Note or amend or modify in any manner adverse to the Holders the Company’s obligation to make such payments, whether through an amendment or waiver of provisions in the covenants, definitions or otherwise;</w:t>
      </w:r>
    </w:p>
    <w:p>
      <w:pPr>
        <w:spacing w:after="0" w:line="177" w:lineRule="exact"/>
        <w:rPr>
          <w:rFonts w:ascii="Arial" w:cs="Arial" w:eastAsia="Arial" w:hAnsi="Arial"/>
          <w:sz w:val="22"/>
          <w:szCs w:val="22"/>
          <w:color w:val="auto"/>
        </w:rPr>
      </w:pPr>
    </w:p>
    <w:p>
      <w:pPr>
        <w:ind w:left="1180" w:hanging="402"/>
        <w:spacing w:after="0"/>
        <w:tabs>
          <w:tab w:leader="none" w:pos="11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make any Note payable in a money, or at a place of payment, other than that stated in the Note;</w:t>
      </w:r>
    </w:p>
    <w:p>
      <w:pPr>
        <w:spacing w:after="0" w:line="233" w:lineRule="exact"/>
        <w:rPr>
          <w:rFonts w:ascii="Arial" w:cs="Arial" w:eastAsia="Arial" w:hAnsi="Arial"/>
          <w:sz w:val="22"/>
          <w:szCs w:val="22"/>
          <w:color w:val="auto"/>
        </w:rPr>
      </w:pPr>
    </w:p>
    <w:p>
      <w:pPr>
        <w:ind w:left="1200" w:hanging="422"/>
        <w:spacing w:after="0"/>
        <w:tabs>
          <w:tab w:leader="none" w:pos="12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change the ranking of the Notes;</w:t>
      </w:r>
    </w:p>
    <w:p>
      <w:pPr>
        <w:spacing w:after="0" w:line="233" w:lineRule="exact"/>
        <w:rPr>
          <w:rFonts w:ascii="Arial" w:cs="Arial" w:eastAsia="Arial" w:hAnsi="Arial"/>
          <w:sz w:val="22"/>
          <w:szCs w:val="22"/>
          <w:color w:val="auto"/>
        </w:rPr>
      </w:pPr>
    </w:p>
    <w:p>
      <w:pPr>
        <w:ind w:left="120" w:firstLine="658"/>
        <w:spacing w:after="0" w:line="266" w:lineRule="auto"/>
        <w:tabs>
          <w:tab w:leader="none" w:pos="1200" w:val="left"/>
        </w:tabs>
        <w:numPr>
          <w:ilvl w:val="0"/>
          <w:numId w:val="93"/>
        </w:numPr>
        <w:rPr>
          <w:rFonts w:ascii="Arial" w:cs="Arial" w:eastAsia="Arial" w:hAnsi="Arial"/>
          <w:sz w:val="21"/>
          <w:szCs w:val="21"/>
          <w:color w:val="auto"/>
        </w:rPr>
      </w:pPr>
      <w:r>
        <w:rPr>
          <w:rFonts w:ascii="Arial" w:cs="Arial" w:eastAsia="Arial" w:hAnsi="Arial"/>
          <w:sz w:val="21"/>
          <w:szCs w:val="21"/>
          <w:color w:val="auto"/>
        </w:rPr>
        <w:t>impair the right of any Holder to receive payment of principal and interest on such Holder’s Notes on or after due dates therefor or amend the contractual right expressly set forth in this Indenture or the Notes of any Holder to institute suit for the enforcement of any payment of principal (including the Fundamental Change Repurchase Price, if applicable) of, accrued and unpaid interest, if any, on, or the consideration due upon conversion of, such Holder’s Notes, on or after the respective due dates expressed or provided for in such Holder’s Notes or in this Indenture; or</w:t>
      </w:r>
    </w:p>
    <w:p>
      <w:pPr>
        <w:spacing w:after="0" w:line="174" w:lineRule="exact"/>
        <w:rPr>
          <w:rFonts w:ascii="Arial" w:cs="Arial" w:eastAsia="Arial" w:hAnsi="Arial"/>
          <w:sz w:val="21"/>
          <w:szCs w:val="21"/>
          <w:color w:val="auto"/>
        </w:rPr>
      </w:pPr>
    </w:p>
    <w:p>
      <w:pPr>
        <w:ind w:left="120" w:right="600" w:firstLine="658"/>
        <w:spacing w:after="0" w:line="276" w:lineRule="auto"/>
        <w:tabs>
          <w:tab w:leader="none" w:pos="1152" w:val="left"/>
        </w:tabs>
        <w:numPr>
          <w:ilvl w:val="0"/>
          <w:numId w:val="93"/>
        </w:numPr>
        <w:rPr>
          <w:rFonts w:ascii="Arial" w:cs="Arial" w:eastAsia="Arial" w:hAnsi="Arial"/>
          <w:sz w:val="22"/>
          <w:szCs w:val="22"/>
          <w:color w:val="auto"/>
        </w:rPr>
      </w:pPr>
      <w:r>
        <w:rPr>
          <w:rFonts w:ascii="Arial" w:cs="Arial" w:eastAsia="Arial" w:hAnsi="Arial"/>
          <w:sz w:val="22"/>
          <w:szCs w:val="22"/>
          <w:color w:val="auto"/>
        </w:rPr>
        <w:t>make any change in this Article 10 that requires each Holder’s consent or in the waiver provisions (including in Section 6.09).</w:t>
      </w:r>
    </w:p>
    <w:p>
      <w:pPr>
        <w:spacing w:after="0" w:line="161" w:lineRule="exact"/>
        <w:rPr>
          <w:sz w:val="20"/>
          <w:szCs w:val="20"/>
          <w:color w:val="auto"/>
        </w:rPr>
      </w:pPr>
    </w:p>
    <w:p>
      <w:pPr>
        <w:ind w:right="20" w:firstLine="648"/>
        <w:spacing w:after="0" w:line="312" w:lineRule="auto"/>
        <w:rPr>
          <w:sz w:val="20"/>
          <w:szCs w:val="20"/>
          <w:color w:val="auto"/>
        </w:rPr>
      </w:pPr>
      <w:r>
        <w:rPr>
          <w:rFonts w:ascii="Arial" w:cs="Arial" w:eastAsia="Arial" w:hAnsi="Arial"/>
          <w:sz w:val="19"/>
          <w:szCs w:val="19"/>
          <w:color w:val="auto"/>
        </w:rPr>
        <w:t>Upon the written request of the Company, and upon the filing with the Trustee of evidence of the consent of Holders as aforesaid and subject to Section 10.05, the Trustee shall join with the Company in the execution of such amendment, supplement or waiver unless such amendment, supplement or waiver adversely affects the Trustee’s own rights, duties or</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00"/>
          </w:cols>
          <w:pgMar w:left="240" w:top="375" w:right="259" w:bottom="1440" w:gutter="0" w:footer="0" w:header="0"/>
        </w:sectPr>
      </w:pPr>
    </w:p>
    <w:bookmarkStart w:id="127" w:name="page128"/>
    <w:bookmarkEnd w:id="127"/>
    <w:p>
      <w:pPr>
        <w:ind w:right="360"/>
        <w:spacing w:after="0" w:line="263" w:lineRule="auto"/>
        <w:rPr>
          <w:sz w:val="20"/>
          <w:szCs w:val="20"/>
          <w:color w:val="auto"/>
        </w:rPr>
      </w:pPr>
      <w:r>
        <w:rPr>
          <w:rFonts w:ascii="Arial" w:cs="Arial" w:eastAsia="Arial" w:hAnsi="Arial"/>
          <w:sz w:val="22"/>
          <w:szCs w:val="22"/>
          <w:color w:val="auto"/>
        </w:rPr>
        <w:t>immunities under this Indenture or otherwise, in which case the Trustee may in its discretion, but shall not be obligated to, enter into such amendment, supplement or waiver.</w:t>
      </w:r>
    </w:p>
    <w:p>
      <w:pPr>
        <w:spacing w:after="0" w:line="175" w:lineRule="exact"/>
        <w:rPr>
          <w:sz w:val="20"/>
          <w:szCs w:val="20"/>
          <w:color w:val="auto"/>
        </w:rPr>
      </w:pPr>
    </w:p>
    <w:p>
      <w:pPr>
        <w:ind w:right="360" w:firstLine="648"/>
        <w:spacing w:after="0" w:line="248" w:lineRule="auto"/>
        <w:rPr>
          <w:sz w:val="20"/>
          <w:szCs w:val="20"/>
          <w:color w:val="auto"/>
        </w:rPr>
      </w:pPr>
      <w:r>
        <w:rPr>
          <w:rFonts w:ascii="Arial" w:cs="Arial" w:eastAsia="Arial" w:hAnsi="Arial"/>
          <w:sz w:val="22"/>
          <w:szCs w:val="22"/>
          <w:color w:val="auto"/>
        </w:rPr>
        <w:t>Holders do not need under this Section 10.02 to approve the particular form of any proposed amendment, supplement or waiver of this Indenture. It shall be sufficient if such Holders approve the substance thereof. After any such amendment, supplement or waiver becomes effective, the Company shall send to the Holders a notice briefly describing such amendment, supplement or waiver. However, the failure to give such notice to all the Holders, or any defect in the notice, will not impair or affect the validity of the amendment, supplement or waiver.</w:t>
      </w:r>
    </w:p>
    <w:p>
      <w:pPr>
        <w:spacing w:after="0" w:line="138" w:lineRule="exact"/>
        <w:rPr>
          <w:sz w:val="20"/>
          <w:szCs w:val="20"/>
          <w:color w:val="auto"/>
        </w:rPr>
      </w:pPr>
    </w:p>
    <w:p>
      <w:pPr>
        <w:ind w:right="140"/>
        <w:spacing w:after="0" w:line="294" w:lineRule="auto"/>
        <w:rPr>
          <w:sz w:val="20"/>
          <w:szCs w:val="20"/>
          <w:color w:val="auto"/>
        </w:rPr>
      </w:pPr>
      <w:r>
        <w:rPr>
          <w:rFonts w:ascii="Arial" w:cs="Arial" w:eastAsia="Arial" w:hAnsi="Arial"/>
          <w:sz w:val="19"/>
          <w:szCs w:val="19"/>
          <w:color w:val="auto"/>
        </w:rPr>
        <w:t>Section 10.03</w:t>
      </w:r>
      <w:r>
        <w:rPr>
          <w:rFonts w:ascii="Arial" w:cs="Arial" w:eastAsia="Arial" w:hAnsi="Arial"/>
          <w:sz w:val="19"/>
          <w:szCs w:val="19"/>
          <w:i w:val="1"/>
          <w:iCs w:val="1"/>
          <w:color w:val="auto"/>
        </w:rPr>
        <w:t>. Effect of Amendment, Supplement and Waiver.</w:t>
      </w:r>
      <w:r>
        <w:rPr>
          <w:rFonts w:ascii="Arial" w:cs="Arial" w:eastAsia="Arial" w:hAnsi="Arial"/>
          <w:sz w:val="19"/>
          <w:szCs w:val="19"/>
          <w:color w:val="auto"/>
        </w:rPr>
        <w:t xml:space="preserve"> Upon the execution of any amendment, supplement or waiver of this Indenture pursuant to the provisions of this Article 10, this Indenture shall be and be deemed to be modified and amended in accordance therewith and the respective rights, limitation of rights, obligations, duties and immunities under this Indenture of the Trustee, the Company and the Holders shall thereafter be determined, exercised and enforced hereunder subject in all respects to such modifications and amendments and all the terms and conditions of any such amendment or supplement shall be and be deemed to be part of the terms and conditions of this Indenture for any and all purposes.</w:t>
      </w:r>
    </w:p>
    <w:p>
      <w:pPr>
        <w:spacing w:after="0" w:line="96" w:lineRule="exact"/>
        <w:rPr>
          <w:sz w:val="20"/>
          <w:szCs w:val="20"/>
          <w:color w:val="auto"/>
        </w:rPr>
      </w:pPr>
    </w:p>
    <w:p>
      <w:pPr>
        <w:ind w:right="140"/>
        <w:spacing w:after="0" w:line="290" w:lineRule="auto"/>
        <w:rPr>
          <w:sz w:val="20"/>
          <w:szCs w:val="20"/>
          <w:color w:val="auto"/>
        </w:rPr>
      </w:pPr>
      <w:r>
        <w:rPr>
          <w:rFonts w:ascii="Arial" w:cs="Arial" w:eastAsia="Arial" w:hAnsi="Arial"/>
          <w:sz w:val="19"/>
          <w:szCs w:val="19"/>
          <w:color w:val="auto"/>
        </w:rPr>
        <w:t>Section 10.04</w:t>
      </w:r>
      <w:r>
        <w:rPr>
          <w:rFonts w:ascii="Arial" w:cs="Arial" w:eastAsia="Arial" w:hAnsi="Arial"/>
          <w:sz w:val="19"/>
          <w:szCs w:val="19"/>
          <w:i w:val="1"/>
          <w:iCs w:val="1"/>
          <w:color w:val="auto"/>
        </w:rPr>
        <w:t>. Notation on Notes.</w:t>
      </w:r>
      <w:r>
        <w:rPr>
          <w:rFonts w:ascii="Arial" w:cs="Arial" w:eastAsia="Arial" w:hAnsi="Arial"/>
          <w:sz w:val="19"/>
          <w:szCs w:val="19"/>
          <w:color w:val="auto"/>
        </w:rPr>
        <w:t xml:space="preserve"> Notes authenticated and delivered after the execution of any amendment, supplement or waiver to this Indenture pursuant to the provisions of this Article 10 may, at the Company’s expense, bear a notation in form approved by the Trustee as to any matter provided for in such amendment, supplement or waiver. If the Company or the Trustee shall so determine, new Notes so modified as to conform, in the opinion of the Trustee and the Board of Directors, to any modification of this Indenture contained in any such amendment, supplement or waiver may, at the Company’s expense, be prepared and executed by the Company, authenticated by the Trustee (or an authenticating agent duly appointed by the Trustee pursuant to Section 17.11) and delivered in exchange for the Notes then outstanding, upon surrender of such Notes then outstanding. Failure to make the appropriate notation or issue a new Note shall not affect the validity and effect of such amendment, supplement or waiver.</w:t>
      </w:r>
    </w:p>
    <w:p>
      <w:pPr>
        <w:spacing w:after="0" w:line="10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Section 10.05</w:t>
      </w:r>
      <w:r>
        <w:rPr>
          <w:rFonts w:ascii="Arial" w:cs="Arial" w:eastAsia="Arial" w:hAnsi="Arial"/>
          <w:sz w:val="21"/>
          <w:szCs w:val="21"/>
          <w:i w:val="1"/>
          <w:iCs w:val="1"/>
          <w:color w:val="auto"/>
        </w:rPr>
        <w:t>. Evidence of Compliance of Amendment, Supplement or Waiver to Be Furnished to Trustee.</w:t>
      </w:r>
      <w:r>
        <w:rPr>
          <w:rFonts w:ascii="Arial" w:cs="Arial" w:eastAsia="Arial" w:hAnsi="Arial"/>
          <w:sz w:val="21"/>
          <w:szCs w:val="21"/>
          <w:color w:val="auto"/>
        </w:rPr>
        <w:t xml:space="preserve"> In addition to the documents required by Section 17.06, the Trustee shall receive and may rely on an Officers’ Certificate and an Opinion of Counsel as conclusive evidence that any amendment, supplement or waiver to this Indenture executed pursuant hereto complies with the requirements of this Article 10 and is permitted or authorized by this Indenture.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11</w:t>
      </w:r>
    </w:p>
    <w:p>
      <w:pPr>
        <w:spacing w:after="0" w:line="22"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C</w:t>
      </w:r>
      <w:r>
        <w:rPr>
          <w:rFonts w:ascii="Arial" w:cs="Arial" w:eastAsia="Arial" w:hAnsi="Arial"/>
          <w:sz w:val="18"/>
          <w:szCs w:val="18"/>
          <w:color w:val="auto"/>
        </w:rPr>
        <w:t>ONSOLIDATION</w:t>
      </w:r>
      <w:r>
        <w:rPr>
          <w:rFonts w:ascii="Arial" w:cs="Arial" w:eastAsia="Arial" w:hAnsi="Arial"/>
          <w:sz w:val="22"/>
          <w:szCs w:val="22"/>
          <w:color w:val="auto"/>
        </w:rPr>
        <w:t>, M</w:t>
      </w:r>
      <w:r>
        <w:rPr>
          <w:rFonts w:ascii="Arial" w:cs="Arial" w:eastAsia="Arial" w:hAnsi="Arial"/>
          <w:sz w:val="18"/>
          <w:szCs w:val="18"/>
          <w:color w:val="auto"/>
        </w:rPr>
        <w:t>ERGER AND</w:t>
      </w:r>
      <w:r>
        <w:rPr>
          <w:rFonts w:ascii="Arial" w:cs="Arial" w:eastAsia="Arial" w:hAnsi="Arial"/>
          <w:sz w:val="22"/>
          <w:szCs w:val="22"/>
          <w:color w:val="auto"/>
        </w:rPr>
        <w:t xml:space="preserve"> S</w:t>
      </w:r>
      <w:r>
        <w:rPr>
          <w:rFonts w:ascii="Arial" w:cs="Arial" w:eastAsia="Arial" w:hAnsi="Arial"/>
          <w:sz w:val="18"/>
          <w:szCs w:val="18"/>
          <w:color w:val="auto"/>
        </w:rPr>
        <w:t>ALE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Section 11.01</w:t>
      </w:r>
      <w:r>
        <w:rPr>
          <w:rFonts w:ascii="Arial" w:cs="Arial" w:eastAsia="Arial" w:hAnsi="Arial"/>
          <w:sz w:val="22"/>
          <w:szCs w:val="22"/>
          <w:i w:val="1"/>
          <w:iCs w:val="1"/>
          <w:color w:val="auto"/>
        </w:rPr>
        <w:t>. Company May Consolidate, Etc. on Certain Terms.</w:t>
      </w:r>
    </w:p>
    <w:p>
      <w:pPr>
        <w:spacing w:after="0" w:line="166" w:lineRule="exact"/>
        <w:rPr>
          <w:sz w:val="20"/>
          <w:szCs w:val="20"/>
          <w:color w:val="auto"/>
        </w:rPr>
      </w:pPr>
    </w:p>
    <w:p>
      <w:pPr>
        <w:ind w:left="120" w:right="440" w:firstLine="658"/>
        <w:spacing w:after="0" w:line="276" w:lineRule="auto"/>
        <w:tabs>
          <w:tab w:leader="none" w:pos="1188"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Company shall not consolidate with or merge with or into or otherwise combine with another Person, or sell, lease or otherwise transfer or dispose of all or</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375" w:right="239" w:bottom="1440" w:gutter="0" w:footer="0" w:header="0"/>
        </w:sectPr>
      </w:pPr>
    </w:p>
    <w:bookmarkStart w:id="128" w:name="page129"/>
    <w:bookmarkEnd w:id="128"/>
    <w:p>
      <w:pPr>
        <w:ind w:left="120"/>
        <w:spacing w:after="0"/>
        <w:rPr>
          <w:sz w:val="20"/>
          <w:szCs w:val="20"/>
          <w:color w:val="auto"/>
        </w:rPr>
      </w:pPr>
      <w:r>
        <w:rPr>
          <w:rFonts w:ascii="Arial" w:cs="Arial" w:eastAsia="Arial" w:hAnsi="Arial"/>
          <w:sz w:val="21"/>
          <w:szCs w:val="21"/>
          <w:color w:val="auto"/>
        </w:rPr>
        <w:t>substantially all of the Company’s and its Subsidiaries’ consolidated assets, taken as a whole, to another Person, unless:</w:t>
      </w:r>
    </w:p>
    <w:p>
      <w:pPr>
        <w:spacing w:after="0" w:line="177" w:lineRule="exact"/>
        <w:rPr>
          <w:sz w:val="20"/>
          <w:szCs w:val="20"/>
          <w:color w:val="auto"/>
        </w:rPr>
      </w:pPr>
    </w:p>
    <w:p>
      <w:pPr>
        <w:ind w:left="500" w:right="200" w:firstLine="805"/>
        <w:spacing w:after="0" w:line="270" w:lineRule="auto"/>
        <w:tabs>
          <w:tab w:leader="none" w:pos="1694" w:val="left"/>
        </w:tabs>
        <w:numPr>
          <w:ilvl w:val="0"/>
          <w:numId w:val="95"/>
        </w:numPr>
        <w:rPr>
          <w:rFonts w:ascii="Arial" w:cs="Arial" w:eastAsia="Arial" w:hAnsi="Arial"/>
          <w:sz w:val="21"/>
          <w:szCs w:val="21"/>
          <w:color w:val="auto"/>
        </w:rPr>
      </w:pPr>
      <w:r>
        <w:rPr>
          <w:rFonts w:ascii="Arial" w:cs="Arial" w:eastAsia="Arial" w:hAnsi="Arial"/>
          <w:sz w:val="21"/>
          <w:szCs w:val="21"/>
          <w:color w:val="auto"/>
        </w:rPr>
        <w:t>the Company is the surviving corporation or the resulting, surviving or transferee Person (if not the Company) (the “</w:t>
      </w:r>
      <w:r>
        <w:rPr>
          <w:rFonts w:ascii="Arial" w:cs="Arial" w:eastAsia="Arial" w:hAnsi="Arial"/>
          <w:sz w:val="21"/>
          <w:szCs w:val="21"/>
          <w:b w:val="1"/>
          <w:bCs w:val="1"/>
          <w:color w:val="auto"/>
        </w:rPr>
        <w:t>Successor Company</w:t>
      </w:r>
      <w:r>
        <w:rPr>
          <w:rFonts w:ascii="Arial" w:cs="Arial" w:eastAsia="Arial" w:hAnsi="Arial"/>
          <w:sz w:val="21"/>
          <w:szCs w:val="21"/>
          <w:color w:val="auto"/>
        </w:rPr>
        <w:t>”) is a corporation organized and existing under the laws of the United States of America, any State thereof or the District of Columbia, and such corporation (if not the Company) expressly assumes by supplemental indenture all of the Company’s obligations under the Notes and this Indenture; and</w:t>
      </w:r>
    </w:p>
    <w:p>
      <w:pPr>
        <w:spacing w:after="0" w:line="115" w:lineRule="exact"/>
        <w:rPr>
          <w:rFonts w:ascii="Arial" w:cs="Arial" w:eastAsia="Arial" w:hAnsi="Arial"/>
          <w:sz w:val="21"/>
          <w:szCs w:val="21"/>
          <w:color w:val="auto"/>
        </w:rPr>
      </w:pPr>
    </w:p>
    <w:p>
      <w:pPr>
        <w:ind w:left="500" w:right="200" w:firstLine="805"/>
        <w:spacing w:after="0" w:line="276" w:lineRule="auto"/>
        <w:tabs>
          <w:tab w:leader="none" w:pos="1754" w:val="left"/>
        </w:tabs>
        <w:numPr>
          <w:ilvl w:val="0"/>
          <w:numId w:val="95"/>
        </w:numPr>
        <w:rPr>
          <w:rFonts w:ascii="Arial" w:cs="Arial" w:eastAsia="Arial" w:hAnsi="Arial"/>
          <w:sz w:val="22"/>
          <w:szCs w:val="22"/>
          <w:color w:val="auto"/>
        </w:rPr>
      </w:pPr>
      <w:r>
        <w:rPr>
          <w:rFonts w:ascii="Arial" w:cs="Arial" w:eastAsia="Arial" w:hAnsi="Arial"/>
          <w:sz w:val="22"/>
          <w:szCs w:val="22"/>
          <w:color w:val="auto"/>
        </w:rPr>
        <w:t>immediately after giving effect to such transaction, no Default or Event of Default shall have occurred and be continuing under this Indenture.</w:t>
      </w:r>
    </w:p>
    <w:p>
      <w:pPr>
        <w:spacing w:after="0" w:line="107" w:lineRule="exact"/>
        <w:rPr>
          <w:sz w:val="20"/>
          <w:szCs w:val="20"/>
          <w:color w:val="auto"/>
        </w:rPr>
      </w:pPr>
    </w:p>
    <w:p>
      <w:pPr>
        <w:ind w:right="220" w:firstLine="648"/>
        <w:spacing w:after="0" w:line="297" w:lineRule="auto"/>
        <w:rPr>
          <w:sz w:val="20"/>
          <w:szCs w:val="20"/>
          <w:color w:val="auto"/>
        </w:rPr>
      </w:pPr>
      <w:r>
        <w:rPr>
          <w:rFonts w:ascii="Arial" w:cs="Arial" w:eastAsia="Arial" w:hAnsi="Arial"/>
          <w:sz w:val="19"/>
          <w:szCs w:val="19"/>
          <w:color w:val="auto"/>
        </w:rPr>
        <w:t>For purposes of this Section 11.01, any sale, lease or other transfer or disposition of the assets of one or more Subsidiaries of the Company to a third party that would, if such assets were held directly by the Company instead of such Subsidiaries, have constituted the sale, lease or other transfer or disposition of all or substantially all of the Company’s and its Subsidiaries’ consolidated assets, taken as a whole, shall be deemed to be the sale, lease or other transfer or disposition of the assets of all or substantially all the Company’s and its Subsidiaries’ consolidated assets, taken as a whole, to another Person.</w:t>
      </w:r>
    </w:p>
    <w:p>
      <w:pPr>
        <w:spacing w:after="0" w:line="93" w:lineRule="exact"/>
        <w:rPr>
          <w:sz w:val="20"/>
          <w:szCs w:val="20"/>
          <w:color w:val="auto"/>
        </w:rPr>
      </w:pPr>
    </w:p>
    <w:p>
      <w:pPr>
        <w:ind w:left="120" w:firstLine="658"/>
        <w:spacing w:after="0" w:line="286" w:lineRule="auto"/>
        <w:tabs>
          <w:tab w:leader="none" w:pos="1200" w:val="left"/>
        </w:tabs>
        <w:numPr>
          <w:ilvl w:val="0"/>
          <w:numId w:val="96"/>
        </w:numPr>
        <w:rPr>
          <w:rFonts w:ascii="Arial" w:cs="Arial" w:eastAsia="Arial" w:hAnsi="Arial"/>
          <w:sz w:val="19"/>
          <w:szCs w:val="19"/>
          <w:color w:val="auto"/>
        </w:rPr>
      </w:pPr>
      <w:r>
        <w:rPr>
          <w:rFonts w:ascii="Arial" w:cs="Arial" w:eastAsia="Arial" w:hAnsi="Arial"/>
          <w:sz w:val="19"/>
          <w:szCs w:val="19"/>
          <w:color w:val="auto"/>
        </w:rPr>
        <w:t>Upon any such consolidation, merger, combination or sale, lease or other transfer or disposition and upon the assumption by the Successor Company, by supplemental indenture, executed and delivered to the Trustee and satisfactory in form to the Trustee, of the due and punctual payment of the principal of and accrued and unpaid interest on all of the Notes, the due and punctual delivery and/or payment, as the case may be, of any consideration due upon conversion of the Notes and the due and punctual performance of all of the covenants and conditions of this Indenture and the Notes to be performed by the Company, such Successor Company (if not the Company) shall succeed to, and may exercise every right and power of and be substituted for, the Company, with the same effect as if it had been named herein as the party of the first part, and the Company shall be discharged from its obligations under the Notes and this Indenture, except in the case of a lease of all or substantially all assets.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previously shall have been signed and delivered by an Officer of 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combination or sale, transfer or disposition (but not in the case of a lease), upon compliance with this Article 11, the Person named as the “Company” in the first paragraph of this Indenture shall be released from its liabilities as obligor and maker of the Notes and from its obligations under this Indenture and the Notes.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375" w:right="239" w:bottom="1440" w:gutter="0" w:footer="0" w:header="0"/>
        </w:sectPr>
      </w:pPr>
    </w:p>
    <w:bookmarkStart w:id="129" w:name="page130"/>
    <w:bookmarkEnd w:id="129"/>
    <w:p>
      <w:pPr>
        <w:jc w:val="both"/>
        <w:ind w:right="460"/>
        <w:spacing w:after="0" w:line="312" w:lineRule="auto"/>
        <w:rPr>
          <w:sz w:val="20"/>
          <w:szCs w:val="20"/>
          <w:color w:val="auto"/>
        </w:rPr>
      </w:pPr>
      <w:r>
        <w:rPr>
          <w:rFonts w:ascii="Arial" w:cs="Arial" w:eastAsia="Arial" w:hAnsi="Arial"/>
          <w:sz w:val="19"/>
          <w:szCs w:val="19"/>
          <w:color w:val="auto"/>
        </w:rPr>
        <w:t xml:space="preserve">Section 11.02. </w:t>
      </w:r>
      <w:r>
        <w:rPr>
          <w:rFonts w:ascii="Arial" w:cs="Arial" w:eastAsia="Arial" w:hAnsi="Arial"/>
          <w:sz w:val="19"/>
          <w:szCs w:val="19"/>
          <w:i w:val="1"/>
          <w:iCs w:val="1"/>
          <w:color w:val="auto"/>
        </w:rPr>
        <w:t>Opinion of Counsel and Officers’ Certificate to be Given to Trustee.</w:t>
      </w:r>
      <w:r>
        <w:rPr>
          <w:rFonts w:ascii="Arial" w:cs="Arial" w:eastAsia="Arial" w:hAnsi="Arial"/>
          <w:sz w:val="19"/>
          <w:szCs w:val="19"/>
          <w:color w:val="auto"/>
        </w:rPr>
        <w:t xml:space="preserve"> The Company shall deliver, or cause to be delivered, to the Trustee an Officers’ Certificate and an Opinion of Counsel, each to the effect that such consolidation, merger, combination, sale, lease or other transfer or disposition complies with the requirements of this Indenture.</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12</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w:t>
      </w:r>
      <w:r>
        <w:rPr>
          <w:rFonts w:ascii="Arial" w:cs="Arial" w:eastAsia="Arial" w:hAnsi="Arial"/>
          <w:sz w:val="18"/>
          <w:szCs w:val="18"/>
          <w:color w:val="auto"/>
        </w:rPr>
        <w:t>MMUNITY OF</w:t>
      </w:r>
      <w:r>
        <w:rPr>
          <w:rFonts w:ascii="Arial" w:cs="Arial" w:eastAsia="Arial" w:hAnsi="Arial"/>
          <w:sz w:val="22"/>
          <w:szCs w:val="22"/>
          <w:color w:val="auto"/>
        </w:rPr>
        <w:t xml:space="preserve"> I</w:t>
      </w:r>
      <w:r>
        <w:rPr>
          <w:rFonts w:ascii="Arial" w:cs="Arial" w:eastAsia="Arial" w:hAnsi="Arial"/>
          <w:sz w:val="18"/>
          <w:szCs w:val="18"/>
          <w:color w:val="auto"/>
        </w:rPr>
        <w:t>NCORPORATORS</w:t>
      </w:r>
      <w:r>
        <w:rPr>
          <w:rFonts w:ascii="Arial" w:cs="Arial" w:eastAsia="Arial" w:hAnsi="Arial"/>
          <w:sz w:val="22"/>
          <w:szCs w:val="22"/>
          <w:color w:val="auto"/>
        </w:rPr>
        <w:t>, S</w:t>
      </w:r>
      <w:r>
        <w:rPr>
          <w:rFonts w:ascii="Arial" w:cs="Arial" w:eastAsia="Arial" w:hAnsi="Arial"/>
          <w:sz w:val="18"/>
          <w:szCs w:val="18"/>
          <w:color w:val="auto"/>
        </w:rPr>
        <w:t>TOCKHOLDERS</w:t>
      </w:r>
      <w:r>
        <w:rPr>
          <w:rFonts w:ascii="Arial" w:cs="Arial" w:eastAsia="Arial" w:hAnsi="Arial"/>
          <w:sz w:val="22"/>
          <w:szCs w:val="22"/>
          <w:color w:val="auto"/>
        </w:rPr>
        <w:t>, O</w:t>
      </w:r>
      <w:r>
        <w:rPr>
          <w:rFonts w:ascii="Arial" w:cs="Arial" w:eastAsia="Arial" w:hAnsi="Arial"/>
          <w:sz w:val="18"/>
          <w:szCs w:val="18"/>
          <w:color w:val="auto"/>
        </w:rPr>
        <w:t>FFICERS AND</w:t>
      </w:r>
      <w:r>
        <w:rPr>
          <w:rFonts w:ascii="Arial" w:cs="Arial" w:eastAsia="Arial" w:hAnsi="Arial"/>
          <w:sz w:val="22"/>
          <w:szCs w:val="22"/>
          <w:color w:val="auto"/>
        </w:rPr>
        <w:t xml:space="preserve"> D</w:t>
      </w:r>
      <w:r>
        <w:rPr>
          <w:rFonts w:ascii="Arial" w:cs="Arial" w:eastAsia="Arial" w:hAnsi="Arial"/>
          <w:sz w:val="18"/>
          <w:szCs w:val="18"/>
          <w:color w:val="auto"/>
        </w:rPr>
        <w:t>IRECTORS</w:t>
      </w:r>
    </w:p>
    <w:p>
      <w:pPr>
        <w:spacing w:after="0" w:line="161"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Section 12.01</w:t>
      </w:r>
      <w:r>
        <w:rPr>
          <w:rFonts w:ascii="Arial" w:cs="Arial" w:eastAsia="Arial" w:hAnsi="Arial"/>
          <w:sz w:val="19"/>
          <w:szCs w:val="19"/>
          <w:i w:val="1"/>
          <w:iCs w:val="1"/>
          <w:color w:val="auto"/>
        </w:rPr>
        <w:t>. Indenture and Notes Solely Corporate Obligations.</w:t>
      </w:r>
      <w:r>
        <w:rPr>
          <w:rFonts w:ascii="Arial" w:cs="Arial" w:eastAsia="Arial" w:hAnsi="Arial"/>
          <w:sz w:val="19"/>
          <w:szCs w:val="19"/>
          <w:color w:val="auto"/>
        </w:rPr>
        <w:t xml:space="preserve"> No recourse for the payment of the principal of or accrued and unpaid interest on, or the payment or delivery of consideration due upon conversion of,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of its successor corporations or other entities, either directly or through the Company or any of its successor corporations or other entities,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 By accepting a Note, each Holder waives and releases all such liability. This waiver and release is part of the consideration for the Notes.</w:t>
      </w:r>
    </w:p>
    <w:p>
      <w:pPr>
        <w:spacing w:after="0" w:line="26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ARTICLE 13</w:t>
      </w:r>
    </w:p>
    <w:p>
      <w:pPr>
        <w:spacing w:after="0" w:line="25"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ESERVED</w:t>
      </w:r>
      <w:r>
        <w:rPr>
          <w:rFonts w:ascii="Arial" w:cs="Arial" w:eastAsia="Arial" w:hAnsi="Arial"/>
          <w:sz w:val="22"/>
          <w:szCs w:val="22"/>
          <w:color w:val="auto"/>
        </w:rPr>
        <w:t>]</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14</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w:t>
      </w:r>
      <w:r>
        <w:rPr>
          <w:rFonts w:ascii="Arial" w:cs="Arial" w:eastAsia="Arial" w:hAnsi="Arial"/>
          <w:sz w:val="18"/>
          <w:szCs w:val="18"/>
          <w:color w:val="auto"/>
        </w:rPr>
        <w:t>ONVERSION OF</w:t>
      </w:r>
      <w:r>
        <w:rPr>
          <w:rFonts w:ascii="Arial" w:cs="Arial" w:eastAsia="Arial" w:hAnsi="Arial"/>
          <w:sz w:val="22"/>
          <w:szCs w:val="22"/>
          <w:color w:val="auto"/>
        </w:rPr>
        <w:t xml:space="preserve"> N</w:t>
      </w:r>
      <w:r>
        <w:rPr>
          <w:rFonts w:ascii="Arial" w:cs="Arial" w:eastAsia="Arial" w:hAnsi="Arial"/>
          <w:sz w:val="18"/>
          <w:szCs w:val="18"/>
          <w:color w:val="auto"/>
        </w:rPr>
        <w:t>OTES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Section 14.01</w:t>
      </w:r>
      <w:r>
        <w:rPr>
          <w:rFonts w:ascii="Arial" w:cs="Arial" w:eastAsia="Arial" w:hAnsi="Arial"/>
          <w:sz w:val="22"/>
          <w:szCs w:val="22"/>
          <w:i w:val="1"/>
          <w:iCs w:val="1"/>
          <w:color w:val="auto"/>
        </w:rPr>
        <w:t>. Conversion Privilege.</w:t>
      </w:r>
    </w:p>
    <w:p>
      <w:pPr>
        <w:spacing w:after="0" w:line="220" w:lineRule="exact"/>
        <w:rPr>
          <w:sz w:val="20"/>
          <w:szCs w:val="20"/>
          <w:color w:val="auto"/>
        </w:rPr>
      </w:pPr>
    </w:p>
    <w:p>
      <w:pPr>
        <w:ind w:left="120" w:right="20" w:firstLine="847"/>
        <w:spacing w:after="0" w:line="260" w:lineRule="auto"/>
        <w:tabs>
          <w:tab w:leader="none" w:pos="1377" w:val="left"/>
        </w:tabs>
        <w:numPr>
          <w:ilvl w:val="0"/>
          <w:numId w:val="97"/>
        </w:numPr>
        <w:rPr>
          <w:rFonts w:ascii="Arial" w:cs="Arial" w:eastAsia="Arial" w:hAnsi="Arial"/>
          <w:sz w:val="22"/>
          <w:szCs w:val="22"/>
          <w:color w:val="auto"/>
        </w:rPr>
      </w:pPr>
      <w:r>
        <w:rPr>
          <w:rFonts w:ascii="Arial" w:cs="Arial" w:eastAsia="Arial" w:hAnsi="Arial"/>
          <w:sz w:val="22"/>
          <w:szCs w:val="22"/>
          <w:color w:val="auto"/>
        </w:rPr>
        <w:t>Subject to and upon compliance with the provisions of this Article 14, each Holder of a Note shall have the right, at such Holder’s option, to convert all or any portion (if the portion to be converted is $1,000 principal amount or an integral multiple thereof) of such Note:</w:t>
      </w:r>
    </w:p>
    <w:p>
      <w:pPr>
        <w:spacing w:after="0" w:line="177" w:lineRule="exact"/>
        <w:rPr>
          <w:rFonts w:ascii="Arial" w:cs="Arial" w:eastAsia="Arial" w:hAnsi="Arial"/>
          <w:sz w:val="22"/>
          <w:szCs w:val="22"/>
          <w:color w:val="auto"/>
        </w:rPr>
      </w:pPr>
    </w:p>
    <w:p>
      <w:pPr>
        <w:ind w:left="500" w:firstLine="805"/>
        <w:spacing w:after="0" w:line="260" w:lineRule="auto"/>
        <w:tabs>
          <w:tab w:leader="none" w:pos="1694" w:val="left"/>
        </w:tabs>
        <w:numPr>
          <w:ilvl w:val="1"/>
          <w:numId w:val="97"/>
        </w:numPr>
        <w:rPr>
          <w:rFonts w:ascii="Arial" w:cs="Arial" w:eastAsia="Arial" w:hAnsi="Arial"/>
          <w:sz w:val="22"/>
          <w:szCs w:val="22"/>
          <w:color w:val="auto"/>
        </w:rPr>
      </w:pPr>
      <w:r>
        <w:rPr>
          <w:rFonts w:ascii="Arial" w:cs="Arial" w:eastAsia="Arial" w:hAnsi="Arial"/>
          <w:sz w:val="22"/>
          <w:szCs w:val="22"/>
          <w:color w:val="auto"/>
        </w:rPr>
        <w:t>subject to satisfaction of the conditions described in Section 14.01(b), at any time prior to the close of business on the Business Day immediately preceding June 15, 2022 under the circumstances and during the periods set forth in Section 14.01(b);</w:t>
      </w:r>
    </w:p>
    <w:p>
      <w:pPr>
        <w:spacing w:after="0" w:line="177" w:lineRule="exact"/>
        <w:rPr>
          <w:rFonts w:ascii="Arial" w:cs="Arial" w:eastAsia="Arial" w:hAnsi="Arial"/>
          <w:sz w:val="22"/>
          <w:szCs w:val="22"/>
          <w:color w:val="auto"/>
        </w:rPr>
      </w:pPr>
    </w:p>
    <w:p>
      <w:pPr>
        <w:ind w:left="500" w:right="540" w:firstLine="805"/>
        <w:spacing w:after="0" w:line="276" w:lineRule="auto"/>
        <w:tabs>
          <w:tab w:leader="none" w:pos="1754" w:val="left"/>
        </w:tabs>
        <w:numPr>
          <w:ilvl w:val="1"/>
          <w:numId w:val="97"/>
        </w:numPr>
        <w:rPr>
          <w:rFonts w:ascii="Arial" w:cs="Arial" w:eastAsia="Arial" w:hAnsi="Arial"/>
          <w:sz w:val="22"/>
          <w:szCs w:val="22"/>
          <w:color w:val="auto"/>
        </w:rPr>
      </w:pPr>
      <w:r>
        <w:rPr>
          <w:rFonts w:ascii="Arial" w:cs="Arial" w:eastAsia="Arial" w:hAnsi="Arial"/>
          <w:sz w:val="22"/>
          <w:szCs w:val="22"/>
          <w:color w:val="auto"/>
        </w:rPr>
        <w:t>on or after June 15, 2022, at any time prior to the close of business on the second Scheduled Trading Day immediately preceding the Maturity Date;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00"/>
          </w:cols>
          <w:pgMar w:left="240" w:top="375" w:right="259" w:bottom="1440" w:gutter="0" w:footer="0" w:header="0"/>
        </w:sectPr>
      </w:pPr>
    </w:p>
    <w:bookmarkStart w:id="130" w:name="page131"/>
    <w:bookmarkEnd w:id="130"/>
    <w:p>
      <w:pPr>
        <w:ind w:right="280"/>
        <w:spacing w:after="0" w:line="253" w:lineRule="auto"/>
        <w:rPr>
          <w:sz w:val="20"/>
          <w:szCs w:val="20"/>
          <w:color w:val="auto"/>
        </w:rPr>
      </w:pPr>
      <w:r>
        <w:rPr>
          <w:rFonts w:ascii="Arial" w:cs="Arial" w:eastAsia="Arial" w:hAnsi="Arial"/>
          <w:sz w:val="22"/>
          <w:szCs w:val="22"/>
          <w:color w:val="auto"/>
        </w:rPr>
        <w:t>in each case, at an initial conversion rate of 6.7482 shares of Common Stock (subject to adjustment as provided in Section 14.04 and, if applicable, Section 14.03, the “</w:t>
      </w:r>
      <w:r>
        <w:rPr>
          <w:rFonts w:ascii="Arial" w:cs="Arial" w:eastAsia="Arial" w:hAnsi="Arial"/>
          <w:sz w:val="22"/>
          <w:szCs w:val="22"/>
          <w:b w:val="1"/>
          <w:bCs w:val="1"/>
          <w:color w:val="auto"/>
        </w:rPr>
        <w:t>Conversion Rate</w:t>
      </w:r>
      <w:r>
        <w:rPr>
          <w:rFonts w:ascii="Arial" w:cs="Arial" w:eastAsia="Arial" w:hAnsi="Arial"/>
          <w:sz w:val="22"/>
          <w:szCs w:val="22"/>
          <w:color w:val="auto"/>
        </w:rPr>
        <w:t>”) per $1,000 principal amount of Notes (subject to the settlement provisions of Section 14.02, the “</w:t>
      </w:r>
      <w:r>
        <w:rPr>
          <w:rFonts w:ascii="Arial" w:cs="Arial" w:eastAsia="Arial" w:hAnsi="Arial"/>
          <w:sz w:val="22"/>
          <w:szCs w:val="22"/>
          <w:b w:val="1"/>
          <w:bCs w:val="1"/>
          <w:color w:val="auto"/>
        </w:rPr>
        <w:t>Conversion Obligation</w:t>
      </w:r>
      <w:r>
        <w:rPr>
          <w:rFonts w:ascii="Arial" w:cs="Arial" w:eastAsia="Arial" w:hAnsi="Arial"/>
          <w:sz w:val="22"/>
          <w:szCs w:val="22"/>
          <w:color w:val="auto"/>
        </w:rPr>
        <w:t>”).</w:t>
      </w:r>
    </w:p>
    <w:p>
      <w:pPr>
        <w:spacing w:after="0" w:line="186" w:lineRule="exact"/>
        <w:rPr>
          <w:sz w:val="20"/>
          <w:szCs w:val="20"/>
          <w:color w:val="auto"/>
        </w:rPr>
      </w:pPr>
    </w:p>
    <w:p>
      <w:pPr>
        <w:ind w:left="120" w:firstLine="847"/>
        <w:spacing w:after="0" w:line="248" w:lineRule="auto"/>
        <w:tabs>
          <w:tab w:leader="none" w:pos="1389" w:val="left"/>
        </w:tabs>
        <w:numPr>
          <w:ilvl w:val="0"/>
          <w:numId w:val="98"/>
        </w:numPr>
        <w:rPr>
          <w:rFonts w:ascii="Arial" w:cs="Arial" w:eastAsia="Arial" w:hAnsi="Arial"/>
          <w:sz w:val="22"/>
          <w:szCs w:val="22"/>
          <w:color w:val="auto"/>
        </w:rPr>
      </w:pPr>
      <w:r>
        <w:rPr>
          <w:rFonts w:ascii="Arial" w:cs="Arial" w:eastAsia="Arial" w:hAnsi="Arial"/>
          <w:sz w:val="22"/>
          <w:szCs w:val="22"/>
          <w:color w:val="auto"/>
        </w:rPr>
        <w:t>(i) Prior to the close of business on the Business Day immediately preceding June 15, 2022, a Holder may surrender all or any portion of its Notes (that is $1,000 principal amount or an integral multiple thereof) for conversion at any time during the five Business Day period after any five consecutive Trading Day period (the “</w:t>
      </w:r>
      <w:r>
        <w:rPr>
          <w:rFonts w:ascii="Arial" w:cs="Arial" w:eastAsia="Arial" w:hAnsi="Arial"/>
          <w:sz w:val="22"/>
          <w:szCs w:val="22"/>
          <w:b w:val="1"/>
          <w:bCs w:val="1"/>
          <w:color w:val="auto"/>
        </w:rPr>
        <w:t>Measurement Period</w:t>
      </w:r>
      <w:r>
        <w:rPr>
          <w:rFonts w:ascii="Arial" w:cs="Arial" w:eastAsia="Arial" w:hAnsi="Arial"/>
          <w:sz w:val="22"/>
          <w:szCs w:val="22"/>
          <w:color w:val="auto"/>
        </w:rPr>
        <w:t>”) in which the Trading Price per $1,000 principal amount of Notes, as determined following a request by a Holder of Notes in accordance with the procedures described below in this subsection (b)(i), for each Trading Day of the Measurement Period was less than 98% of the product of the Last Reported Sale Price of the Common Stock and the Conversion Rate on each such Trading Day, subject to compliance with the following procedures and conditions concerning the Bid Solicitation Agent’s obligation to make a Trading Price determination.</w:t>
      </w:r>
    </w:p>
    <w:p>
      <w:pPr>
        <w:spacing w:after="0" w:line="137" w:lineRule="exact"/>
        <w:rPr>
          <w:rFonts w:ascii="Arial" w:cs="Arial" w:eastAsia="Arial" w:hAnsi="Arial"/>
          <w:sz w:val="22"/>
          <w:szCs w:val="22"/>
          <w:color w:val="auto"/>
        </w:rPr>
      </w:pPr>
    </w:p>
    <w:p>
      <w:pPr>
        <w:ind w:left="1380" w:firstLine="802"/>
        <w:spacing w:after="0" w:line="288" w:lineRule="auto"/>
        <w:tabs>
          <w:tab w:leader="none" w:pos="2670" w:val="left"/>
        </w:tabs>
        <w:numPr>
          <w:ilvl w:val="1"/>
          <w:numId w:val="98"/>
        </w:numPr>
        <w:rPr>
          <w:rFonts w:ascii="Arial" w:cs="Arial" w:eastAsia="Arial" w:hAnsi="Arial"/>
          <w:sz w:val="19"/>
          <w:szCs w:val="19"/>
          <w:color w:val="auto"/>
        </w:rPr>
      </w:pPr>
      <w:r>
        <w:rPr>
          <w:rFonts w:ascii="Arial" w:cs="Arial" w:eastAsia="Arial" w:hAnsi="Arial"/>
          <w:sz w:val="19"/>
          <w:szCs w:val="19"/>
          <w:color w:val="auto"/>
        </w:rPr>
        <w:t>The Bid Solicitation Agent (if other than the Company) shall have no obligation to determine the Trading Price per $1,000 principal amount of the Notes unless the Company has requested such determination, and the Company shall have no obligation to make such request (or, if the Company is acting as Bid Solicitation Agent, the Company shall have no obligation to determine the Trading Price) unless a Holder of at least $2,000,000 in aggregate principal amount of Notes requests in writing that the Company makes such a determination and provides the Company with reasonable evidence that the Trading Price per $1,000 principal amount of Notes would be less than 98% of the product of the Last Reported Sale Price of the Common Stock and the Conversion Rate on such Trading Day. At such time, the Company shall instruct the Bid Solicitation Agent (if other than the Company) to determine, or if the Company is acting as Bid Solicitation Agent, the Company shall determine, the Trading Price per $1,000 principal amount of the Notes beginning on the Trading Day following the receipt of such evidence and on each successive Trading Day until the Trading Price per $1,000 principal amount of Notes is greater than or equal to 98% of the product of the Last Reported Sale Price of the Common Stock and the Conversion Rate on such Trading Day.</w:t>
      </w:r>
    </w:p>
    <w:p>
      <w:pPr>
        <w:spacing w:after="0" w:line="365" w:lineRule="exact"/>
        <w:rPr>
          <w:rFonts w:ascii="Arial" w:cs="Arial" w:eastAsia="Arial" w:hAnsi="Arial"/>
          <w:sz w:val="19"/>
          <w:szCs w:val="19"/>
          <w:color w:val="auto"/>
        </w:rPr>
      </w:pPr>
    </w:p>
    <w:p>
      <w:pPr>
        <w:ind w:left="1380" w:right="40" w:firstLine="802"/>
        <w:spacing w:after="0" w:line="250" w:lineRule="auto"/>
        <w:tabs>
          <w:tab w:leader="none" w:pos="2658" w:val="left"/>
        </w:tabs>
        <w:numPr>
          <w:ilvl w:val="1"/>
          <w:numId w:val="98"/>
        </w:numPr>
        <w:rPr>
          <w:rFonts w:ascii="Arial" w:cs="Arial" w:eastAsia="Arial" w:hAnsi="Arial"/>
          <w:sz w:val="22"/>
          <w:szCs w:val="22"/>
          <w:color w:val="auto"/>
        </w:rPr>
      </w:pPr>
      <w:r>
        <w:rPr>
          <w:rFonts w:ascii="Arial" w:cs="Arial" w:eastAsia="Arial" w:hAnsi="Arial"/>
          <w:sz w:val="22"/>
          <w:szCs w:val="22"/>
          <w:color w:val="auto"/>
        </w:rPr>
        <w:t>If the Trading Price condition has been met, the Company shall promptly so notify the Holders, the Trustee and the Conversion Agent (if other than the Trustee) in writing. If, at any time after the Trading Price condition has been met, the Trading Price per $1,000 principal amount of Notes is greater than or equal to 98% of the product of the Last Reported Sale Price of the Common Stock and the Conversion Rate on such Trading Day, the Company shall promptly so notify the Holders, the Trustee and the Conversion Agent (if other than the Trustee) in writing.</w:t>
      </w:r>
    </w:p>
    <w:p>
      <w:pPr>
        <w:spacing w:after="0" w:line="134" w:lineRule="exact"/>
        <w:rPr>
          <w:rFonts w:ascii="Arial" w:cs="Arial" w:eastAsia="Arial" w:hAnsi="Arial"/>
          <w:sz w:val="22"/>
          <w:szCs w:val="22"/>
          <w:color w:val="auto"/>
        </w:rPr>
      </w:pPr>
    </w:p>
    <w:p>
      <w:pPr>
        <w:ind w:left="1380" w:right="240" w:firstLine="802"/>
        <w:spacing w:after="0" w:line="260" w:lineRule="auto"/>
        <w:tabs>
          <w:tab w:leader="none" w:pos="2658" w:val="left"/>
        </w:tabs>
        <w:numPr>
          <w:ilvl w:val="1"/>
          <w:numId w:val="98"/>
        </w:numPr>
        <w:rPr>
          <w:rFonts w:ascii="Arial" w:cs="Arial" w:eastAsia="Arial" w:hAnsi="Arial"/>
          <w:sz w:val="22"/>
          <w:szCs w:val="22"/>
          <w:color w:val="auto"/>
        </w:rPr>
      </w:pPr>
      <w:r>
        <w:rPr>
          <w:rFonts w:ascii="Arial" w:cs="Arial" w:eastAsia="Arial" w:hAnsi="Arial"/>
          <w:sz w:val="22"/>
          <w:szCs w:val="22"/>
          <w:color w:val="auto"/>
        </w:rPr>
        <w:t>If the Company does not, when it is required to, instruct the Bid Solicitation Agent to (or, if the Company is acting as Bid Solicitation Agent, it does not) obtain bids, or if the Company gives such instruction to the Bid</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00"/>
          </w:cols>
          <w:pgMar w:left="240" w:top="375" w:right="259" w:bottom="1440" w:gutter="0" w:footer="0" w:header="0"/>
        </w:sectPr>
      </w:pPr>
    </w:p>
    <w:bookmarkStart w:id="131" w:name="page132"/>
    <w:bookmarkEnd w:id="131"/>
    <w:p>
      <w:pPr>
        <w:ind w:left="1380" w:right="40"/>
        <w:spacing w:after="0" w:line="265" w:lineRule="auto"/>
        <w:rPr>
          <w:sz w:val="20"/>
          <w:szCs w:val="20"/>
          <w:color w:val="auto"/>
        </w:rPr>
      </w:pPr>
      <w:r>
        <w:rPr>
          <w:rFonts w:ascii="Arial" w:cs="Arial" w:eastAsia="Arial" w:hAnsi="Arial"/>
          <w:sz w:val="21"/>
          <w:szCs w:val="21"/>
          <w:color w:val="auto"/>
        </w:rPr>
        <w:t>Solicitation Agent and the Bid Solicitation Agent fails to make such determination (or, if the Company is acting as Bid Solicitation Agent, it fails to make such determination), then, in either case, the Trading Price per $1,000 principal amount of the Notes shall be deemed to be less than 98% of the product of the Last Reported Sale Price of the Common Stock and the Conversion Rate on each Trading Day of such failure.</w:t>
      </w:r>
    </w:p>
    <w:p>
      <w:pPr>
        <w:spacing w:after="0" w:line="122" w:lineRule="exact"/>
        <w:rPr>
          <w:sz w:val="20"/>
          <w:szCs w:val="20"/>
          <w:color w:val="auto"/>
        </w:rPr>
      </w:pPr>
    </w:p>
    <w:p>
      <w:pPr>
        <w:jc w:val="right"/>
        <w:spacing w:after="0"/>
        <w:tabs>
          <w:tab w:leader="none" w:pos="966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If, prior to the close of business on the Business Day immediately preceding June 15, 2022, the Company elects</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to:</w:t>
      </w:r>
    </w:p>
    <w:p>
      <w:pPr>
        <w:spacing w:after="0" w:line="215" w:lineRule="exact"/>
        <w:rPr>
          <w:sz w:val="20"/>
          <w:szCs w:val="20"/>
          <w:color w:val="auto"/>
        </w:rPr>
      </w:pPr>
    </w:p>
    <w:p>
      <w:pPr>
        <w:ind w:left="1380" w:right="60" w:firstLine="802"/>
        <w:spacing w:after="0" w:line="294" w:lineRule="auto"/>
        <w:tabs>
          <w:tab w:leader="none" w:pos="2670" w:val="left"/>
        </w:tabs>
        <w:numPr>
          <w:ilvl w:val="0"/>
          <w:numId w:val="99"/>
        </w:numPr>
        <w:rPr>
          <w:rFonts w:ascii="Arial" w:cs="Arial" w:eastAsia="Arial" w:hAnsi="Arial"/>
          <w:sz w:val="19"/>
          <w:szCs w:val="19"/>
          <w:color w:val="auto"/>
        </w:rPr>
      </w:pPr>
      <w:r>
        <w:rPr>
          <w:rFonts w:ascii="Arial" w:cs="Arial" w:eastAsia="Arial" w:hAnsi="Arial"/>
          <w:sz w:val="19"/>
          <w:szCs w:val="19"/>
          <w:color w:val="auto"/>
        </w:rPr>
        <w:t>issue to all or substantially all holders of the Common Stock any rights, options or warrants (other than pursuant to a stockholder rights plan in connection with the initial adoption by the Company, so long as such rights have not separated from the shares of Common Stock and are not exercisable until the occurrence of a triggering event) entitling them, for a period of not more than 45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 or</w:t>
      </w:r>
    </w:p>
    <w:p>
      <w:pPr>
        <w:spacing w:after="0" w:line="152" w:lineRule="exact"/>
        <w:rPr>
          <w:rFonts w:ascii="Arial" w:cs="Arial" w:eastAsia="Arial" w:hAnsi="Arial"/>
          <w:sz w:val="19"/>
          <w:szCs w:val="19"/>
          <w:color w:val="auto"/>
        </w:rPr>
      </w:pPr>
    </w:p>
    <w:p>
      <w:pPr>
        <w:ind w:left="1380" w:right="100" w:firstLine="802"/>
        <w:spacing w:after="0" w:line="307" w:lineRule="auto"/>
        <w:tabs>
          <w:tab w:leader="none" w:pos="2658" w:val="left"/>
        </w:tabs>
        <w:numPr>
          <w:ilvl w:val="0"/>
          <w:numId w:val="99"/>
        </w:numPr>
        <w:rPr>
          <w:rFonts w:ascii="Arial" w:cs="Arial" w:eastAsia="Arial" w:hAnsi="Arial"/>
          <w:sz w:val="19"/>
          <w:szCs w:val="19"/>
          <w:color w:val="auto"/>
        </w:rPr>
      </w:pPr>
      <w:r>
        <w:rPr>
          <w:rFonts w:ascii="Arial" w:cs="Arial" w:eastAsia="Arial" w:hAnsi="Arial"/>
          <w:sz w:val="19"/>
          <w:szCs w:val="19"/>
          <w:color w:val="auto"/>
        </w:rPr>
        <w:t>distribute to all or substantially all holders of the Common Stock the Company’s assets, securities or rights, options or warrants to purchase securities of the Company, which distribution has a per share value, as reasonably determined by the Board of Directors, exceeding 10% of the Last Reported Sale Price of the Common Stock on the Trading Day immediately preceding the date of announcement of such distribution,</w:t>
      </w:r>
    </w:p>
    <w:p>
      <w:pPr>
        <w:spacing w:after="0" w:line="138" w:lineRule="exact"/>
        <w:rPr>
          <w:sz w:val="20"/>
          <w:szCs w:val="20"/>
          <w:color w:val="auto"/>
        </w:rPr>
      </w:pPr>
    </w:p>
    <w:p>
      <w:pPr>
        <w:ind w:right="20"/>
        <w:spacing w:after="0" w:line="247" w:lineRule="auto"/>
        <w:rPr>
          <w:sz w:val="20"/>
          <w:szCs w:val="20"/>
          <w:color w:val="auto"/>
        </w:rPr>
      </w:pPr>
      <w:r>
        <w:rPr>
          <w:rFonts w:ascii="Arial" w:cs="Arial" w:eastAsia="Arial" w:hAnsi="Arial"/>
          <w:sz w:val="22"/>
          <w:szCs w:val="22"/>
          <w:color w:val="auto"/>
        </w:rPr>
        <w:t>then, in either case, the Company shall notify all Holders of the Notes, the Trustee and the Conversion Agent (if other than the Trustee) at least 40 Scheduled Trading Days prior to the Ex-Dividend Date for such issuance or distribution. Once the Company has given such notice, the Holders may surrender all or any portion of their Notes (that is $1,000 in principal amount or an integral multiple thereof) for conversion at any time until the earlier of (1) the close of business on the Business Day immediately preceding the Ex-Dividend Date for such issuance or distribution and (2) the Company’s announcement that such issuance or distribution will not take place.</w:t>
      </w:r>
    </w:p>
    <w:p>
      <w:pPr>
        <w:spacing w:after="0" w:line="194" w:lineRule="exact"/>
        <w:rPr>
          <w:sz w:val="20"/>
          <w:szCs w:val="20"/>
          <w:color w:val="auto"/>
        </w:rPr>
      </w:pPr>
    </w:p>
    <w:p>
      <w:pPr>
        <w:ind w:right="240" w:firstLine="648"/>
        <w:spacing w:after="0" w:line="302" w:lineRule="auto"/>
        <w:rPr>
          <w:sz w:val="20"/>
          <w:szCs w:val="20"/>
          <w:color w:val="auto"/>
        </w:rPr>
      </w:pPr>
      <w:r>
        <w:rPr>
          <w:rFonts w:ascii="Arial" w:cs="Arial" w:eastAsia="Arial" w:hAnsi="Arial"/>
          <w:sz w:val="19"/>
          <w:szCs w:val="19"/>
          <w:color w:val="auto"/>
        </w:rPr>
        <w:t>No Holder may convert any of its Notes pursuant to this Section 14.01(b)(ii) if such Holder otherwise participates in such issuance or distribution, at the same time and upon the same terms as holders of Common Stock and as a result of holding the Notes, without having to convert their Notes, as if they held a number of shares of Common Stock equal to the applicable Conversion Rate, multiplied by the principal amount (expressed in thousands) of Notes held by such Holder.</w:t>
      </w:r>
    </w:p>
    <w:p>
      <w:pPr>
        <w:spacing w:after="0" w:line="143" w:lineRule="exact"/>
        <w:rPr>
          <w:sz w:val="20"/>
          <w:szCs w:val="20"/>
          <w:color w:val="auto"/>
        </w:rPr>
      </w:pPr>
    </w:p>
    <w:p>
      <w:pPr>
        <w:ind w:left="1800" w:hanging="495"/>
        <w:spacing w:after="0"/>
        <w:tabs>
          <w:tab w:leader="none" w:pos="180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If, prior to the close of business on the Business Day immediately preceding June 15, 2022:</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5600"/>
        <w:spacing w:after="0"/>
        <w:rPr>
          <w:rFonts w:ascii="Arial" w:cs="Arial" w:eastAsia="Arial" w:hAnsi="Arial"/>
          <w:sz w:val="22"/>
          <w:szCs w:val="22"/>
          <w:color w:val="auto"/>
        </w:rPr>
      </w:pPr>
      <w:r>
        <w:rPr>
          <w:rFonts w:ascii="Arial" w:cs="Arial" w:eastAsia="Arial" w:hAnsi="Arial"/>
          <w:sz w:val="22"/>
          <w:szCs w:val="22"/>
          <w:color w:val="auto"/>
        </w:rPr>
        <w:t>58</w:t>
      </w:r>
    </w:p>
    <w:p>
      <w:pPr>
        <w:sectPr>
          <w:pgSz w:w="11900" w:h="16838" w:orient="portrait"/>
          <w:cols w:equalWidth="0" w:num="1">
            <w:col w:w="11420"/>
          </w:cols>
          <w:pgMar w:left="240" w:top="375" w:right="239" w:bottom="1440" w:gutter="0" w:footer="0" w:header="0"/>
        </w:sectPr>
      </w:pPr>
    </w:p>
    <w:bookmarkStart w:id="132" w:name="page133"/>
    <w:bookmarkEnd w:id="132"/>
    <w:p>
      <w:pPr>
        <w:ind w:left="2660" w:hanging="478"/>
        <w:spacing w:after="0"/>
        <w:tabs>
          <w:tab w:leader="none" w:pos="26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a Fundamental Change occurs (or is anticipated to occur, as described below);</w:t>
      </w:r>
    </w:p>
    <w:p>
      <w:pPr>
        <w:spacing w:after="0" w:line="233" w:lineRule="exact"/>
        <w:rPr>
          <w:rFonts w:ascii="Arial" w:cs="Arial" w:eastAsia="Arial" w:hAnsi="Arial"/>
          <w:sz w:val="22"/>
          <w:szCs w:val="22"/>
          <w:color w:val="auto"/>
        </w:rPr>
      </w:pPr>
    </w:p>
    <w:p>
      <w:pPr>
        <w:ind w:left="2660" w:hanging="478"/>
        <w:spacing w:after="0"/>
        <w:tabs>
          <w:tab w:leader="none" w:pos="266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 Make-Whole Fundamental Change occurs (or is anticipated to occur, as described below); or</w:t>
      </w:r>
    </w:p>
    <w:p>
      <w:pPr>
        <w:spacing w:after="0" w:line="267" w:lineRule="exact"/>
        <w:rPr>
          <w:rFonts w:ascii="Arial" w:cs="Arial" w:eastAsia="Arial" w:hAnsi="Arial"/>
          <w:sz w:val="19"/>
          <w:szCs w:val="19"/>
          <w:color w:val="auto"/>
        </w:rPr>
      </w:pPr>
    </w:p>
    <w:p>
      <w:pPr>
        <w:ind w:left="1380" w:right="20" w:firstLine="802"/>
        <w:spacing w:after="0" w:line="262" w:lineRule="auto"/>
        <w:tabs>
          <w:tab w:leader="none" w:pos="2658"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the Company is a party to a consolidation, merger, or other combination, statutory share exchange or sale, lease or other transfer or disposition of all or substantially all of the Company’s and its Subsidiaries’ consolidated assets, taken as a whole, in each case, pursuant to which the Common Stock would be converted into stock, other securities, other property or assets (including cash or any combination thereof) (other than a transaction to which the Company is a party solely for the purpose of changing its jurisdiction of incorporation, and which results in a reclassification, conversion or exchange of Common Stock solely into common stock of the surviving entity, excluding cash payments for fractional shares),</w:t>
      </w:r>
    </w:p>
    <w:p>
      <w:pPr>
        <w:spacing w:after="0" w:line="180"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then, in each case, the Holders may surrender all or any portion of their Notes (that is $1,000 in principal amount or an integral multiple thereof) for conversion at any time from or after the open of business on the date that is 40 Scheduled Trading Days prior to the anticipated effective date of the transaction (or if later, the open of business on the Business Day immediately following the day the Company gives notice of such transaction) until the close of business on the 35th Trading Day after the actual effective date of such transaction or, if such transaction also constitutes a Fundamental Change, until the close of business on the Business Day immediately preceding the related Fundamental Change Repurchase Date.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shall notify Holders, the Trustee and the Conversion Agent (if other than the Trustee):</w:t>
      </w:r>
    </w:p>
    <w:p>
      <w:pPr>
        <w:spacing w:after="0" w:line="220" w:lineRule="exact"/>
        <w:rPr>
          <w:sz w:val="20"/>
          <w:szCs w:val="20"/>
          <w:color w:val="auto"/>
        </w:rPr>
      </w:pPr>
    </w:p>
    <w:p>
      <w:pPr>
        <w:ind w:left="1620" w:right="80" w:hanging="315"/>
        <w:spacing w:after="0" w:line="343" w:lineRule="auto"/>
        <w:tabs>
          <w:tab w:leader="none" w:pos="162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as promptly as practicable following the date the Company publicly announces such transaction (but in no event less than 40 Scheduled Trading Days prior to the anticipated effective date, of such transaction; or</w:t>
      </w:r>
    </w:p>
    <w:p>
      <w:pPr>
        <w:spacing w:after="0" w:line="104" w:lineRule="exact"/>
        <w:rPr>
          <w:rFonts w:ascii="Arial" w:cs="Arial" w:eastAsia="Arial" w:hAnsi="Arial"/>
          <w:sz w:val="19"/>
          <w:szCs w:val="19"/>
          <w:color w:val="auto"/>
        </w:rPr>
      </w:pPr>
    </w:p>
    <w:p>
      <w:pPr>
        <w:ind w:left="1620" w:right="200" w:hanging="315"/>
        <w:spacing w:after="0" w:line="250" w:lineRule="auto"/>
        <w:tabs>
          <w:tab w:leader="none" w:pos="162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if the Company does not have knowledge of such transaction at least 40 Scheduled Trading Days prior to the anticipated effective date of such transaction, within three Business Days of the date upon which the Company receives notice, or otherwise becomes aware, of such transaction, but in no event later than the actual effective date of such transaction.</w:t>
      </w:r>
    </w:p>
    <w:p>
      <w:pPr>
        <w:spacing w:after="0" w:line="188" w:lineRule="exact"/>
        <w:rPr>
          <w:sz w:val="20"/>
          <w:szCs w:val="20"/>
          <w:color w:val="auto"/>
        </w:rPr>
      </w:pPr>
    </w:p>
    <w:p>
      <w:pPr>
        <w:ind w:right="140" w:firstLine="648"/>
        <w:spacing w:after="0" w:line="294" w:lineRule="auto"/>
        <w:rPr>
          <w:sz w:val="20"/>
          <w:szCs w:val="20"/>
          <w:color w:val="auto"/>
        </w:rPr>
      </w:pPr>
      <w:r>
        <w:rPr>
          <w:rFonts w:ascii="Arial" w:cs="Arial" w:eastAsia="Arial" w:hAnsi="Arial"/>
          <w:sz w:val="19"/>
          <w:szCs w:val="19"/>
          <w:color w:val="auto"/>
        </w:rPr>
        <w:t>If a Holder has already delivered a Fundamental Change Repurchase Notice with respect to a Note, such Holder may not surrender such Note for conversion until such Holder has validly withdrawn such Fundamental Change Repurchase Notice (or, in the case of a Global Note, has complied with the Applicable Procedures with respect to such a withdrawal) in accordance with the terms of Section 15.03. If a Holder has already delivered a Fundamental Change Repurchase Notice, such Holder’s right to withdraw such notice and convert the Notes that are subject to repurchase will terminate at the close of business on the Business Day immediately preceding the relevant Fundamental Change Repurchase Date.</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00"/>
          </w:cols>
          <w:pgMar w:left="240" w:top="375" w:right="259" w:bottom="1440" w:gutter="0" w:footer="0" w:header="0"/>
        </w:sectPr>
      </w:pPr>
    </w:p>
    <w:bookmarkStart w:id="133" w:name="page134"/>
    <w:bookmarkEnd w:id="133"/>
    <w:p>
      <w:pPr>
        <w:ind w:left="500" w:firstLine="724"/>
        <w:spacing w:after="0" w:line="292" w:lineRule="auto"/>
        <w:tabs>
          <w:tab w:leader="none" w:pos="1721" w:val="left"/>
        </w:tabs>
        <w:numPr>
          <w:ilvl w:val="0"/>
          <w:numId w:val="103"/>
        </w:numPr>
        <w:rPr>
          <w:rFonts w:ascii="Arial" w:cs="Arial" w:eastAsia="Arial" w:hAnsi="Arial"/>
          <w:sz w:val="19"/>
          <w:szCs w:val="19"/>
          <w:color w:val="auto"/>
        </w:rPr>
      </w:pPr>
      <w:r>
        <w:rPr>
          <w:rFonts w:ascii="Arial" w:cs="Arial" w:eastAsia="Arial" w:hAnsi="Arial"/>
          <w:sz w:val="19"/>
          <w:szCs w:val="19"/>
          <w:color w:val="auto"/>
        </w:rPr>
        <w:t>Prior to the close of business on the Business Day immediately preceding June 15, 2022, a Holder may surrender all or any portion of its Notes (that is $1,000 in principal amount or an integral multiple thereof) for conversion during any calendar quarter commencing after the calendar quarter ending on December 31, 2017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The Company shall determine whether the Notes are convertible because the Last Reported Sale Price condition has been met and provide written notice to the Holders, the Trustee and the Conversion Agent (if other than the Trustee).</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Section 14.02</w:t>
      </w:r>
      <w:r>
        <w:rPr>
          <w:rFonts w:ascii="Arial" w:cs="Arial" w:eastAsia="Arial" w:hAnsi="Arial"/>
          <w:sz w:val="22"/>
          <w:szCs w:val="22"/>
          <w:i w:val="1"/>
          <w:iCs w:val="1"/>
          <w:color w:val="auto"/>
        </w:rPr>
        <w:t>. Conversion Procedure; Settlement Upon Conversion.</w:t>
      </w:r>
    </w:p>
    <w:p>
      <w:pPr>
        <w:spacing w:after="0" w:line="166" w:lineRule="exact"/>
        <w:rPr>
          <w:sz w:val="20"/>
          <w:szCs w:val="20"/>
          <w:color w:val="auto"/>
        </w:rPr>
      </w:pPr>
    </w:p>
    <w:p>
      <w:pPr>
        <w:ind w:left="120" w:right="40" w:firstLine="847"/>
        <w:spacing w:after="0" w:line="297" w:lineRule="auto"/>
        <w:tabs>
          <w:tab w:leader="none" w:pos="1377" w:val="left"/>
        </w:tabs>
        <w:numPr>
          <w:ilvl w:val="0"/>
          <w:numId w:val="104"/>
        </w:numPr>
        <w:rPr>
          <w:rFonts w:ascii="Arial" w:cs="Arial" w:eastAsia="Arial" w:hAnsi="Arial"/>
          <w:sz w:val="19"/>
          <w:szCs w:val="19"/>
          <w:color w:val="auto"/>
        </w:rPr>
      </w:pPr>
      <w:r>
        <w:rPr>
          <w:rFonts w:ascii="Arial" w:cs="Arial" w:eastAsia="Arial" w:hAnsi="Arial"/>
          <w:sz w:val="19"/>
          <w:szCs w:val="19"/>
          <w:color w:val="auto"/>
        </w:rPr>
        <w:t>Subject to this Section 14.02, Section 14.03(b) and Section 14.07(a), upon conversion of any Note, the Company shall, at its election, pay or deliver, as the case may be, to the converting Holder, in full satisfaction of its Conversion Obligation, cash (“</w:t>
      </w:r>
      <w:r>
        <w:rPr>
          <w:rFonts w:ascii="Arial" w:cs="Arial" w:eastAsia="Arial" w:hAnsi="Arial"/>
          <w:sz w:val="19"/>
          <w:szCs w:val="19"/>
          <w:b w:val="1"/>
          <w:bCs w:val="1"/>
          <w:color w:val="auto"/>
        </w:rPr>
        <w:t>Cash Settlemen</w:t>
      </w:r>
      <w:r>
        <w:rPr>
          <w:rFonts w:ascii="Arial" w:cs="Arial" w:eastAsia="Arial" w:hAnsi="Arial"/>
          <w:sz w:val="19"/>
          <w:szCs w:val="19"/>
          <w:color w:val="auto"/>
        </w:rPr>
        <w:t>t”), shares of the Common Stock, together with cash, if applicable, in lieu of delivering any fractional share of Common Stock in accordance with subsection (j) of this Section 14.02 (“</w:t>
      </w:r>
      <w:r>
        <w:rPr>
          <w:rFonts w:ascii="Arial" w:cs="Arial" w:eastAsia="Arial" w:hAnsi="Arial"/>
          <w:sz w:val="19"/>
          <w:szCs w:val="19"/>
          <w:b w:val="1"/>
          <w:bCs w:val="1"/>
          <w:color w:val="auto"/>
        </w:rPr>
        <w:t>Physical Settlement</w:t>
      </w:r>
      <w:r>
        <w:rPr>
          <w:rFonts w:ascii="Arial" w:cs="Arial" w:eastAsia="Arial" w:hAnsi="Arial"/>
          <w:sz w:val="19"/>
          <w:szCs w:val="19"/>
          <w:color w:val="auto"/>
        </w:rPr>
        <w:t>”) or a combination of cash and shares of the Common Stock, together with cash, if applicable, in lieu of delivering any fractional share of Common Stock in accordance with subsection (j) of this Section 14.02 (“</w:t>
      </w:r>
      <w:r>
        <w:rPr>
          <w:rFonts w:ascii="Arial" w:cs="Arial" w:eastAsia="Arial" w:hAnsi="Arial"/>
          <w:sz w:val="19"/>
          <w:szCs w:val="19"/>
          <w:b w:val="1"/>
          <w:bCs w:val="1"/>
          <w:color w:val="auto"/>
        </w:rPr>
        <w:t>Combination Settlement</w:t>
      </w:r>
      <w:r>
        <w:rPr>
          <w:rFonts w:ascii="Arial" w:cs="Arial" w:eastAsia="Arial" w:hAnsi="Arial"/>
          <w:sz w:val="19"/>
          <w:szCs w:val="19"/>
          <w:color w:val="auto"/>
        </w:rPr>
        <w:t>”), as set forth in this Section 14.02.</w:t>
      </w:r>
    </w:p>
    <w:p>
      <w:pPr>
        <w:spacing w:after="0" w:line="92" w:lineRule="exact"/>
        <w:rPr>
          <w:rFonts w:ascii="Arial" w:cs="Arial" w:eastAsia="Arial" w:hAnsi="Arial"/>
          <w:sz w:val="19"/>
          <w:szCs w:val="19"/>
          <w:color w:val="auto"/>
        </w:rPr>
      </w:pPr>
    </w:p>
    <w:p>
      <w:pPr>
        <w:ind w:left="500" w:right="100" w:firstLine="805"/>
        <w:spacing w:after="0" w:line="264" w:lineRule="auto"/>
        <w:tabs>
          <w:tab w:leader="none" w:pos="1694" w:val="left"/>
        </w:tabs>
        <w:numPr>
          <w:ilvl w:val="1"/>
          <w:numId w:val="104"/>
        </w:numPr>
        <w:rPr>
          <w:rFonts w:ascii="Arial" w:cs="Arial" w:eastAsia="Arial" w:hAnsi="Arial"/>
          <w:sz w:val="21"/>
          <w:szCs w:val="21"/>
          <w:color w:val="auto"/>
        </w:rPr>
      </w:pPr>
      <w:r>
        <w:rPr>
          <w:rFonts w:ascii="Arial" w:cs="Arial" w:eastAsia="Arial" w:hAnsi="Arial"/>
          <w:sz w:val="21"/>
          <w:szCs w:val="21"/>
          <w:color w:val="auto"/>
        </w:rPr>
        <w:t>All conversions for which the relevant Conversion Date occurs on or after June 15, 2022 shall be settled using the same Settlement Method (including the same relative proportion of cash and/or shares of the Common Stock). Except for any conversions for which the relevant Conversion Date occurs on or after June 15, 2022, the Company shall use the same Settlement Method (including the same relative proportion of cash and/or shares of the Common Stock) for all conversions with the same Conversion Date, but the Company shall not have any obligation to use the same Settlement Method with respect to conversions with different Conversion Dates.</w:t>
      </w:r>
    </w:p>
    <w:p>
      <w:pPr>
        <w:spacing w:after="0" w:line="121" w:lineRule="exact"/>
        <w:rPr>
          <w:rFonts w:ascii="Arial" w:cs="Arial" w:eastAsia="Arial" w:hAnsi="Arial"/>
          <w:sz w:val="21"/>
          <w:szCs w:val="21"/>
          <w:color w:val="auto"/>
        </w:rPr>
      </w:pPr>
    </w:p>
    <w:p>
      <w:pPr>
        <w:ind w:left="500" w:right="80" w:firstLine="805"/>
        <w:spacing w:after="0" w:line="288" w:lineRule="auto"/>
        <w:tabs>
          <w:tab w:leader="none" w:pos="1790" w:val="left"/>
        </w:tabs>
        <w:numPr>
          <w:ilvl w:val="1"/>
          <w:numId w:val="104"/>
        </w:numPr>
        <w:rPr>
          <w:rFonts w:ascii="Arial" w:cs="Arial" w:eastAsia="Arial" w:hAnsi="Arial"/>
          <w:sz w:val="19"/>
          <w:szCs w:val="19"/>
          <w:color w:val="auto"/>
        </w:rPr>
      </w:pPr>
      <w:r>
        <w:rPr>
          <w:rFonts w:ascii="Arial" w:cs="Arial" w:eastAsia="Arial" w:hAnsi="Arial"/>
          <w:sz w:val="19"/>
          <w:szCs w:val="19"/>
          <w:color w:val="auto"/>
        </w:rPr>
        <w:t>If the Company elects a Settlement Method, the Company shall deliver notice to Holders through the Conversion Agent of such Settlement Method the Company has selected no later than the close of business on the Trading Day immediately following the related Conversion Date (or in the case of any conversions for which the relevant Conversion Date occurs on or after June 15, 2022, no later than June 15, 2022). If the Company does not timely elect a Settlement Method, the Company shall no longer have the right to elect Cash Settlement or Physical Settlement with respect to that Conversion Date and the Company shall be deemed to have elected Combination Settlement in respect of its Conversion Obligation, and the Specified Dollar Amount per $1,000 principal amount of Notes shall be equal to $1,000. If the Company has timely elected Combination Settlement in respect of any conversion but does not timely notify the Conversion Agent of the Specified Dollar Amount per $1,000 principal amount of Notes, or the Company is deemed to have elected Combination Settlement, the Specified Dollar Amount shall be deemed to be $1,000.</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00"/>
          </w:cols>
          <w:pgMar w:left="240" w:top="375" w:right="259" w:bottom="1440" w:gutter="0" w:footer="0" w:header="0"/>
        </w:sectPr>
      </w:pPr>
    </w:p>
    <w:bookmarkStart w:id="134" w:name="page135"/>
    <w:bookmarkEnd w:id="134"/>
    <w:p>
      <w:pPr>
        <w:ind w:left="380" w:right="460" w:firstLine="805"/>
        <w:spacing w:after="0" w:line="260" w:lineRule="auto"/>
        <w:tabs>
          <w:tab w:leader="none" w:pos="1694"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cash, shares of Common Stock or combination of cash and shares of Common Stock payable or deliverable by the Company in respect of any conversion of Notes (the “</w:t>
      </w:r>
      <w:r>
        <w:rPr>
          <w:rFonts w:ascii="Arial" w:cs="Arial" w:eastAsia="Arial" w:hAnsi="Arial"/>
          <w:sz w:val="22"/>
          <w:szCs w:val="22"/>
          <w:b w:val="1"/>
          <w:bCs w:val="1"/>
          <w:color w:val="auto"/>
        </w:rPr>
        <w:t>Settlement Amount</w:t>
      </w:r>
      <w:r>
        <w:rPr>
          <w:rFonts w:ascii="Arial" w:cs="Arial" w:eastAsia="Arial" w:hAnsi="Arial"/>
          <w:sz w:val="22"/>
          <w:szCs w:val="22"/>
          <w:color w:val="auto"/>
        </w:rPr>
        <w:t>”) shall be computed by the Company as follows:</w:t>
      </w:r>
    </w:p>
    <w:p>
      <w:pPr>
        <w:spacing w:after="0" w:line="123" w:lineRule="exact"/>
        <w:rPr>
          <w:rFonts w:ascii="Arial" w:cs="Arial" w:eastAsia="Arial" w:hAnsi="Arial"/>
          <w:sz w:val="22"/>
          <w:szCs w:val="22"/>
          <w:color w:val="auto"/>
        </w:rPr>
      </w:pPr>
    </w:p>
    <w:p>
      <w:pPr>
        <w:ind w:left="1260" w:right="20" w:firstLine="802"/>
        <w:spacing w:after="0" w:line="270" w:lineRule="auto"/>
        <w:tabs>
          <w:tab w:leader="none" w:pos="2550" w:val="left"/>
        </w:tabs>
        <w:numPr>
          <w:ilvl w:val="1"/>
          <w:numId w:val="105"/>
        </w:numPr>
        <w:rPr>
          <w:rFonts w:ascii="Arial" w:cs="Arial" w:eastAsia="Arial" w:hAnsi="Arial"/>
          <w:sz w:val="21"/>
          <w:szCs w:val="21"/>
          <w:color w:val="auto"/>
        </w:rPr>
      </w:pPr>
      <w:r>
        <w:rPr>
          <w:rFonts w:ascii="Arial" w:cs="Arial" w:eastAsia="Arial" w:hAnsi="Arial"/>
          <w:sz w:val="21"/>
          <w:szCs w:val="21"/>
          <w:color w:val="auto"/>
        </w:rPr>
        <w:t>if the Company elects to satisfy its Conversion Obligation in respect of such conversion by Physical Settlement, the Company shall deliver to the converting Holder in respect of each $1,000 principal amount of Notes being converted a number of shares of Common Stock equal to the Conversion Rate on the Conversion Date (plus cash in lieu of any fractional share of Common Stock issuable upon conversion);</w:t>
      </w:r>
    </w:p>
    <w:p>
      <w:pPr>
        <w:spacing w:after="0" w:line="115" w:lineRule="exact"/>
        <w:rPr>
          <w:rFonts w:ascii="Arial" w:cs="Arial" w:eastAsia="Arial" w:hAnsi="Arial"/>
          <w:sz w:val="21"/>
          <w:szCs w:val="21"/>
          <w:color w:val="auto"/>
        </w:rPr>
      </w:pPr>
    </w:p>
    <w:p>
      <w:pPr>
        <w:ind w:left="1260" w:right="120" w:firstLine="802"/>
        <w:spacing w:after="0" w:line="270" w:lineRule="auto"/>
        <w:tabs>
          <w:tab w:leader="none" w:pos="2538" w:val="left"/>
        </w:tabs>
        <w:numPr>
          <w:ilvl w:val="1"/>
          <w:numId w:val="105"/>
        </w:numPr>
        <w:rPr>
          <w:rFonts w:ascii="Arial" w:cs="Arial" w:eastAsia="Arial" w:hAnsi="Arial"/>
          <w:sz w:val="21"/>
          <w:szCs w:val="21"/>
          <w:color w:val="auto"/>
        </w:rPr>
      </w:pPr>
      <w:r>
        <w:rPr>
          <w:rFonts w:ascii="Arial" w:cs="Arial" w:eastAsia="Arial" w:hAnsi="Arial"/>
          <w:sz w:val="21"/>
          <w:szCs w:val="21"/>
          <w:color w:val="auto"/>
        </w:rPr>
        <w:t>if the Company elects to satisfy its Conversion Obligation in respect of such conversion by Cash Settlement, the Company shall pay to the converting Holder in respect of each $1,000 principal amount of Notes being converted cash in an amount equal to the sum of the Daily Conversion Values for each of the 30 consecutive VWAP Trading Days during the related Observation Period; and</w:t>
      </w:r>
    </w:p>
    <w:p>
      <w:pPr>
        <w:spacing w:after="0" w:line="115" w:lineRule="exact"/>
        <w:rPr>
          <w:rFonts w:ascii="Arial" w:cs="Arial" w:eastAsia="Arial" w:hAnsi="Arial"/>
          <w:sz w:val="21"/>
          <w:szCs w:val="21"/>
          <w:color w:val="auto"/>
        </w:rPr>
      </w:pPr>
    </w:p>
    <w:p>
      <w:pPr>
        <w:ind w:left="1260" w:right="60" w:firstLine="802"/>
        <w:spacing w:after="0" w:line="300" w:lineRule="auto"/>
        <w:tabs>
          <w:tab w:leader="none" w:pos="2538" w:val="left"/>
        </w:tabs>
        <w:numPr>
          <w:ilvl w:val="1"/>
          <w:numId w:val="105"/>
        </w:numPr>
        <w:rPr>
          <w:rFonts w:ascii="Arial" w:cs="Arial" w:eastAsia="Arial" w:hAnsi="Arial"/>
          <w:sz w:val="19"/>
          <w:szCs w:val="19"/>
          <w:color w:val="auto"/>
        </w:rPr>
      </w:pPr>
      <w:r>
        <w:rPr>
          <w:rFonts w:ascii="Arial" w:cs="Arial" w:eastAsia="Arial" w:hAnsi="Arial"/>
          <w:sz w:val="19"/>
          <w:szCs w:val="19"/>
          <w:color w:val="auto"/>
        </w:rPr>
        <w:t>if the Company elects (or is deemed to have elected) to satisfy its Conversion Obligation in respect of such conversion by Combination Settlement, the Company shall pay or deliver, as the case may be, to the converting Holder in respect of each $1,000 principal amount of Notes being converted a Settlement Amount equal to the sum of the Daily Settlement Amounts for each of the 30 consecutive VWAP Trading Days during the related Observation Period (plus cash in lieu of any fractional share of Common Stock issuable upon conversion).</w:t>
      </w:r>
    </w:p>
    <w:p>
      <w:pPr>
        <w:spacing w:after="0" w:line="93" w:lineRule="exact"/>
        <w:rPr>
          <w:sz w:val="20"/>
          <w:szCs w:val="20"/>
          <w:color w:val="auto"/>
        </w:rPr>
      </w:pPr>
    </w:p>
    <w:p>
      <w:pPr>
        <w:ind w:left="540" w:right="400" w:firstLine="648"/>
        <w:spacing w:after="0" w:line="271" w:lineRule="auto"/>
        <w:rPr>
          <w:sz w:val="20"/>
          <w:szCs w:val="20"/>
          <w:color w:val="auto"/>
        </w:rPr>
      </w:pPr>
      <w:r>
        <w:rPr>
          <w:rFonts w:ascii="Arial" w:cs="Arial" w:eastAsia="Arial" w:hAnsi="Arial"/>
          <w:sz w:val="21"/>
          <w:szCs w:val="21"/>
          <w:color w:val="auto"/>
        </w:rPr>
        <w:t>If more than one Note shall be surrendered for conversion at any one time by the same Holder, the Conversion Obligation with respect to such Notes shall be computed on the basis of the aggregate principal amount of the Notes (or specified portions thereof to the extent permitted hereby) so surrendered.</w:t>
      </w:r>
    </w:p>
    <w:p>
      <w:pPr>
        <w:spacing w:after="0" w:line="114" w:lineRule="exact"/>
        <w:rPr>
          <w:sz w:val="20"/>
          <w:szCs w:val="20"/>
          <w:color w:val="auto"/>
        </w:rPr>
      </w:pPr>
    </w:p>
    <w:p>
      <w:pPr>
        <w:ind w:left="380" w:firstLine="805"/>
        <w:spacing w:after="0" w:line="294" w:lineRule="auto"/>
        <w:tabs>
          <w:tab w:leader="none" w:pos="1682" w:val="left"/>
        </w:tabs>
        <w:numPr>
          <w:ilvl w:val="1"/>
          <w:numId w:val="106"/>
        </w:numPr>
        <w:rPr>
          <w:rFonts w:ascii="Arial" w:cs="Arial" w:eastAsia="Arial" w:hAnsi="Arial"/>
          <w:sz w:val="19"/>
          <w:szCs w:val="19"/>
          <w:color w:val="auto"/>
        </w:rPr>
      </w:pPr>
      <w:r>
        <w:rPr>
          <w:rFonts w:ascii="Arial" w:cs="Arial" w:eastAsia="Arial" w:hAnsi="Arial"/>
          <w:sz w:val="19"/>
          <w:szCs w:val="19"/>
          <w:color w:val="auto"/>
        </w:rPr>
        <w:t>The Daily Settlement Amounts (if applicable) and the Daily Conversion Values (if applicable) shall be determined by the Company promptly following the last VWAP Trading Day of the related Observation Period. Promptly after such determination of the Daily Settlement Amounts or the Daily Conversion Values, as the case may be, and, if applicable, the amount of cash payable in lieu of any fractional share of Common Stock, the Company shall notify the Trustee and the Conversion Agent (if other than the Trustee) of the Daily Settlement Amounts or the Daily Conversion Values, as the case may be, and, if applicable, the amount of cash payable in lieu of fractional shares of Common Stock. The Trustee and the Conversion Agent (if other than the Trustee) shall have no responsibility for any such determination.</w:t>
      </w:r>
    </w:p>
    <w:p>
      <w:pPr>
        <w:spacing w:after="0" w:line="98" w:lineRule="exact"/>
        <w:rPr>
          <w:rFonts w:ascii="Arial" w:cs="Arial" w:eastAsia="Arial" w:hAnsi="Arial"/>
          <w:sz w:val="19"/>
          <w:szCs w:val="19"/>
          <w:color w:val="auto"/>
        </w:rPr>
      </w:pPr>
    </w:p>
    <w:p>
      <w:pPr>
        <w:ind w:left="1280" w:hanging="433"/>
        <w:spacing w:after="0"/>
        <w:tabs>
          <w:tab w:leader="none" w:pos="128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(i) To convert a beneficial interest in a Global Note (which conversion is irrevocable), the holder of such beneficial</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interest must:</w:t>
      </w:r>
    </w:p>
    <w:p>
      <w:pPr>
        <w:spacing w:after="0" w:line="161" w:lineRule="exact"/>
        <w:rPr>
          <w:rFonts w:ascii="Arial" w:cs="Arial" w:eastAsia="Arial" w:hAnsi="Arial"/>
          <w:sz w:val="19"/>
          <w:szCs w:val="19"/>
          <w:color w:val="auto"/>
        </w:rPr>
      </w:pPr>
    </w:p>
    <w:p>
      <w:pPr>
        <w:ind w:left="2540" w:hanging="478"/>
        <w:spacing w:after="0"/>
        <w:tabs>
          <w:tab w:leader="none" w:pos="2540" w:val="left"/>
        </w:tabs>
        <w:numPr>
          <w:ilvl w:val="2"/>
          <w:numId w:val="107"/>
        </w:numPr>
        <w:rPr>
          <w:rFonts w:ascii="Arial" w:cs="Arial" w:eastAsia="Arial" w:hAnsi="Arial"/>
          <w:sz w:val="22"/>
          <w:szCs w:val="22"/>
          <w:color w:val="auto"/>
        </w:rPr>
      </w:pPr>
      <w:r>
        <w:rPr>
          <w:rFonts w:ascii="Arial" w:cs="Arial" w:eastAsia="Arial" w:hAnsi="Arial"/>
          <w:sz w:val="22"/>
          <w:szCs w:val="22"/>
          <w:color w:val="auto"/>
        </w:rPr>
        <w:t>comply with the Applicable Procedures;</w:t>
      </w:r>
    </w:p>
    <w:p>
      <w:pPr>
        <w:spacing w:after="0" w:line="200" w:lineRule="exact"/>
        <w:rPr>
          <w:sz w:val="20"/>
          <w:szCs w:val="20"/>
          <w:color w:val="auto"/>
        </w:rPr>
      </w:pPr>
    </w:p>
    <w:p>
      <w:pPr>
        <w:spacing w:after="0" w:line="222"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80"/>
          </w:cols>
          <w:pgMar w:left="360" w:top="375" w:right="259" w:bottom="1440" w:gutter="0" w:footer="0" w:header="0"/>
        </w:sectPr>
      </w:pPr>
    </w:p>
    <w:bookmarkStart w:id="135" w:name="page136"/>
    <w:bookmarkEnd w:id="135"/>
    <w:p>
      <w:pPr>
        <w:ind w:left="1380" w:right="380" w:firstLine="802"/>
        <w:spacing w:after="0" w:line="276" w:lineRule="auto"/>
        <w:tabs>
          <w:tab w:leader="none" w:pos="2658" w:val="left"/>
        </w:tabs>
        <w:numPr>
          <w:ilvl w:val="1"/>
          <w:numId w:val="108"/>
        </w:numPr>
        <w:rPr>
          <w:rFonts w:ascii="Arial" w:cs="Arial" w:eastAsia="Arial" w:hAnsi="Arial"/>
          <w:sz w:val="22"/>
          <w:szCs w:val="22"/>
          <w:color w:val="auto"/>
        </w:rPr>
      </w:pPr>
      <w:r>
        <w:rPr>
          <w:rFonts w:ascii="Arial" w:cs="Arial" w:eastAsia="Arial" w:hAnsi="Arial"/>
          <w:sz w:val="22"/>
          <w:szCs w:val="22"/>
          <w:color w:val="auto"/>
        </w:rPr>
        <w:t>if required, pay funds equal to all documentary, stamp or similar issue or transfer tax owed as set forth in Section 14.02(d) and Section 14.02(e); and</w:t>
      </w:r>
    </w:p>
    <w:p>
      <w:pPr>
        <w:spacing w:after="0" w:line="106" w:lineRule="exact"/>
        <w:rPr>
          <w:rFonts w:ascii="Arial" w:cs="Arial" w:eastAsia="Arial" w:hAnsi="Arial"/>
          <w:sz w:val="22"/>
          <w:szCs w:val="22"/>
          <w:color w:val="auto"/>
        </w:rPr>
      </w:pPr>
    </w:p>
    <w:p>
      <w:pPr>
        <w:ind w:left="1380" w:right="100" w:firstLine="802"/>
        <w:spacing w:after="0" w:line="276" w:lineRule="auto"/>
        <w:tabs>
          <w:tab w:leader="none" w:pos="2658" w:val="left"/>
        </w:tabs>
        <w:numPr>
          <w:ilvl w:val="1"/>
          <w:numId w:val="108"/>
        </w:numPr>
        <w:rPr>
          <w:rFonts w:ascii="Arial" w:cs="Arial" w:eastAsia="Arial" w:hAnsi="Arial"/>
          <w:sz w:val="22"/>
          <w:szCs w:val="22"/>
          <w:color w:val="auto"/>
        </w:rPr>
      </w:pPr>
      <w:r>
        <w:rPr>
          <w:rFonts w:ascii="Arial" w:cs="Arial" w:eastAsia="Arial" w:hAnsi="Arial"/>
          <w:sz w:val="22"/>
          <w:szCs w:val="22"/>
          <w:color w:val="auto"/>
        </w:rPr>
        <w:t>if required, pay funds equal to any interest payable on the next Interest Payment Date to which such Holder is not entitled as set forth in Section 14.02(g); and</w:t>
      </w:r>
    </w:p>
    <w:p>
      <w:pPr>
        <w:spacing w:after="0" w:line="106" w:lineRule="exact"/>
        <w:rPr>
          <w:rFonts w:ascii="Arial" w:cs="Arial" w:eastAsia="Arial" w:hAnsi="Arial"/>
          <w:sz w:val="22"/>
          <w:szCs w:val="22"/>
          <w:color w:val="auto"/>
        </w:rPr>
      </w:pPr>
    </w:p>
    <w:p>
      <w:pPr>
        <w:ind w:left="1740" w:hanging="435"/>
        <w:spacing w:after="0"/>
        <w:tabs>
          <w:tab w:leader="none" w:pos="174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To convert a Certificated Note, the Holder must:</w:t>
      </w:r>
    </w:p>
    <w:p>
      <w:pPr>
        <w:spacing w:after="0" w:line="179" w:lineRule="exact"/>
        <w:rPr>
          <w:rFonts w:ascii="Arial" w:cs="Arial" w:eastAsia="Arial" w:hAnsi="Arial"/>
          <w:sz w:val="22"/>
          <w:szCs w:val="22"/>
          <w:color w:val="auto"/>
        </w:rPr>
      </w:pPr>
    </w:p>
    <w:p>
      <w:pPr>
        <w:jc w:val="both"/>
        <w:ind w:left="1380" w:firstLine="802"/>
        <w:spacing w:after="0" w:line="260" w:lineRule="auto"/>
        <w:tabs>
          <w:tab w:leader="none" w:pos="267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complete, manually sign and deliver an irrevocable notice to the Conversion Agent as set forth in the Form of Notice of Conversion (or a facsimile thereof) (a “</w:t>
      </w:r>
      <w:r>
        <w:rPr>
          <w:rFonts w:ascii="Arial" w:cs="Arial" w:eastAsia="Arial" w:hAnsi="Arial"/>
          <w:sz w:val="22"/>
          <w:szCs w:val="22"/>
          <w:b w:val="1"/>
          <w:bCs w:val="1"/>
          <w:color w:val="auto"/>
        </w:rPr>
        <w:t>Notice of Conversion</w:t>
      </w:r>
      <w:r>
        <w:rPr>
          <w:rFonts w:ascii="Arial" w:cs="Arial" w:eastAsia="Arial" w:hAnsi="Arial"/>
          <w:sz w:val="22"/>
          <w:szCs w:val="22"/>
          <w:color w:val="auto"/>
        </w:rPr>
        <w:t>”) and such Note to the Conversion Agent;</w:t>
      </w:r>
    </w:p>
    <w:p>
      <w:pPr>
        <w:spacing w:after="0" w:line="123" w:lineRule="exact"/>
        <w:rPr>
          <w:rFonts w:ascii="Arial" w:cs="Arial" w:eastAsia="Arial" w:hAnsi="Arial"/>
          <w:sz w:val="22"/>
          <w:szCs w:val="22"/>
          <w:color w:val="auto"/>
        </w:rPr>
      </w:pPr>
    </w:p>
    <w:p>
      <w:pPr>
        <w:ind w:left="2660" w:hanging="478"/>
        <w:spacing w:after="0"/>
        <w:tabs>
          <w:tab w:leader="none" w:pos="266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if required, furnish appropriate endorsements and transfer documents;</w:t>
      </w:r>
    </w:p>
    <w:p>
      <w:pPr>
        <w:spacing w:after="0" w:line="179" w:lineRule="exact"/>
        <w:rPr>
          <w:rFonts w:ascii="Arial" w:cs="Arial" w:eastAsia="Arial" w:hAnsi="Arial"/>
          <w:sz w:val="22"/>
          <w:szCs w:val="22"/>
          <w:color w:val="auto"/>
        </w:rPr>
      </w:pPr>
    </w:p>
    <w:p>
      <w:pPr>
        <w:ind w:left="1380" w:right="380" w:firstLine="802"/>
        <w:spacing w:after="0" w:line="276" w:lineRule="auto"/>
        <w:tabs>
          <w:tab w:leader="none" w:pos="2658" w:val="left"/>
        </w:tabs>
        <w:numPr>
          <w:ilvl w:val="1"/>
          <w:numId w:val="109"/>
        </w:numPr>
        <w:rPr>
          <w:rFonts w:ascii="Arial" w:cs="Arial" w:eastAsia="Arial" w:hAnsi="Arial"/>
          <w:sz w:val="22"/>
          <w:szCs w:val="22"/>
          <w:color w:val="auto"/>
        </w:rPr>
      </w:pPr>
      <w:r>
        <w:rPr>
          <w:rFonts w:ascii="Arial" w:cs="Arial" w:eastAsia="Arial" w:hAnsi="Arial"/>
          <w:sz w:val="22"/>
          <w:szCs w:val="22"/>
          <w:color w:val="auto"/>
        </w:rPr>
        <w:t>if required, pay funds equal to all documentary, stamp or similar issue or transfer tax owed as set forth in Section 14.02(d) and Section 14.02(e); and</w:t>
      </w:r>
    </w:p>
    <w:p>
      <w:pPr>
        <w:spacing w:after="0" w:line="106" w:lineRule="exact"/>
        <w:rPr>
          <w:rFonts w:ascii="Arial" w:cs="Arial" w:eastAsia="Arial" w:hAnsi="Arial"/>
          <w:sz w:val="22"/>
          <w:szCs w:val="22"/>
          <w:color w:val="auto"/>
        </w:rPr>
      </w:pPr>
    </w:p>
    <w:p>
      <w:pPr>
        <w:ind w:left="1380" w:right="80" w:firstLine="802"/>
        <w:spacing w:after="0" w:line="276" w:lineRule="auto"/>
        <w:tabs>
          <w:tab w:leader="none" w:pos="267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if required, pay funds equal to any interest payable on the next Interest Payment Date to which such Holder is not entitled as set forth in Section 14.02(g).</w:t>
      </w:r>
    </w:p>
    <w:p>
      <w:pPr>
        <w:spacing w:after="0" w:line="107"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The Trustee (and if different, the Conversion Agent) shall notify the Company of any conversion pursuant to this Article 14 on the Conversion Date for such conversion or, if notice on such date is not feasible given the nature of the conversion, promptly thereafter.</w:t>
      </w:r>
    </w:p>
    <w:p>
      <w:pPr>
        <w:spacing w:after="0" w:line="132" w:lineRule="exact"/>
        <w:rPr>
          <w:sz w:val="20"/>
          <w:szCs w:val="20"/>
          <w:color w:val="auto"/>
        </w:rPr>
      </w:pPr>
    </w:p>
    <w:p>
      <w:pPr>
        <w:ind w:right="120" w:firstLine="648"/>
        <w:spacing w:after="0" w:line="294" w:lineRule="auto"/>
        <w:rPr>
          <w:sz w:val="20"/>
          <w:szCs w:val="20"/>
          <w:color w:val="auto"/>
        </w:rPr>
      </w:pPr>
      <w:r>
        <w:rPr>
          <w:rFonts w:ascii="Arial" w:cs="Arial" w:eastAsia="Arial" w:hAnsi="Arial"/>
          <w:sz w:val="19"/>
          <w:szCs w:val="19"/>
          <w:color w:val="auto"/>
        </w:rPr>
        <w:t>If a Holder has already delivered a Fundamental Change Repurchase Notice with respect to a Note, such Holder may not surrender such Note for conversion until such Holder has validly withdrawn such Fundamental Change Repurchase Notice (or, in the case of a Global Note, has complied with the Applicable Procedures with respect to such a withdrawal) in accordance with the terms of Section 15.03. If a Holder has already delivered a Fundamental Change Repurchase Notice, such Holder’s right to withdraw such notice and convert the Notes that are subject to repurchase will terminate at the close of business on the Business Day immediately preceding the relevant Fundamental Change Repurchase Date.</w:t>
      </w:r>
    </w:p>
    <w:p>
      <w:pPr>
        <w:spacing w:after="0" w:line="96" w:lineRule="exact"/>
        <w:rPr>
          <w:sz w:val="20"/>
          <w:szCs w:val="20"/>
          <w:color w:val="auto"/>
        </w:rPr>
      </w:pPr>
    </w:p>
    <w:p>
      <w:pPr>
        <w:ind w:left="120" w:right="800" w:firstLine="847"/>
        <w:spacing w:after="0" w:line="358" w:lineRule="auto"/>
        <w:tabs>
          <w:tab w:leader="none" w:pos="1377" w:val="left"/>
        </w:tabs>
        <w:numPr>
          <w:ilvl w:val="0"/>
          <w:numId w:val="110"/>
        </w:numPr>
        <w:rPr>
          <w:rFonts w:ascii="Arial" w:cs="Arial" w:eastAsia="Arial" w:hAnsi="Arial"/>
          <w:sz w:val="19"/>
          <w:szCs w:val="19"/>
          <w:color w:val="auto"/>
        </w:rPr>
      </w:pPr>
      <w:r>
        <w:rPr>
          <w:rFonts w:ascii="Arial" w:cs="Arial" w:eastAsia="Arial" w:hAnsi="Arial"/>
          <w:sz w:val="19"/>
          <w:szCs w:val="19"/>
          <w:color w:val="auto"/>
        </w:rPr>
        <w:t>A Note shall be deemed to have been converted immediately prior to the close of business on the date (the “</w:t>
      </w:r>
      <w:r>
        <w:rPr>
          <w:rFonts w:ascii="Arial" w:cs="Arial" w:eastAsia="Arial" w:hAnsi="Arial"/>
          <w:sz w:val="19"/>
          <w:szCs w:val="19"/>
          <w:b w:val="1"/>
          <w:bCs w:val="1"/>
          <w:color w:val="auto"/>
        </w:rPr>
        <w:t>Conversion Date</w:t>
      </w:r>
      <w:r>
        <w:rPr>
          <w:rFonts w:ascii="Arial" w:cs="Arial" w:eastAsia="Arial" w:hAnsi="Arial"/>
          <w:sz w:val="19"/>
          <w:szCs w:val="19"/>
          <w:color w:val="auto"/>
        </w:rPr>
        <w:t>”) that the Holder has complied with the requirements set forth in Section 14.02(b) above.</w:t>
      </w:r>
    </w:p>
    <w:p>
      <w:pPr>
        <w:spacing w:after="0" w:line="37" w:lineRule="exact"/>
        <w:rPr>
          <w:sz w:val="20"/>
          <w:szCs w:val="20"/>
          <w:color w:val="auto"/>
        </w:rPr>
      </w:pPr>
    </w:p>
    <w:p>
      <w:pPr>
        <w:ind w:right="640" w:firstLine="648"/>
        <w:spacing w:after="0" w:line="287" w:lineRule="auto"/>
        <w:rPr>
          <w:sz w:val="20"/>
          <w:szCs w:val="20"/>
          <w:color w:val="auto"/>
        </w:rPr>
      </w:pPr>
      <w:r>
        <w:rPr>
          <w:rFonts w:ascii="Arial" w:cs="Arial" w:eastAsia="Arial" w:hAnsi="Arial"/>
          <w:sz w:val="21"/>
          <w:szCs w:val="21"/>
          <w:color w:val="auto"/>
        </w:rPr>
        <w:t>Subject to the next paragraph and the provisions of Section 14.03(b) and Section 14.07(a), the Company shall pay or deliver, as the case may be, the Settlement Amount due in respect of the Conversion Obligation on:</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380"/>
          </w:cols>
          <w:pgMar w:left="240" w:top="375" w:right="279" w:bottom="1440" w:gutter="0" w:footer="0" w:header="0"/>
        </w:sectPr>
      </w:pPr>
    </w:p>
    <w:bookmarkStart w:id="136" w:name="page137"/>
    <w:bookmarkEnd w:id="136"/>
    <w:p>
      <w:pPr>
        <w:ind w:left="500" w:right="220" w:firstLine="805"/>
        <w:spacing w:after="0" w:line="254" w:lineRule="auto"/>
        <w:tabs>
          <w:tab w:leader="none" w:pos="169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third Business Day immediately following the relevant Conversion Date, if the Company elects Physical Settlement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with respect to any conversion following the Regular Record Date immediately preceding the Maturity Date, the Company shall settle any such conversion on the Maturity Date or, if such day is not a Business Day, the first Business Day immediately following the Maturity Date); or</w:t>
      </w:r>
    </w:p>
    <w:p>
      <w:pPr>
        <w:spacing w:after="0" w:line="131" w:lineRule="exact"/>
        <w:rPr>
          <w:rFonts w:ascii="Arial" w:cs="Arial" w:eastAsia="Arial" w:hAnsi="Arial"/>
          <w:sz w:val="22"/>
          <w:szCs w:val="22"/>
          <w:color w:val="auto"/>
        </w:rPr>
      </w:pPr>
    </w:p>
    <w:p>
      <w:pPr>
        <w:ind w:left="500" w:right="340" w:firstLine="805"/>
        <w:spacing w:after="0" w:line="301" w:lineRule="auto"/>
        <w:tabs>
          <w:tab w:leader="none" w:pos="1754"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third Business Day immediately following the last VWAP Trading Day of the Observation Period, if the Company elects Cash Settlement or if the Company elects or is deemed to elect Combination Settlement.</w:t>
      </w:r>
    </w:p>
    <w:p>
      <w:pPr>
        <w:spacing w:after="0" w:line="83" w:lineRule="exact"/>
        <w:rPr>
          <w:sz w:val="20"/>
          <w:szCs w:val="20"/>
          <w:color w:val="auto"/>
        </w:rPr>
      </w:pPr>
    </w:p>
    <w:p>
      <w:pPr>
        <w:ind w:right="180" w:firstLine="486"/>
        <w:spacing w:after="0" w:line="250" w:lineRule="auto"/>
        <w:rPr>
          <w:sz w:val="20"/>
          <w:szCs w:val="20"/>
          <w:color w:val="auto"/>
        </w:rPr>
      </w:pPr>
      <w:r>
        <w:rPr>
          <w:rFonts w:ascii="Arial" w:cs="Arial" w:eastAsia="Arial" w:hAnsi="Arial"/>
          <w:sz w:val="22"/>
          <w:szCs w:val="22"/>
          <w:color w:val="auto"/>
        </w:rPr>
        <w:t>If any shares of Common Stock are due to converting Holders, the Company shall issue or cause to be issued, and deliver to such Holder, or such Holder’s nominee or nominees, certificates or a book-entry transfer through the Depositary, as the case may be, for the full number of shares of Common Stock to which such Holder shall be entitled in satisfaction of the Company’s Conversion Obligation.</w:t>
      </w:r>
    </w:p>
    <w:p>
      <w:pPr>
        <w:spacing w:after="0" w:line="134" w:lineRule="exact"/>
        <w:rPr>
          <w:sz w:val="20"/>
          <w:szCs w:val="20"/>
          <w:color w:val="auto"/>
        </w:rPr>
      </w:pPr>
    </w:p>
    <w:p>
      <w:pPr>
        <w:ind w:left="120" w:right="120" w:firstLine="847"/>
        <w:spacing w:after="0" w:line="294" w:lineRule="auto"/>
        <w:tabs>
          <w:tab w:leader="none" w:pos="1389" w:val="left"/>
        </w:tabs>
        <w:numPr>
          <w:ilvl w:val="0"/>
          <w:numId w:val="112"/>
        </w:numPr>
        <w:rPr>
          <w:rFonts w:ascii="Arial" w:cs="Arial" w:eastAsia="Arial" w:hAnsi="Arial"/>
          <w:sz w:val="19"/>
          <w:szCs w:val="19"/>
          <w:color w:val="auto"/>
        </w:rPr>
      </w:pPr>
      <w:r>
        <w:rPr>
          <w:rFonts w:ascii="Arial" w:cs="Arial" w:eastAsia="Arial" w:hAnsi="Arial"/>
          <w:sz w:val="19"/>
          <w:szCs w:val="19"/>
          <w:color w:val="auto"/>
        </w:rPr>
        <w:t>In case any Certificated Note shall be surrendered for partial conversion, in $1,000 principal amount or an integral multiple thereof, the Company shall execute and the Trustee shall authenticate and deliver to or upon the written order of the Holder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spacing w:after="0" w:line="98" w:lineRule="exact"/>
        <w:rPr>
          <w:rFonts w:ascii="Arial" w:cs="Arial" w:eastAsia="Arial" w:hAnsi="Arial"/>
          <w:sz w:val="19"/>
          <w:szCs w:val="19"/>
          <w:color w:val="auto"/>
        </w:rPr>
      </w:pPr>
    </w:p>
    <w:p>
      <w:pPr>
        <w:ind w:left="120" w:firstLine="847"/>
        <w:spacing w:after="0" w:line="250" w:lineRule="auto"/>
        <w:tabs>
          <w:tab w:leader="none" w:pos="1377"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If a Holder submits a Note for conversion, the Company shall pay any documentary, stamp or similar issue or transfer tax due on the issuance of any shares of Common Stock upon conversion of such Note, unless the tax is due because the Holder requests such shares to be issued in a name other than the Holder’s name, in which case the Holder shall pay that tax. The Conversion Agent may refuse to deliver the certificates representing the shares of Common Stock being issued in a name other than the Holder’s name until the Trustee receives a sum sufficient to pay any tax that is due by such Holder in accordance with the immediately preceding sentence.</w:t>
      </w:r>
    </w:p>
    <w:p>
      <w:pPr>
        <w:spacing w:after="0" w:line="134" w:lineRule="exact"/>
        <w:rPr>
          <w:rFonts w:ascii="Arial" w:cs="Arial" w:eastAsia="Arial" w:hAnsi="Arial"/>
          <w:sz w:val="22"/>
          <w:szCs w:val="22"/>
          <w:color w:val="auto"/>
        </w:rPr>
      </w:pPr>
    </w:p>
    <w:p>
      <w:pPr>
        <w:ind w:left="120" w:right="340" w:firstLine="847"/>
        <w:spacing w:after="0" w:line="254" w:lineRule="auto"/>
        <w:tabs>
          <w:tab w:leader="none" w:pos="1353" w:val="left"/>
        </w:tabs>
        <w:numPr>
          <w:ilvl w:val="0"/>
          <w:numId w:val="112"/>
        </w:numPr>
        <w:rPr>
          <w:rFonts w:ascii="Arial" w:cs="Arial" w:eastAsia="Arial" w:hAnsi="Arial"/>
          <w:sz w:val="22"/>
          <w:szCs w:val="22"/>
          <w:color w:val="auto"/>
        </w:rPr>
      </w:pPr>
      <w:r>
        <w:rPr>
          <w:rFonts w:ascii="Arial" w:cs="Arial" w:eastAsia="Arial" w:hAnsi="Arial"/>
          <w:sz w:val="22"/>
          <w:szCs w:val="22"/>
          <w:color w:val="auto"/>
        </w:rPr>
        <w:t>Upon the conversion of an interest in a Global Note, the Trustee, or the Custodian of the Global Note at the direction of the Trustee, shall make a notation in the books and records of the Trustee and Depositary as to the reduction in the principal amount represented thereby. The Company shall notify the Trustee in writing of any conversion of Notes effected through any Conversion Agent other than the Trustee.</w:t>
      </w:r>
    </w:p>
    <w:p>
      <w:pPr>
        <w:spacing w:after="0" w:line="131" w:lineRule="exact"/>
        <w:rPr>
          <w:rFonts w:ascii="Arial" w:cs="Arial" w:eastAsia="Arial" w:hAnsi="Arial"/>
          <w:sz w:val="22"/>
          <w:szCs w:val="22"/>
          <w:color w:val="auto"/>
        </w:rPr>
      </w:pPr>
    </w:p>
    <w:p>
      <w:pPr>
        <w:ind w:left="120" w:right="320" w:firstLine="847"/>
        <w:spacing w:after="0" w:line="307" w:lineRule="auto"/>
        <w:tabs>
          <w:tab w:leader="none" w:pos="1389" w:val="left"/>
        </w:tabs>
        <w:numPr>
          <w:ilvl w:val="0"/>
          <w:numId w:val="112"/>
        </w:numPr>
        <w:rPr>
          <w:rFonts w:ascii="Arial" w:cs="Arial" w:eastAsia="Arial" w:hAnsi="Arial"/>
          <w:sz w:val="19"/>
          <w:szCs w:val="19"/>
          <w:color w:val="auto"/>
        </w:rPr>
      </w:pPr>
      <w:r>
        <w:rPr>
          <w:rFonts w:ascii="Arial" w:cs="Arial" w:eastAsia="Arial" w:hAnsi="Arial"/>
          <w:sz w:val="19"/>
          <w:szCs w:val="19"/>
          <w:color w:val="auto"/>
        </w:rPr>
        <w:t>Upon conversion of a Note, the converting Holder shall not receive any separate cash payment representing accrued and unpaid interest, if any, except as set forth in the paragraph below. The Company’s payment or delivery, as the case may be, of the Settlement Amount upon conversion of any Note shall be deemed to satisfy in full its obligation to pay the principal amount of the Note and accrued and unpaid interest, if any, to, but not including, the</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00"/>
          </w:cols>
          <w:pgMar w:left="240" w:top="375" w:right="259" w:bottom="1440" w:gutter="0" w:footer="0" w:header="0"/>
        </w:sectPr>
      </w:pPr>
    </w:p>
    <w:bookmarkStart w:id="137" w:name="page138"/>
    <w:bookmarkEnd w:id="137"/>
    <w:p>
      <w:pPr>
        <w:ind w:right="20"/>
        <w:spacing w:after="0" w:line="250" w:lineRule="auto"/>
        <w:rPr>
          <w:sz w:val="20"/>
          <w:szCs w:val="20"/>
          <w:color w:val="auto"/>
        </w:rPr>
      </w:pPr>
      <w:r>
        <w:rPr>
          <w:rFonts w:ascii="Arial" w:cs="Arial" w:eastAsia="Arial" w:hAnsi="Arial"/>
          <w:sz w:val="22"/>
          <w:szCs w:val="22"/>
          <w:color w:val="auto"/>
        </w:rPr>
        <w:t>relevant Conversion Date. As a result, accrued and unpaid interest, if any, to, but not including, the relevant Conversion Date shall be deemed to be paid in full rather than canceled, extinguished or forfeited. Upon a conversion of Notes into a combination of cash and shares of Common Stock, accrued and unpaid interest shall be deemed to be paid first out of the cash paid upon such conversion.</w:t>
      </w:r>
    </w:p>
    <w:p>
      <w:pPr>
        <w:spacing w:after="0" w:line="134"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Notwithstanding the immediately preceding paragraph, if Notes are converted after the close of business on a Regular Record Date for the payment of interest, but prior to the open of business on the immediately following Interest Payment Date, Holders of such Notes shall receive on the earlier of the corresponding Interest Payment Date and the date the Company delivers the consideration due in respect of such conversion, the full amount of interest payable on such Notes on the corresponding Interest Payment Date notwithstanding the conversion. Notes surrendered for conversion during the period from the close of business on any Regular Record Date to the open of business on the immediately following Interest Payment Date must be accompanied by funds equal to the amount of interest payable on the Notes so converted on the corresponding Interest Payment Date (regardless of whether the converting Holder was the Holder of record on the corresponding Regular Record Date); provided that no such payment need be made:</w:t>
      </w:r>
    </w:p>
    <w:p>
      <w:pPr>
        <w:spacing w:after="0" w:line="126" w:lineRule="exact"/>
        <w:rPr>
          <w:sz w:val="20"/>
          <w:szCs w:val="20"/>
          <w:color w:val="auto"/>
        </w:rPr>
      </w:pPr>
    </w:p>
    <w:p>
      <w:pPr>
        <w:ind w:left="500" w:right="520" w:firstLine="805"/>
        <w:spacing w:after="0" w:line="276" w:lineRule="auto"/>
        <w:tabs>
          <w:tab w:leader="none" w:pos="1694" w:val="left"/>
        </w:tabs>
        <w:numPr>
          <w:ilvl w:val="0"/>
          <w:numId w:val="113"/>
        </w:numPr>
        <w:rPr>
          <w:rFonts w:ascii="Arial" w:cs="Arial" w:eastAsia="Arial" w:hAnsi="Arial"/>
          <w:sz w:val="22"/>
          <w:szCs w:val="22"/>
          <w:color w:val="auto"/>
        </w:rPr>
      </w:pPr>
      <w:r>
        <w:rPr>
          <w:rFonts w:ascii="Arial" w:cs="Arial" w:eastAsia="Arial" w:hAnsi="Arial"/>
          <w:sz w:val="22"/>
          <w:szCs w:val="22"/>
          <w:color w:val="auto"/>
        </w:rPr>
        <w:t>if the Notes are surrendered for conversion following the Regular Record Date immediately preceding the Maturity Date;</w:t>
      </w:r>
    </w:p>
    <w:p>
      <w:pPr>
        <w:spacing w:after="0" w:line="106" w:lineRule="exact"/>
        <w:rPr>
          <w:rFonts w:ascii="Arial" w:cs="Arial" w:eastAsia="Arial" w:hAnsi="Arial"/>
          <w:sz w:val="22"/>
          <w:szCs w:val="22"/>
          <w:color w:val="auto"/>
        </w:rPr>
      </w:pPr>
    </w:p>
    <w:p>
      <w:pPr>
        <w:ind w:left="500" w:right="100" w:firstLine="805"/>
        <w:spacing w:after="0" w:line="301" w:lineRule="auto"/>
        <w:tabs>
          <w:tab w:leader="none" w:pos="1754" w:val="left"/>
        </w:tabs>
        <w:numPr>
          <w:ilvl w:val="0"/>
          <w:numId w:val="113"/>
        </w:numPr>
        <w:rPr>
          <w:rFonts w:ascii="Arial" w:cs="Arial" w:eastAsia="Arial" w:hAnsi="Arial"/>
          <w:sz w:val="21"/>
          <w:szCs w:val="21"/>
          <w:color w:val="auto"/>
        </w:rPr>
      </w:pPr>
      <w:r>
        <w:rPr>
          <w:rFonts w:ascii="Arial" w:cs="Arial" w:eastAsia="Arial" w:hAnsi="Arial"/>
          <w:sz w:val="21"/>
          <w:szCs w:val="21"/>
          <w:color w:val="auto"/>
        </w:rPr>
        <w:t>if the Company has specified a Fundamental Change Repurchase Date that is after a Regular Record Date and on or prior to the Business Day immediately following the corresponding Interest Payment Date; or</w:t>
      </w:r>
    </w:p>
    <w:p>
      <w:pPr>
        <w:spacing w:after="0" w:line="83" w:lineRule="exact"/>
        <w:rPr>
          <w:rFonts w:ascii="Arial" w:cs="Arial" w:eastAsia="Arial" w:hAnsi="Arial"/>
          <w:sz w:val="21"/>
          <w:szCs w:val="21"/>
          <w:color w:val="auto"/>
        </w:rPr>
      </w:pPr>
    </w:p>
    <w:p>
      <w:pPr>
        <w:ind w:left="1800" w:hanging="495"/>
        <w:spacing w:after="0"/>
        <w:tabs>
          <w:tab w:leader="none" w:pos="180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to the extent of any overdue interest, if any overdue interest exists at the time of conversion with respect to</w:t>
      </w:r>
    </w:p>
    <w:p>
      <w:pPr>
        <w:spacing w:after="0" w:line="56" w:lineRule="exact"/>
        <w:rPr>
          <w:rFonts w:ascii="Arial" w:cs="Arial" w:eastAsia="Arial" w:hAnsi="Arial"/>
          <w:sz w:val="19"/>
          <w:szCs w:val="19"/>
          <w:color w:val="auto"/>
        </w:rPr>
      </w:pPr>
    </w:p>
    <w:p>
      <w:pPr>
        <w:ind w:left="500"/>
        <w:spacing w:after="0"/>
        <w:rPr>
          <w:rFonts w:ascii="Arial" w:cs="Arial" w:eastAsia="Arial" w:hAnsi="Arial"/>
          <w:sz w:val="19"/>
          <w:szCs w:val="19"/>
          <w:color w:val="auto"/>
        </w:rPr>
      </w:pPr>
      <w:r>
        <w:rPr>
          <w:rFonts w:ascii="Arial" w:cs="Arial" w:eastAsia="Arial" w:hAnsi="Arial"/>
          <w:sz w:val="22"/>
          <w:szCs w:val="22"/>
          <w:color w:val="auto"/>
        </w:rPr>
        <w:t>such Note.</w:t>
      </w:r>
    </w:p>
    <w:p>
      <w:pPr>
        <w:spacing w:after="0" w:line="161"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Therefore, for the avoidance of doubt, all Holders of record on the Regular Record Date immediately preceding the Maturity Date and any Fundamental Change Repurchase Date as described in clause (ii) above shall receive and retain the full interest payment due on the Maturity Date or other applicable Interest Payment Date regardless of whether their Notes have been converted following such Regular Record Date.</w:t>
      </w:r>
    </w:p>
    <w:p>
      <w:pPr>
        <w:spacing w:after="0" w:line="134" w:lineRule="exact"/>
        <w:rPr>
          <w:sz w:val="20"/>
          <w:szCs w:val="20"/>
          <w:color w:val="auto"/>
        </w:rPr>
      </w:pPr>
    </w:p>
    <w:p>
      <w:pPr>
        <w:ind w:left="120" w:right="20" w:firstLine="847"/>
        <w:spacing w:after="0" w:line="261" w:lineRule="auto"/>
        <w:tabs>
          <w:tab w:leader="none" w:pos="1389" w:val="left"/>
        </w:tabs>
        <w:numPr>
          <w:ilvl w:val="0"/>
          <w:numId w:val="114"/>
        </w:numPr>
        <w:rPr>
          <w:rFonts w:ascii="Arial" w:cs="Arial" w:eastAsia="Arial" w:hAnsi="Arial"/>
          <w:sz w:val="21"/>
          <w:szCs w:val="21"/>
          <w:color w:val="auto"/>
        </w:rPr>
      </w:pPr>
      <w:r>
        <w:rPr>
          <w:rFonts w:ascii="Arial" w:cs="Arial" w:eastAsia="Arial" w:hAnsi="Arial"/>
          <w:sz w:val="21"/>
          <w:szCs w:val="21"/>
          <w:color w:val="auto"/>
        </w:rPr>
        <w:t xml:space="preserve">The Person in whose name any shares of Common Stock delivered upon conversion is registered shall become the holder of record of such shares as of the close of business on (i) the relevant Conversion Date if the Company elects Physical Settlement or (ii) the last VWAP Trading Day of the Observation Period if the Company elects or is deemed to elect Combination Settlement. Upon a conversion of Notes, such Person shall no longer be a Holder of such Notes surrendered for conversion;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(a) the converting Holder shall have the right to receive the Settlement Amount due upon conversion and (b) in the</w:t>
      </w:r>
      <w:r>
        <w:rPr>
          <w:rFonts w:ascii="Arial" w:cs="Arial" w:eastAsia="Arial" w:hAnsi="Arial"/>
          <w:sz w:val="21"/>
          <w:szCs w:val="21"/>
          <w:i w:val="1"/>
          <w:iCs w:val="1"/>
          <w:color w:val="auto"/>
        </w:rPr>
        <w:t xml:space="preserve"> </w:t>
      </w:r>
      <w:r>
        <w:rPr>
          <w:rFonts w:ascii="Arial" w:cs="Arial" w:eastAsia="Arial" w:hAnsi="Arial"/>
          <w:sz w:val="21"/>
          <w:szCs w:val="21"/>
          <w:color w:val="auto"/>
        </w:rPr>
        <w:t>case of a conversion between a Regular Record Date and the corresponding Interest Payment Date, the Holder of record as of the close of business on such Regular Record Date shall have the right to receive the interest payable on such Interest Payment Date, in accordance with Section 14.02(g).</w:t>
      </w: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360"/>
          </w:cols>
          <w:pgMar w:left="240" w:top="375" w:right="299" w:bottom="1440" w:gutter="0" w:footer="0" w:header="0"/>
        </w:sectPr>
      </w:pPr>
    </w:p>
    <w:bookmarkStart w:id="138" w:name="page139"/>
    <w:bookmarkEnd w:id="138"/>
    <w:p>
      <w:pPr>
        <w:ind w:left="40" w:right="20" w:firstLine="847"/>
        <w:spacing w:after="0" w:line="294" w:lineRule="auto"/>
        <w:tabs>
          <w:tab w:leader="none" w:pos="1261"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Company shall not issue any fractional share of Common Stock upon conversion of the Notes and shall instead pay cash in lieu of any fractional share of Common Stock issuable upon conversion in an amount based on (i) the Daily VWAP on the relevant Conversion Date if the Company elects Physical Settlement or (ii) the Daily VWAP on the last VWAP Trading Day of the Observation Period if the Company elects or is deemed to elect Combination Settlement. For each Note surrendered for conversion, if the Company has elected (or is deemed to elect) Combination Settlement, the full number of shares that shall be issued upon conversion thereof shall be computed on the basis of the aggregate Daily Settlement Amounts for the Observation Period and, if applicable, any fractional share remaining after such computation shall be paid in cash.</w:t>
      </w:r>
    </w:p>
    <w:p>
      <w:pPr>
        <w:spacing w:after="0" w:line="92" w:lineRule="exact"/>
        <w:rPr>
          <w:rFonts w:ascii="Arial" w:cs="Arial" w:eastAsia="Arial" w:hAnsi="Arial"/>
          <w:sz w:val="19"/>
          <w:szCs w:val="19"/>
          <w:color w:val="auto"/>
        </w:rPr>
      </w:pPr>
    </w:p>
    <w:p>
      <w:pPr>
        <w:ind w:left="1320" w:hanging="420"/>
        <w:spacing w:after="0"/>
        <w:tabs>
          <w:tab w:leader="none" w:pos="1320" w:val="left"/>
        </w:tabs>
        <w:numPr>
          <w:ilvl w:val="1"/>
          <w:numId w:val="115"/>
        </w:numPr>
        <w:rPr>
          <w:rFonts w:ascii="Arial" w:cs="Arial" w:eastAsia="Arial" w:hAnsi="Arial"/>
          <w:sz w:val="21"/>
          <w:szCs w:val="21"/>
          <w:color w:val="auto"/>
        </w:rPr>
      </w:pPr>
      <w:r>
        <w:rPr>
          <w:rFonts w:ascii="Arial" w:cs="Arial" w:eastAsia="Arial" w:hAnsi="Arial"/>
          <w:sz w:val="21"/>
          <w:szCs w:val="21"/>
          <w:color w:val="auto"/>
        </w:rPr>
        <w:t>Upon surrender by a Holder of its Notes for conversion, the Company may, at its election (an “</w:t>
      </w:r>
      <w:r>
        <w:rPr>
          <w:rFonts w:ascii="Arial" w:cs="Arial" w:eastAsia="Arial" w:hAnsi="Arial"/>
          <w:sz w:val="21"/>
          <w:szCs w:val="21"/>
          <w:b w:val="1"/>
          <w:bCs w:val="1"/>
          <w:color w:val="auto"/>
        </w:rPr>
        <w:t>Exchange</w:t>
      </w:r>
    </w:p>
    <w:p>
      <w:pPr>
        <w:spacing w:after="0" w:line="39" w:lineRule="exact"/>
        <w:rPr>
          <w:sz w:val="20"/>
          <w:szCs w:val="20"/>
          <w:color w:val="auto"/>
        </w:rPr>
      </w:pPr>
    </w:p>
    <w:p>
      <w:pPr>
        <w:ind w:left="100"/>
        <w:spacing w:after="0" w:line="286" w:lineRule="auto"/>
        <w:rPr>
          <w:sz w:val="20"/>
          <w:szCs w:val="20"/>
          <w:color w:val="auto"/>
        </w:rPr>
      </w:pPr>
      <w:r>
        <w:rPr>
          <w:rFonts w:ascii="Arial" w:cs="Arial" w:eastAsia="Arial" w:hAnsi="Arial"/>
          <w:sz w:val="19"/>
          <w:szCs w:val="19"/>
          <w:b w:val="1"/>
          <w:bCs w:val="1"/>
          <w:color w:val="auto"/>
        </w:rPr>
        <w:t>Election</w:t>
      </w:r>
      <w:r>
        <w:rPr>
          <w:rFonts w:ascii="Arial" w:cs="Arial" w:eastAsia="Arial" w:hAnsi="Arial"/>
          <w:sz w:val="19"/>
          <w:szCs w:val="19"/>
          <w:color w:val="auto"/>
        </w:rPr>
        <w:t>”), direct the Conversion Agent to surrender, on or prior to the second Business Day immediately following the relevant</w:t>
      </w:r>
      <w:r>
        <w:rPr>
          <w:rFonts w:ascii="Arial" w:cs="Arial" w:eastAsia="Arial" w:hAnsi="Arial"/>
          <w:sz w:val="19"/>
          <w:szCs w:val="19"/>
          <w:b w:val="1"/>
          <w:bCs w:val="1"/>
          <w:color w:val="auto"/>
        </w:rPr>
        <w:t xml:space="preserve"> </w:t>
      </w:r>
      <w:r>
        <w:rPr>
          <w:rFonts w:ascii="Arial" w:cs="Arial" w:eastAsia="Arial" w:hAnsi="Arial"/>
          <w:sz w:val="19"/>
          <w:szCs w:val="19"/>
          <w:color w:val="auto"/>
        </w:rPr>
        <w:t>Conversion Date, such Notes to a financial institution designated by the Company (the “</w:t>
      </w:r>
      <w:r>
        <w:rPr>
          <w:rFonts w:ascii="Arial" w:cs="Arial" w:eastAsia="Arial" w:hAnsi="Arial"/>
          <w:sz w:val="19"/>
          <w:szCs w:val="19"/>
          <w:b w:val="1"/>
          <w:bCs w:val="1"/>
          <w:color w:val="auto"/>
        </w:rPr>
        <w:t>Designated Financial Institution</w:t>
      </w:r>
      <w:r>
        <w:rPr>
          <w:rFonts w:ascii="Arial" w:cs="Arial" w:eastAsia="Arial" w:hAnsi="Arial"/>
          <w:sz w:val="19"/>
          <w:szCs w:val="19"/>
          <w:color w:val="auto"/>
        </w:rPr>
        <w:t>”) for exchange in lieu of conversion by the Company. In order to accept any Notes surrendered to the Company for conversion, the Designated Financial Institution must agree to timely deliver, in exchange for such Notes, cash, shares of Common Stock or combination thereof, at the Company’s election, that would otherwise be due upon conversion, all as provided in Section 14.02(a) (the “</w:t>
      </w:r>
      <w:r>
        <w:rPr>
          <w:rFonts w:ascii="Arial" w:cs="Arial" w:eastAsia="Arial" w:hAnsi="Arial"/>
          <w:sz w:val="19"/>
          <w:szCs w:val="19"/>
          <w:b w:val="1"/>
          <w:bCs w:val="1"/>
          <w:color w:val="auto"/>
        </w:rPr>
        <w:t>Conversion Consideration</w:t>
      </w:r>
      <w:r>
        <w:rPr>
          <w:rFonts w:ascii="Arial" w:cs="Arial" w:eastAsia="Arial" w:hAnsi="Arial"/>
          <w:sz w:val="19"/>
          <w:szCs w:val="19"/>
          <w:color w:val="auto"/>
        </w:rPr>
        <w:t>”). If the Company makes an Exchange Election, the Company shall, by the close of business on the second Business Day immediately following the relevant Conversion Date, notify in writing the Holder surrendering Notes for conversion and the Trustee that the Company has made an Exchange Election and shall notify the Designated Financial Institution of the Settlement Method the Company has elected with respect to such conversion and the relevant deadline for delivery of the relevant Conversion Consideration.</w:t>
      </w:r>
    </w:p>
    <w:p>
      <w:pPr>
        <w:spacing w:after="0" w:line="106" w:lineRule="exact"/>
        <w:rPr>
          <w:sz w:val="20"/>
          <w:szCs w:val="20"/>
          <w:color w:val="auto"/>
        </w:rPr>
      </w:pPr>
    </w:p>
    <w:p>
      <w:pPr>
        <w:ind w:left="100" w:right="20" w:firstLine="648"/>
        <w:spacing w:after="0" w:line="292" w:lineRule="auto"/>
        <w:rPr>
          <w:sz w:val="20"/>
          <w:szCs w:val="20"/>
          <w:color w:val="auto"/>
        </w:rPr>
      </w:pPr>
      <w:r>
        <w:rPr>
          <w:rFonts w:ascii="Arial" w:cs="Arial" w:eastAsia="Arial" w:hAnsi="Arial"/>
          <w:sz w:val="19"/>
          <w:szCs w:val="19"/>
          <w:color w:val="auto"/>
        </w:rPr>
        <w:t>If the Designated Financial Institution accepts any such Notes, it will pay and/or deliver, as the case may be, the cash, shares of Common Stock or a combination thereof due upon conversion to the Conversion Agent, and the Conversion Agent shall pay and/or deliver such cash and/or shares of Common Stock to such Holder on the third Business Day immediately following the relevant Conversion Date. Any Notes exchanged by the Designated Financial Institution shall remain outstanding, subject to the Applicable Procedures. If the Designated Financial Institution agrees to accept any Notes for exchange but does not timely deliver the related Conversion Consideration, or if such Designated Financial Institution does not accept the Notes for exchange, the Company shall convert the Notes and deliver the relevant Conversion Consideration as described in Section 14.02.</w:t>
      </w:r>
    </w:p>
    <w:p>
      <w:pPr>
        <w:spacing w:after="0" w:line="97" w:lineRule="exact"/>
        <w:rPr>
          <w:sz w:val="20"/>
          <w:szCs w:val="20"/>
          <w:color w:val="auto"/>
        </w:rPr>
      </w:pPr>
    </w:p>
    <w:p>
      <w:pPr>
        <w:jc w:val="both"/>
        <w:ind w:left="100" w:right="20" w:firstLine="648"/>
        <w:spacing w:after="0" w:line="253" w:lineRule="auto"/>
        <w:rPr>
          <w:sz w:val="20"/>
          <w:szCs w:val="20"/>
          <w:color w:val="auto"/>
        </w:rPr>
      </w:pPr>
      <w:r>
        <w:rPr>
          <w:rFonts w:ascii="Arial" w:cs="Arial" w:eastAsia="Arial" w:hAnsi="Arial"/>
          <w:sz w:val="22"/>
          <w:szCs w:val="22"/>
          <w:color w:val="auto"/>
        </w:rPr>
        <w:t>The Company’s designation of a Designated Financial Institution does not require such Designated Financial Institution to accept any Notes. The Company may, but shall not be obligated to, enter into a separate agreement with any Designated Financial Institution that would compensate it for any such transaction.</w:t>
      </w:r>
    </w:p>
    <w:p>
      <w:pPr>
        <w:spacing w:after="0" w:line="132"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 xml:space="preserve">Section 14.03 </w:t>
      </w:r>
      <w:r>
        <w:rPr>
          <w:rFonts w:ascii="Arial" w:cs="Arial" w:eastAsia="Arial" w:hAnsi="Arial"/>
          <w:sz w:val="19"/>
          <w:szCs w:val="19"/>
          <w:i w:val="1"/>
          <w:iCs w:val="1"/>
          <w:color w:val="auto"/>
        </w:rPr>
        <w:t>. Increase in Conversion Rate Upon Conversion in Connection with a Make-Whole Fundamental Change.</w:t>
      </w:r>
      <w:r>
        <w:rPr>
          <w:rFonts w:ascii="Arial" w:cs="Arial" w:eastAsia="Arial" w:hAnsi="Arial"/>
          <w:sz w:val="19"/>
          <w:szCs w:val="19"/>
          <w:color w:val="auto"/>
        </w:rPr>
        <w:t xml:space="preserve"> (a) If the Effective Date of a Make-Whole Fundamental Change occurs prior to the Maturity Date and a Holder elects to convert its Notes in connection with such Make-Whole Fundamental Change, the Company shall, under the circumstances described</w:t>
      </w:r>
    </w:p>
    <w:p>
      <w:pPr>
        <w:spacing w:after="0" w:line="315"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340"/>
          </w:cols>
          <w:pgMar w:left="320" w:top="375" w:right="239" w:bottom="1440" w:gutter="0" w:footer="0" w:header="0"/>
        </w:sectPr>
      </w:pPr>
    </w:p>
    <w:bookmarkStart w:id="139" w:name="page140"/>
    <w:bookmarkEnd w:id="139"/>
    <w:p>
      <w:pPr>
        <w:jc w:val="both"/>
        <w:spacing w:after="0" w:line="290" w:lineRule="auto"/>
        <w:rPr>
          <w:sz w:val="20"/>
          <w:szCs w:val="20"/>
          <w:color w:val="auto"/>
        </w:rPr>
      </w:pPr>
      <w:r>
        <w:rPr>
          <w:rFonts w:ascii="Arial" w:cs="Arial" w:eastAsia="Arial" w:hAnsi="Arial"/>
          <w:sz w:val="19"/>
          <w:szCs w:val="19"/>
          <w:color w:val="auto"/>
        </w:rPr>
        <w:t>below, increase the Conversion Rate for the Notes so surrendered for conversion by a number of additional shares of Common Stock (the “</w:t>
      </w:r>
      <w:r>
        <w:rPr>
          <w:rFonts w:ascii="Arial" w:cs="Arial" w:eastAsia="Arial" w:hAnsi="Arial"/>
          <w:sz w:val="19"/>
          <w:szCs w:val="19"/>
          <w:b w:val="1"/>
          <w:bCs w:val="1"/>
          <w:color w:val="auto"/>
        </w:rPr>
        <w:t>Additional Shares</w:t>
      </w:r>
      <w:r>
        <w:rPr>
          <w:rFonts w:ascii="Arial" w:cs="Arial" w:eastAsia="Arial" w:hAnsi="Arial"/>
          <w:sz w:val="19"/>
          <w:szCs w:val="19"/>
          <w:color w:val="auto"/>
        </w:rPr>
        <w:t xml:space="preserve">”), as described below. A conversion of Notes shall be deemed for these purposes to be “in connection with” such Make-Whole Fundamental Change if the relevant Notice of Conversion (or, in the case of a Global Note, the relevant notice of conversion in accordance with the Applicable Procedures) is received by the Conversion Agent during the period from the open of business on the Effective Date of the Make-Whole Fundamental Change to the close of business on the Business Day immediately preceding the related Fundamental Change Repurchase Date (or, in the case of a Make-Whole Fundamental Change that would have been a Fundamental Change but for the </w:t>
      </w:r>
      <w:r>
        <w:rPr>
          <w:rFonts w:ascii="Arial" w:cs="Arial" w:eastAsia="Arial" w:hAnsi="Arial"/>
          <w:sz w:val="19"/>
          <w:szCs w:val="19"/>
          <w:i w:val="1"/>
          <w:iCs w:val="1"/>
          <w:color w:val="auto"/>
        </w:rPr>
        <w:t>proviso</w:t>
      </w:r>
      <w:r>
        <w:rPr>
          <w:rFonts w:ascii="Arial" w:cs="Arial" w:eastAsia="Arial" w:hAnsi="Arial"/>
          <w:sz w:val="19"/>
          <w:szCs w:val="19"/>
          <w:color w:val="auto"/>
        </w:rPr>
        <w:t xml:space="preserve"> in clause (b) of the definition thereof, the 35th Trading Day immediately following the Effective Date of such Make-Whole Fundamental Change).</w:t>
      </w:r>
    </w:p>
    <w:p>
      <w:pPr>
        <w:spacing w:after="0" w:line="103" w:lineRule="exact"/>
        <w:rPr>
          <w:sz w:val="20"/>
          <w:szCs w:val="20"/>
          <w:color w:val="auto"/>
        </w:rPr>
      </w:pPr>
    </w:p>
    <w:p>
      <w:pPr>
        <w:ind w:left="40" w:right="80" w:firstLine="847"/>
        <w:spacing w:after="0" w:line="288" w:lineRule="auto"/>
        <w:tabs>
          <w:tab w:leader="none" w:pos="1309"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Upon surrender of Notes for conversion in connection with a Make-Whole Fundamental Change, the Company shall, at its option, satisfy its Conversion Obligation by Physical Settlement, Cash Settlement or Combination Settlement in accordance with Section 14.02;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if the consideration for the Common Stock in any Make-Whole Fundamental Change described in clause (b) of the definition of Fundamental Change is composed entirely of cash, for any conversion of Notes following the Effective Date of such Make-Whole Fundamental Change, the Conversion Obligation shall be calculated based solely on the Stock Price for the transaction and shall be deemed to be an amount of cash per $1,000 principal amount of converted Notes equal to (i) the Conversion Rate (including any increase to reflect the Additional Shares as described in this Section 14.03),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(ii) such Stock Price. In such event, the Conversion Obligation shall be determined and paid to Holders in cash on the third Business Day following the Conversion Date. The Company shall notify Holders, the Trustee and the Conversion Agent (if other than the Trustee) of the Effective Date of any Make-Whole Fundamental Change and issue a press release or publish the information on a Current Report on Form 8-K no later than five Business Days after such Effective Date (the “</w:t>
      </w:r>
      <w:r>
        <w:rPr>
          <w:rFonts w:ascii="Arial" w:cs="Arial" w:eastAsia="Arial" w:hAnsi="Arial"/>
          <w:sz w:val="19"/>
          <w:szCs w:val="19"/>
          <w:b w:val="1"/>
          <w:bCs w:val="1"/>
          <w:color w:val="auto"/>
        </w:rPr>
        <w:t>Make-Whole Fundamental Change Company Notice</w:t>
      </w:r>
      <w:r>
        <w:rPr>
          <w:rFonts w:ascii="Arial" w:cs="Arial" w:eastAsia="Arial" w:hAnsi="Arial"/>
          <w:sz w:val="19"/>
          <w:szCs w:val="19"/>
          <w:color w:val="auto"/>
        </w:rPr>
        <w:t>”).</w:t>
      </w:r>
    </w:p>
    <w:p>
      <w:pPr>
        <w:spacing w:after="0" w:line="108" w:lineRule="exact"/>
        <w:rPr>
          <w:rFonts w:ascii="Arial" w:cs="Arial" w:eastAsia="Arial" w:hAnsi="Arial"/>
          <w:sz w:val="19"/>
          <w:szCs w:val="19"/>
          <w:color w:val="auto"/>
        </w:rPr>
      </w:pPr>
    </w:p>
    <w:p>
      <w:pPr>
        <w:ind w:left="40" w:right="100" w:firstLine="847"/>
        <w:spacing w:after="0" w:line="290" w:lineRule="auto"/>
        <w:tabs>
          <w:tab w:leader="none" w:pos="1297"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number of Additional Shares, if any, by which the Conversion Rate shall be increased shall be determined by reference to the table below, based on the date on which the Make-Whole Fundamental Change occurs or becomes effective (the “</w:t>
      </w:r>
      <w:r>
        <w:rPr>
          <w:rFonts w:ascii="Arial" w:cs="Arial" w:eastAsia="Arial" w:hAnsi="Arial"/>
          <w:sz w:val="19"/>
          <w:szCs w:val="19"/>
          <w:b w:val="1"/>
          <w:bCs w:val="1"/>
          <w:color w:val="auto"/>
        </w:rPr>
        <w:t>Effective Date</w:t>
      </w:r>
      <w:r>
        <w:rPr>
          <w:rFonts w:ascii="Arial" w:cs="Arial" w:eastAsia="Arial" w:hAnsi="Arial"/>
          <w:sz w:val="19"/>
          <w:szCs w:val="19"/>
          <w:color w:val="auto"/>
        </w:rPr>
        <w:t>”) and the price (the “</w:t>
      </w:r>
      <w:r>
        <w:rPr>
          <w:rFonts w:ascii="Arial" w:cs="Arial" w:eastAsia="Arial" w:hAnsi="Arial"/>
          <w:sz w:val="19"/>
          <w:szCs w:val="19"/>
          <w:b w:val="1"/>
          <w:bCs w:val="1"/>
          <w:color w:val="auto"/>
        </w:rPr>
        <w:t>Stock Price</w:t>
      </w:r>
      <w:r>
        <w:rPr>
          <w:rFonts w:ascii="Arial" w:cs="Arial" w:eastAsia="Arial" w:hAnsi="Arial"/>
          <w:sz w:val="19"/>
          <w:szCs w:val="19"/>
          <w:color w:val="auto"/>
        </w:rPr>
        <w:t>”) paid (or deemed to be paid) per share of the Common Stock in the Make-Whole Fundamental Change. If the holders of the Common Stock receive in exchange for their Common Stock only cash in a Make-Whole Fundamental Change described in clause (b) of the definition of Fundamental Change, the Stock Price shall be the cash amount paid per share. Otherwise, the Stock Price shall be the average of the Last Reported Sale Prices of the Common Stock over the five Trading Day period ending on, and including, the Trading Day immediately preceding the Effective Date of the Make-Whole Fundamental Change. The Board of Directors shall make appropriate adjustments to the Stock Price, in its good faith determination, to account for any adjustment to the Conversion Rate that becomes effective, or any event requiring an adjustment to the Conversion Rate where the Ex-Dividend Date of the event occurs, during such five Trading Day period.</w:t>
      </w:r>
    </w:p>
    <w:p>
      <w:pPr>
        <w:spacing w:after="0" w:line="101" w:lineRule="exact"/>
        <w:rPr>
          <w:rFonts w:ascii="Arial" w:cs="Arial" w:eastAsia="Arial" w:hAnsi="Arial"/>
          <w:sz w:val="19"/>
          <w:szCs w:val="19"/>
          <w:color w:val="auto"/>
        </w:rPr>
      </w:pPr>
    </w:p>
    <w:p>
      <w:pPr>
        <w:jc w:val="both"/>
        <w:ind w:left="40" w:right="160" w:firstLine="847"/>
        <w:spacing w:after="0" w:line="260" w:lineRule="auto"/>
        <w:tabs>
          <w:tab w:leader="none" w:pos="1309"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Stock Prices set forth in the column headings of the table below shall be adjusted as of any date on which the Conversion Rate is otherwise adjusted. The adjusted Stock Prices shall equal (i) the Stock Prices applicable immediately prior to such adjustment,</w:t>
      </w:r>
    </w:p>
    <w:p>
      <w:pPr>
        <w:spacing w:after="0" w:line="366"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340"/>
          </w:cols>
          <w:pgMar w:left="320" w:top="375" w:right="239" w:bottom="1440" w:gutter="0" w:footer="0" w:header="0"/>
        </w:sectPr>
      </w:pPr>
    </w:p>
    <w:bookmarkStart w:id="140" w:name="page141"/>
    <w:bookmarkEnd w:id="140"/>
    <w:p>
      <w:pPr>
        <w:ind w:left="120"/>
        <w:spacing w:after="0" w:line="250" w:lineRule="auto"/>
        <w:rPr>
          <w:sz w:val="20"/>
          <w:szCs w:val="20"/>
          <w:color w:val="auto"/>
        </w:rPr>
      </w:pPr>
      <w:r>
        <w:rPr>
          <w:rFonts w:ascii="Arial" w:cs="Arial" w:eastAsia="Arial" w:hAnsi="Arial"/>
          <w:sz w:val="22"/>
          <w:szCs w:val="22"/>
          <w:i w:val="1"/>
          <w:iCs w:val="1"/>
          <w:color w:val="auto"/>
        </w:rPr>
        <w:t xml:space="preserve">multiplied by </w:t>
      </w:r>
      <w:r>
        <w:rPr>
          <w:rFonts w:ascii="Arial" w:cs="Arial" w:eastAsia="Arial" w:hAnsi="Arial"/>
          <w:sz w:val="22"/>
          <w:szCs w:val="22"/>
          <w:color w:val="auto"/>
        </w:rPr>
        <w:t>(ii) a fraction, the numerator of which is the Conversion Rate immediately prior to such adjustment giving rise to the</w:t>
      </w:r>
      <w:r>
        <w:rPr>
          <w:rFonts w:ascii="Arial" w:cs="Arial" w:eastAsia="Arial" w:hAnsi="Arial"/>
          <w:sz w:val="22"/>
          <w:szCs w:val="22"/>
          <w:i w:val="1"/>
          <w:iCs w:val="1"/>
          <w:color w:val="auto"/>
        </w:rPr>
        <w:t xml:space="preserve"> </w:t>
      </w:r>
      <w:r>
        <w:rPr>
          <w:rFonts w:ascii="Arial" w:cs="Arial" w:eastAsia="Arial" w:hAnsi="Arial"/>
          <w:sz w:val="22"/>
          <w:szCs w:val="22"/>
          <w:color w:val="auto"/>
        </w:rPr>
        <w:t>Stock Price adjustment and the denominator of which is the Conversion Rate as so adjusted. The number of Additional Shares set forth in the table below shall be adjusted in the same manner and at the same time as the Conversion Rate as set forth in Section 14.04.</w:t>
      </w:r>
    </w:p>
    <w:p>
      <w:pPr>
        <w:spacing w:after="0" w:line="134" w:lineRule="exact"/>
        <w:rPr>
          <w:sz w:val="20"/>
          <w:szCs w:val="20"/>
          <w:color w:val="auto"/>
        </w:rPr>
      </w:pPr>
    </w:p>
    <w:p>
      <w:pPr>
        <w:ind w:left="120" w:firstLine="847"/>
        <w:spacing w:after="0" w:line="358" w:lineRule="auto"/>
        <w:tabs>
          <w:tab w:leader="none" w:pos="1377"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following table sets forth the number of Additional Shares by which the Conversion Rate shall be increased per $1,000 principal amount of Notes pursuant to this Section 14.03 for each Stock Price and Effective Date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9518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95185" cy="1714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20" w:type="dxa"/>
            <w:vAlign w:val="bottom"/>
            <w:gridSpan w:val="2"/>
          </w:tcPr>
          <w:p>
            <w:pPr>
              <w:jc w:val="right"/>
              <w:ind w:right="583"/>
              <w:spacing w:after="0"/>
              <w:rPr>
                <w:sz w:val="20"/>
                <w:szCs w:val="20"/>
                <w:color w:val="auto"/>
              </w:rPr>
            </w:pPr>
            <w:r>
              <w:rPr>
                <w:rFonts w:ascii="Arial" w:cs="Arial" w:eastAsia="Arial" w:hAnsi="Arial"/>
                <w:sz w:val="15"/>
                <w:szCs w:val="15"/>
                <w:b w:val="1"/>
                <w:bCs w:val="1"/>
                <w:color w:val="auto"/>
              </w:rPr>
              <w:t>Stock price</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214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Effective date</w:t>
            </w:r>
          </w:p>
        </w:tc>
        <w:tc>
          <w:tcPr>
            <w:tcW w:w="9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140" w:type="dxa"/>
            <w:vAlign w:val="bottom"/>
            <w:vMerge w:val="continue"/>
          </w:tcPr>
          <w:p>
            <w:pPr>
              <w:spacing w:after="0"/>
              <w:rPr>
                <w:sz w:val="16"/>
                <w:szCs w:val="16"/>
                <w:color w:val="auto"/>
              </w:rPr>
            </w:pPr>
          </w:p>
        </w:tc>
        <w:tc>
          <w:tcPr>
            <w:tcW w:w="920" w:type="dxa"/>
            <w:vAlign w:val="bottom"/>
            <w:vMerge w:val="restart"/>
          </w:tcPr>
          <w:p>
            <w:pPr>
              <w:jc w:val="right"/>
              <w:ind w:right="103"/>
              <w:spacing w:after="0"/>
              <w:rPr>
                <w:sz w:val="20"/>
                <w:szCs w:val="20"/>
                <w:color w:val="auto"/>
              </w:rPr>
            </w:pPr>
            <w:r>
              <w:rPr>
                <w:rFonts w:ascii="Arial" w:cs="Arial" w:eastAsia="Arial" w:hAnsi="Arial"/>
                <w:sz w:val="15"/>
                <w:szCs w:val="15"/>
                <w:color w:val="auto"/>
              </w:rPr>
              <w:t>$113.99</w:t>
            </w:r>
          </w:p>
        </w:tc>
        <w:tc>
          <w:tcPr>
            <w:tcW w:w="840" w:type="dxa"/>
            <w:vAlign w:val="bottom"/>
            <w:vMerge w:val="restart"/>
          </w:tcPr>
          <w:p>
            <w:pPr>
              <w:jc w:val="right"/>
              <w:ind w:right="103"/>
              <w:spacing w:after="0"/>
              <w:rPr>
                <w:sz w:val="20"/>
                <w:szCs w:val="20"/>
                <w:color w:val="auto"/>
              </w:rPr>
            </w:pPr>
            <w:r>
              <w:rPr>
                <w:rFonts w:ascii="Arial" w:cs="Arial" w:eastAsia="Arial" w:hAnsi="Arial"/>
                <w:sz w:val="15"/>
                <w:szCs w:val="15"/>
                <w:color w:val="auto"/>
              </w:rPr>
              <w:t>$120.00</w:t>
            </w:r>
          </w:p>
        </w:tc>
        <w:tc>
          <w:tcPr>
            <w:tcW w:w="840" w:type="dxa"/>
            <w:vAlign w:val="bottom"/>
            <w:vMerge w:val="restart"/>
          </w:tcPr>
          <w:p>
            <w:pPr>
              <w:jc w:val="right"/>
              <w:ind w:right="83"/>
              <w:spacing w:after="0"/>
              <w:rPr>
                <w:sz w:val="20"/>
                <w:szCs w:val="20"/>
                <w:color w:val="auto"/>
              </w:rPr>
            </w:pPr>
            <w:r>
              <w:rPr>
                <w:rFonts w:ascii="Arial" w:cs="Arial" w:eastAsia="Arial" w:hAnsi="Arial"/>
                <w:sz w:val="15"/>
                <w:szCs w:val="15"/>
                <w:color w:val="auto"/>
              </w:rPr>
              <w:t>$148.19</w:t>
            </w:r>
          </w:p>
        </w:tc>
        <w:tc>
          <w:tcPr>
            <w:tcW w:w="860" w:type="dxa"/>
            <w:vAlign w:val="bottom"/>
            <w:vMerge w:val="restart"/>
          </w:tcPr>
          <w:p>
            <w:pPr>
              <w:jc w:val="right"/>
              <w:ind w:right="103"/>
              <w:spacing w:after="0"/>
              <w:rPr>
                <w:sz w:val="20"/>
                <w:szCs w:val="20"/>
                <w:color w:val="auto"/>
              </w:rPr>
            </w:pPr>
            <w:r>
              <w:rPr>
                <w:rFonts w:ascii="Arial" w:cs="Arial" w:eastAsia="Arial" w:hAnsi="Arial"/>
                <w:sz w:val="15"/>
                <w:szCs w:val="15"/>
                <w:color w:val="auto"/>
              </w:rPr>
              <w:t>$160.00</w:t>
            </w:r>
          </w:p>
        </w:tc>
        <w:tc>
          <w:tcPr>
            <w:tcW w:w="880" w:type="dxa"/>
            <w:vAlign w:val="bottom"/>
            <w:vMerge w:val="restart"/>
          </w:tcPr>
          <w:p>
            <w:pPr>
              <w:jc w:val="right"/>
              <w:ind w:right="123"/>
              <w:spacing w:after="0"/>
              <w:rPr>
                <w:sz w:val="20"/>
                <w:szCs w:val="20"/>
                <w:color w:val="auto"/>
              </w:rPr>
            </w:pPr>
            <w:r>
              <w:rPr>
                <w:rFonts w:ascii="Arial" w:cs="Arial" w:eastAsia="Arial" w:hAnsi="Arial"/>
                <w:sz w:val="15"/>
                <w:szCs w:val="15"/>
                <w:color w:val="auto"/>
              </w:rPr>
              <w:t>$180.00</w:t>
            </w:r>
          </w:p>
        </w:tc>
        <w:tc>
          <w:tcPr>
            <w:tcW w:w="860" w:type="dxa"/>
            <w:vAlign w:val="bottom"/>
            <w:vMerge w:val="restart"/>
          </w:tcPr>
          <w:p>
            <w:pPr>
              <w:jc w:val="right"/>
              <w:ind w:right="103"/>
              <w:spacing w:after="0"/>
              <w:rPr>
                <w:sz w:val="20"/>
                <w:szCs w:val="20"/>
                <w:color w:val="auto"/>
              </w:rPr>
            </w:pPr>
            <w:r>
              <w:rPr>
                <w:rFonts w:ascii="Arial" w:cs="Arial" w:eastAsia="Arial" w:hAnsi="Arial"/>
                <w:sz w:val="15"/>
                <w:szCs w:val="15"/>
                <w:color w:val="auto"/>
              </w:rPr>
              <w:t>$200.00</w:t>
            </w:r>
          </w:p>
        </w:tc>
        <w:tc>
          <w:tcPr>
            <w:tcW w:w="860" w:type="dxa"/>
            <w:vAlign w:val="bottom"/>
            <w:vMerge w:val="restart"/>
          </w:tcPr>
          <w:p>
            <w:pPr>
              <w:jc w:val="right"/>
              <w:ind w:right="103"/>
              <w:spacing w:after="0"/>
              <w:rPr>
                <w:sz w:val="20"/>
                <w:szCs w:val="20"/>
                <w:color w:val="auto"/>
              </w:rPr>
            </w:pPr>
            <w:r>
              <w:rPr>
                <w:rFonts w:ascii="Arial" w:cs="Arial" w:eastAsia="Arial" w:hAnsi="Arial"/>
                <w:sz w:val="15"/>
                <w:szCs w:val="15"/>
                <w:color w:val="auto"/>
              </w:rPr>
              <w:t>$220.00</w:t>
            </w:r>
          </w:p>
        </w:tc>
        <w:tc>
          <w:tcPr>
            <w:tcW w:w="860" w:type="dxa"/>
            <w:vAlign w:val="bottom"/>
            <w:vMerge w:val="restart"/>
          </w:tcPr>
          <w:p>
            <w:pPr>
              <w:jc w:val="right"/>
              <w:ind w:right="103"/>
              <w:spacing w:after="0"/>
              <w:rPr>
                <w:sz w:val="20"/>
                <w:szCs w:val="20"/>
                <w:color w:val="auto"/>
              </w:rPr>
            </w:pPr>
            <w:r>
              <w:rPr>
                <w:rFonts w:ascii="Arial" w:cs="Arial" w:eastAsia="Arial" w:hAnsi="Arial"/>
                <w:sz w:val="15"/>
                <w:szCs w:val="15"/>
                <w:color w:val="auto"/>
              </w:rPr>
              <w:t>$260.00</w:t>
            </w:r>
          </w:p>
        </w:tc>
        <w:tc>
          <w:tcPr>
            <w:tcW w:w="880" w:type="dxa"/>
            <w:vAlign w:val="bottom"/>
            <w:vMerge w:val="restart"/>
          </w:tcPr>
          <w:p>
            <w:pPr>
              <w:jc w:val="right"/>
              <w:ind w:right="123"/>
              <w:spacing w:after="0"/>
              <w:rPr>
                <w:sz w:val="20"/>
                <w:szCs w:val="20"/>
                <w:color w:val="auto"/>
              </w:rPr>
            </w:pPr>
            <w:r>
              <w:rPr>
                <w:rFonts w:ascii="Arial" w:cs="Arial" w:eastAsia="Arial" w:hAnsi="Arial"/>
                <w:sz w:val="15"/>
                <w:szCs w:val="15"/>
                <w:color w:val="auto"/>
              </w:rPr>
              <w:t>$300.00</w:t>
            </w:r>
          </w:p>
        </w:tc>
        <w:tc>
          <w:tcPr>
            <w:tcW w:w="800" w:type="dxa"/>
            <w:vAlign w:val="bottom"/>
            <w:vMerge w:val="restart"/>
          </w:tcPr>
          <w:p>
            <w:pPr>
              <w:jc w:val="right"/>
              <w:ind w:right="43"/>
              <w:spacing w:after="0"/>
              <w:rPr>
                <w:sz w:val="20"/>
                <w:szCs w:val="20"/>
                <w:color w:val="auto"/>
              </w:rPr>
            </w:pPr>
            <w:r>
              <w:rPr>
                <w:rFonts w:ascii="Arial" w:cs="Arial" w:eastAsia="Arial" w:hAnsi="Arial"/>
                <w:sz w:val="15"/>
                <w:szCs w:val="15"/>
                <w:color w:val="auto"/>
              </w:rPr>
              <w:t>$340.00</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$380.00</w:t>
            </w:r>
          </w:p>
        </w:tc>
        <w:tc>
          <w:tcPr>
            <w:tcW w:w="0" w:type="dxa"/>
            <w:vAlign w:val="bottom"/>
          </w:tcPr>
          <w:p>
            <w:pPr>
              <w:spacing w:after="0"/>
              <w:rPr>
                <w:sz w:val="1"/>
                <w:szCs w:val="1"/>
                <w:color w:val="auto"/>
              </w:rPr>
            </w:pPr>
          </w:p>
        </w:tc>
      </w:tr>
      <w:tr>
        <w:trPr>
          <w:trHeight w:val="382"/>
        </w:trPr>
        <w:tc>
          <w:tcPr>
            <w:tcW w:w="2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6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40"/>
              <w:spacing w:after="0"/>
              <w:rPr>
                <w:sz w:val="20"/>
                <w:szCs w:val="20"/>
                <w:color w:val="auto"/>
              </w:rPr>
            </w:pPr>
            <w:r>
              <w:rPr>
                <w:rFonts w:ascii="Arial" w:cs="Arial" w:eastAsia="Arial" w:hAnsi="Arial"/>
                <w:sz w:val="15"/>
                <w:szCs w:val="15"/>
                <w:color w:val="auto"/>
              </w:rPr>
              <w:t>September 25, 2017</w:t>
            </w:r>
          </w:p>
        </w:tc>
        <w:tc>
          <w:tcPr>
            <w:tcW w:w="920" w:type="dxa"/>
            <w:vAlign w:val="bottom"/>
          </w:tcPr>
          <w:p>
            <w:pPr>
              <w:jc w:val="right"/>
              <w:ind w:right="103"/>
              <w:spacing w:after="0"/>
              <w:rPr>
                <w:sz w:val="20"/>
                <w:szCs w:val="20"/>
                <w:color w:val="auto"/>
              </w:rPr>
            </w:pPr>
            <w:r>
              <w:rPr>
                <w:rFonts w:ascii="Arial" w:cs="Arial" w:eastAsia="Arial" w:hAnsi="Arial"/>
                <w:sz w:val="15"/>
                <w:szCs w:val="15"/>
                <w:color w:val="auto"/>
              </w:rPr>
              <w:t>2.0244</w:t>
            </w:r>
          </w:p>
        </w:tc>
        <w:tc>
          <w:tcPr>
            <w:tcW w:w="840" w:type="dxa"/>
            <w:vAlign w:val="bottom"/>
          </w:tcPr>
          <w:p>
            <w:pPr>
              <w:jc w:val="right"/>
              <w:ind w:right="103"/>
              <w:spacing w:after="0"/>
              <w:rPr>
                <w:sz w:val="20"/>
                <w:szCs w:val="20"/>
                <w:color w:val="auto"/>
              </w:rPr>
            </w:pPr>
            <w:r>
              <w:rPr>
                <w:rFonts w:ascii="Arial" w:cs="Arial" w:eastAsia="Arial" w:hAnsi="Arial"/>
                <w:sz w:val="15"/>
                <w:szCs w:val="15"/>
                <w:color w:val="auto"/>
              </w:rPr>
              <w:t>1.8163</w:t>
            </w:r>
          </w:p>
        </w:tc>
        <w:tc>
          <w:tcPr>
            <w:tcW w:w="840" w:type="dxa"/>
            <w:vAlign w:val="bottom"/>
          </w:tcPr>
          <w:p>
            <w:pPr>
              <w:jc w:val="right"/>
              <w:ind w:right="83"/>
              <w:spacing w:after="0"/>
              <w:rPr>
                <w:sz w:val="20"/>
                <w:szCs w:val="20"/>
                <w:color w:val="auto"/>
              </w:rPr>
            </w:pPr>
            <w:r>
              <w:rPr>
                <w:rFonts w:ascii="Arial" w:cs="Arial" w:eastAsia="Arial" w:hAnsi="Arial"/>
                <w:sz w:val="15"/>
                <w:szCs w:val="15"/>
                <w:color w:val="auto"/>
              </w:rPr>
              <w:t>0.9968</w:t>
            </w:r>
          </w:p>
        </w:tc>
        <w:tc>
          <w:tcPr>
            <w:tcW w:w="860" w:type="dxa"/>
            <w:vAlign w:val="bottom"/>
          </w:tcPr>
          <w:p>
            <w:pPr>
              <w:jc w:val="right"/>
              <w:ind w:right="103"/>
              <w:spacing w:after="0"/>
              <w:rPr>
                <w:sz w:val="20"/>
                <w:szCs w:val="20"/>
                <w:color w:val="auto"/>
              </w:rPr>
            </w:pPr>
            <w:r>
              <w:rPr>
                <w:rFonts w:ascii="Arial" w:cs="Arial" w:eastAsia="Arial" w:hAnsi="Arial"/>
                <w:sz w:val="15"/>
                <w:szCs w:val="15"/>
                <w:color w:val="auto"/>
              </w:rPr>
              <w:t>0.7831</w:t>
            </w:r>
          </w:p>
        </w:tc>
        <w:tc>
          <w:tcPr>
            <w:tcW w:w="880" w:type="dxa"/>
            <w:vAlign w:val="bottom"/>
          </w:tcPr>
          <w:p>
            <w:pPr>
              <w:jc w:val="right"/>
              <w:ind w:right="123"/>
              <w:spacing w:after="0"/>
              <w:rPr>
                <w:sz w:val="20"/>
                <w:szCs w:val="20"/>
                <w:color w:val="auto"/>
              </w:rPr>
            </w:pPr>
            <w:r>
              <w:rPr>
                <w:rFonts w:ascii="Arial" w:cs="Arial" w:eastAsia="Arial" w:hAnsi="Arial"/>
                <w:sz w:val="15"/>
                <w:szCs w:val="15"/>
                <w:color w:val="auto"/>
              </w:rPr>
              <w:t>0.5255</w:t>
            </w:r>
          </w:p>
        </w:tc>
        <w:tc>
          <w:tcPr>
            <w:tcW w:w="860" w:type="dxa"/>
            <w:vAlign w:val="bottom"/>
          </w:tcPr>
          <w:p>
            <w:pPr>
              <w:jc w:val="right"/>
              <w:ind w:right="103"/>
              <w:spacing w:after="0"/>
              <w:rPr>
                <w:sz w:val="20"/>
                <w:szCs w:val="20"/>
                <w:color w:val="auto"/>
              </w:rPr>
            </w:pPr>
            <w:r>
              <w:rPr>
                <w:rFonts w:ascii="Arial" w:cs="Arial" w:eastAsia="Arial" w:hAnsi="Arial"/>
                <w:sz w:val="15"/>
                <w:szCs w:val="15"/>
                <w:color w:val="auto"/>
              </w:rPr>
              <w:t>0.3557</w:t>
            </w:r>
          </w:p>
        </w:tc>
        <w:tc>
          <w:tcPr>
            <w:tcW w:w="860" w:type="dxa"/>
            <w:vAlign w:val="bottom"/>
          </w:tcPr>
          <w:p>
            <w:pPr>
              <w:jc w:val="right"/>
              <w:ind w:right="103"/>
              <w:spacing w:after="0"/>
              <w:rPr>
                <w:sz w:val="20"/>
                <w:szCs w:val="20"/>
                <w:color w:val="auto"/>
              </w:rPr>
            </w:pPr>
            <w:r>
              <w:rPr>
                <w:rFonts w:ascii="Arial" w:cs="Arial" w:eastAsia="Arial" w:hAnsi="Arial"/>
                <w:sz w:val="15"/>
                <w:szCs w:val="15"/>
                <w:color w:val="auto"/>
              </w:rPr>
              <w:t>0.2416</w:t>
            </w:r>
          </w:p>
        </w:tc>
        <w:tc>
          <w:tcPr>
            <w:tcW w:w="860" w:type="dxa"/>
            <w:vAlign w:val="bottom"/>
          </w:tcPr>
          <w:p>
            <w:pPr>
              <w:jc w:val="right"/>
              <w:ind w:right="103"/>
              <w:spacing w:after="0"/>
              <w:rPr>
                <w:sz w:val="20"/>
                <w:szCs w:val="20"/>
                <w:color w:val="auto"/>
              </w:rPr>
            </w:pPr>
            <w:r>
              <w:rPr>
                <w:rFonts w:ascii="Arial" w:cs="Arial" w:eastAsia="Arial" w:hAnsi="Arial"/>
                <w:sz w:val="15"/>
                <w:szCs w:val="15"/>
                <w:color w:val="auto"/>
              </w:rPr>
              <w:t>0.1103</w:t>
            </w:r>
          </w:p>
        </w:tc>
        <w:tc>
          <w:tcPr>
            <w:tcW w:w="880" w:type="dxa"/>
            <w:vAlign w:val="bottom"/>
          </w:tcPr>
          <w:p>
            <w:pPr>
              <w:jc w:val="right"/>
              <w:ind w:right="123"/>
              <w:spacing w:after="0"/>
              <w:rPr>
                <w:sz w:val="20"/>
                <w:szCs w:val="20"/>
                <w:color w:val="auto"/>
              </w:rPr>
            </w:pPr>
            <w:r>
              <w:rPr>
                <w:rFonts w:ascii="Arial" w:cs="Arial" w:eastAsia="Arial" w:hAnsi="Arial"/>
                <w:sz w:val="15"/>
                <w:szCs w:val="15"/>
                <w:color w:val="auto"/>
              </w:rPr>
              <w:t>0.0473</w:t>
            </w: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0.0168</w:t>
            </w:r>
          </w:p>
        </w:tc>
        <w:tc>
          <w:tcPr>
            <w:tcW w:w="600" w:type="dxa"/>
            <w:vAlign w:val="bottom"/>
          </w:tcPr>
          <w:p>
            <w:pPr>
              <w:jc w:val="right"/>
              <w:spacing w:after="0"/>
              <w:rPr>
                <w:sz w:val="20"/>
                <w:szCs w:val="20"/>
                <w:color w:val="auto"/>
              </w:rPr>
            </w:pPr>
            <w:r>
              <w:rPr>
                <w:rFonts w:ascii="Arial" w:cs="Arial" w:eastAsia="Arial" w:hAnsi="Arial"/>
                <w:sz w:val="15"/>
                <w:szCs w:val="15"/>
                <w:color w:val="auto"/>
              </w:rPr>
              <w:t>0.0024</w:t>
            </w:r>
          </w:p>
        </w:tc>
        <w:tc>
          <w:tcPr>
            <w:tcW w:w="0" w:type="dxa"/>
            <w:vAlign w:val="bottom"/>
          </w:tcPr>
          <w:p>
            <w:pPr>
              <w:spacing w:after="0"/>
              <w:rPr>
                <w:sz w:val="1"/>
                <w:szCs w:val="1"/>
                <w:color w:val="auto"/>
              </w:rPr>
            </w:pPr>
          </w:p>
        </w:tc>
      </w:tr>
      <w:tr>
        <w:trPr>
          <w:trHeight w:val="324"/>
        </w:trPr>
        <w:tc>
          <w:tcPr>
            <w:tcW w:w="2140" w:type="dxa"/>
            <w:vAlign w:val="bottom"/>
          </w:tcPr>
          <w:p>
            <w:pPr>
              <w:ind w:left="40"/>
              <w:spacing w:after="0"/>
              <w:rPr>
                <w:sz w:val="20"/>
                <w:szCs w:val="20"/>
                <w:color w:val="auto"/>
              </w:rPr>
            </w:pPr>
            <w:r>
              <w:rPr>
                <w:rFonts w:ascii="Arial" w:cs="Arial" w:eastAsia="Arial" w:hAnsi="Arial"/>
                <w:sz w:val="15"/>
                <w:szCs w:val="15"/>
                <w:color w:val="auto"/>
              </w:rPr>
              <w:t>September 15, 2018</w:t>
            </w:r>
          </w:p>
        </w:tc>
        <w:tc>
          <w:tcPr>
            <w:tcW w:w="920" w:type="dxa"/>
            <w:vAlign w:val="bottom"/>
          </w:tcPr>
          <w:p>
            <w:pPr>
              <w:jc w:val="right"/>
              <w:ind w:right="103"/>
              <w:spacing w:after="0"/>
              <w:rPr>
                <w:sz w:val="20"/>
                <w:szCs w:val="20"/>
                <w:color w:val="auto"/>
              </w:rPr>
            </w:pPr>
            <w:r>
              <w:rPr>
                <w:rFonts w:ascii="Arial" w:cs="Arial" w:eastAsia="Arial" w:hAnsi="Arial"/>
                <w:sz w:val="15"/>
                <w:szCs w:val="15"/>
                <w:color w:val="auto"/>
              </w:rPr>
              <w:t>2.0244</w:t>
            </w:r>
          </w:p>
        </w:tc>
        <w:tc>
          <w:tcPr>
            <w:tcW w:w="840" w:type="dxa"/>
            <w:vAlign w:val="bottom"/>
          </w:tcPr>
          <w:p>
            <w:pPr>
              <w:jc w:val="right"/>
              <w:ind w:right="103"/>
              <w:spacing w:after="0"/>
              <w:rPr>
                <w:sz w:val="20"/>
                <w:szCs w:val="20"/>
                <w:color w:val="auto"/>
              </w:rPr>
            </w:pPr>
            <w:r>
              <w:rPr>
                <w:rFonts w:ascii="Arial" w:cs="Arial" w:eastAsia="Arial" w:hAnsi="Arial"/>
                <w:sz w:val="15"/>
                <w:szCs w:val="15"/>
                <w:color w:val="auto"/>
              </w:rPr>
              <w:t>1.7504</w:t>
            </w:r>
          </w:p>
        </w:tc>
        <w:tc>
          <w:tcPr>
            <w:tcW w:w="840" w:type="dxa"/>
            <w:vAlign w:val="bottom"/>
          </w:tcPr>
          <w:p>
            <w:pPr>
              <w:jc w:val="right"/>
              <w:ind w:right="83"/>
              <w:spacing w:after="0"/>
              <w:rPr>
                <w:sz w:val="20"/>
                <w:szCs w:val="20"/>
                <w:color w:val="auto"/>
              </w:rPr>
            </w:pPr>
            <w:r>
              <w:rPr>
                <w:rFonts w:ascii="Arial" w:cs="Arial" w:eastAsia="Arial" w:hAnsi="Arial"/>
                <w:sz w:val="15"/>
                <w:szCs w:val="15"/>
                <w:color w:val="auto"/>
              </w:rPr>
              <w:t>0.9192</w:t>
            </w:r>
          </w:p>
        </w:tc>
        <w:tc>
          <w:tcPr>
            <w:tcW w:w="860" w:type="dxa"/>
            <w:vAlign w:val="bottom"/>
          </w:tcPr>
          <w:p>
            <w:pPr>
              <w:jc w:val="right"/>
              <w:ind w:right="103"/>
              <w:spacing w:after="0"/>
              <w:rPr>
                <w:sz w:val="20"/>
                <w:szCs w:val="20"/>
                <w:color w:val="auto"/>
              </w:rPr>
            </w:pPr>
            <w:r>
              <w:rPr>
                <w:rFonts w:ascii="Arial" w:cs="Arial" w:eastAsia="Arial" w:hAnsi="Arial"/>
                <w:sz w:val="15"/>
                <w:szCs w:val="15"/>
                <w:color w:val="auto"/>
              </w:rPr>
              <w:t>0.7076</w:t>
            </w:r>
          </w:p>
        </w:tc>
        <w:tc>
          <w:tcPr>
            <w:tcW w:w="880" w:type="dxa"/>
            <w:vAlign w:val="bottom"/>
          </w:tcPr>
          <w:p>
            <w:pPr>
              <w:jc w:val="right"/>
              <w:ind w:right="123"/>
              <w:spacing w:after="0"/>
              <w:rPr>
                <w:sz w:val="20"/>
                <w:szCs w:val="20"/>
                <w:color w:val="auto"/>
              </w:rPr>
            </w:pPr>
            <w:r>
              <w:rPr>
                <w:rFonts w:ascii="Arial" w:cs="Arial" w:eastAsia="Arial" w:hAnsi="Arial"/>
                <w:sz w:val="15"/>
                <w:szCs w:val="15"/>
                <w:color w:val="auto"/>
              </w:rPr>
              <w:t>0.4579</w:t>
            </w:r>
          </w:p>
        </w:tc>
        <w:tc>
          <w:tcPr>
            <w:tcW w:w="860" w:type="dxa"/>
            <w:vAlign w:val="bottom"/>
          </w:tcPr>
          <w:p>
            <w:pPr>
              <w:jc w:val="right"/>
              <w:ind w:right="103"/>
              <w:spacing w:after="0"/>
              <w:rPr>
                <w:sz w:val="20"/>
                <w:szCs w:val="20"/>
                <w:color w:val="auto"/>
              </w:rPr>
            </w:pPr>
            <w:r>
              <w:rPr>
                <w:rFonts w:ascii="Arial" w:cs="Arial" w:eastAsia="Arial" w:hAnsi="Arial"/>
                <w:sz w:val="15"/>
                <w:szCs w:val="15"/>
                <w:color w:val="auto"/>
              </w:rPr>
              <w:t>0.2981</w:t>
            </w:r>
          </w:p>
        </w:tc>
        <w:tc>
          <w:tcPr>
            <w:tcW w:w="860" w:type="dxa"/>
            <w:vAlign w:val="bottom"/>
          </w:tcPr>
          <w:p>
            <w:pPr>
              <w:jc w:val="right"/>
              <w:ind w:right="103"/>
              <w:spacing w:after="0"/>
              <w:rPr>
                <w:sz w:val="20"/>
                <w:szCs w:val="20"/>
                <w:color w:val="auto"/>
              </w:rPr>
            </w:pPr>
            <w:r>
              <w:rPr>
                <w:rFonts w:ascii="Arial" w:cs="Arial" w:eastAsia="Arial" w:hAnsi="Arial"/>
                <w:sz w:val="15"/>
                <w:szCs w:val="15"/>
                <w:color w:val="auto"/>
              </w:rPr>
              <w:t>0.1943</w:t>
            </w:r>
          </w:p>
        </w:tc>
        <w:tc>
          <w:tcPr>
            <w:tcW w:w="860" w:type="dxa"/>
            <w:vAlign w:val="bottom"/>
          </w:tcPr>
          <w:p>
            <w:pPr>
              <w:jc w:val="right"/>
              <w:ind w:right="103"/>
              <w:spacing w:after="0"/>
              <w:rPr>
                <w:sz w:val="20"/>
                <w:szCs w:val="20"/>
                <w:color w:val="auto"/>
              </w:rPr>
            </w:pPr>
            <w:r>
              <w:rPr>
                <w:rFonts w:ascii="Arial" w:cs="Arial" w:eastAsia="Arial" w:hAnsi="Arial"/>
                <w:sz w:val="15"/>
                <w:szCs w:val="15"/>
                <w:color w:val="auto"/>
              </w:rPr>
              <w:t>0.0807</w:t>
            </w:r>
          </w:p>
        </w:tc>
        <w:tc>
          <w:tcPr>
            <w:tcW w:w="880" w:type="dxa"/>
            <w:vAlign w:val="bottom"/>
          </w:tcPr>
          <w:p>
            <w:pPr>
              <w:jc w:val="right"/>
              <w:ind w:right="123"/>
              <w:spacing w:after="0"/>
              <w:rPr>
                <w:sz w:val="20"/>
                <w:szCs w:val="20"/>
                <w:color w:val="auto"/>
              </w:rPr>
            </w:pPr>
            <w:r>
              <w:rPr>
                <w:rFonts w:ascii="Arial" w:cs="Arial" w:eastAsia="Arial" w:hAnsi="Arial"/>
                <w:sz w:val="15"/>
                <w:szCs w:val="15"/>
                <w:color w:val="auto"/>
              </w:rPr>
              <w:t>0.0303</w:t>
            </w: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0.0081</w:t>
            </w:r>
          </w:p>
        </w:tc>
        <w:tc>
          <w:tcPr>
            <w:tcW w:w="600" w:type="dxa"/>
            <w:vAlign w:val="bottom"/>
          </w:tcPr>
          <w:p>
            <w:pPr>
              <w:jc w:val="right"/>
              <w:spacing w:after="0"/>
              <w:rPr>
                <w:sz w:val="20"/>
                <w:szCs w:val="20"/>
                <w:color w:val="auto"/>
              </w:rPr>
            </w:pPr>
            <w:r>
              <w:rPr>
                <w:rFonts w:ascii="Arial" w:cs="Arial" w:eastAsia="Arial" w:hAnsi="Arial"/>
                <w:sz w:val="15"/>
                <w:szCs w:val="15"/>
                <w:color w:val="auto"/>
              </w:rPr>
              <w:t>0.0001</w:t>
            </w:r>
          </w:p>
        </w:tc>
        <w:tc>
          <w:tcPr>
            <w:tcW w:w="0" w:type="dxa"/>
            <w:vAlign w:val="bottom"/>
          </w:tcPr>
          <w:p>
            <w:pPr>
              <w:spacing w:after="0"/>
              <w:rPr>
                <w:sz w:val="1"/>
                <w:szCs w:val="1"/>
                <w:color w:val="auto"/>
              </w:rPr>
            </w:pPr>
          </w:p>
        </w:tc>
      </w:tr>
      <w:tr>
        <w:trPr>
          <w:trHeight w:val="324"/>
        </w:trPr>
        <w:tc>
          <w:tcPr>
            <w:tcW w:w="2140" w:type="dxa"/>
            <w:vAlign w:val="bottom"/>
          </w:tcPr>
          <w:p>
            <w:pPr>
              <w:ind w:left="40"/>
              <w:spacing w:after="0"/>
              <w:rPr>
                <w:sz w:val="20"/>
                <w:szCs w:val="20"/>
                <w:color w:val="auto"/>
              </w:rPr>
            </w:pPr>
            <w:r>
              <w:rPr>
                <w:rFonts w:ascii="Arial" w:cs="Arial" w:eastAsia="Arial" w:hAnsi="Arial"/>
                <w:sz w:val="15"/>
                <w:szCs w:val="15"/>
                <w:color w:val="auto"/>
              </w:rPr>
              <w:t>September 15, 2019</w:t>
            </w:r>
          </w:p>
        </w:tc>
        <w:tc>
          <w:tcPr>
            <w:tcW w:w="920" w:type="dxa"/>
            <w:vAlign w:val="bottom"/>
          </w:tcPr>
          <w:p>
            <w:pPr>
              <w:jc w:val="right"/>
              <w:ind w:right="103"/>
              <w:spacing w:after="0"/>
              <w:rPr>
                <w:sz w:val="20"/>
                <w:szCs w:val="20"/>
                <w:color w:val="auto"/>
              </w:rPr>
            </w:pPr>
            <w:r>
              <w:rPr>
                <w:rFonts w:ascii="Arial" w:cs="Arial" w:eastAsia="Arial" w:hAnsi="Arial"/>
                <w:sz w:val="15"/>
                <w:szCs w:val="15"/>
                <w:color w:val="auto"/>
              </w:rPr>
              <w:t>2.0244</w:t>
            </w:r>
          </w:p>
        </w:tc>
        <w:tc>
          <w:tcPr>
            <w:tcW w:w="840" w:type="dxa"/>
            <w:vAlign w:val="bottom"/>
          </w:tcPr>
          <w:p>
            <w:pPr>
              <w:jc w:val="right"/>
              <w:ind w:right="103"/>
              <w:spacing w:after="0"/>
              <w:rPr>
                <w:sz w:val="20"/>
                <w:szCs w:val="20"/>
                <w:color w:val="auto"/>
              </w:rPr>
            </w:pPr>
            <w:r>
              <w:rPr>
                <w:rFonts w:ascii="Arial" w:cs="Arial" w:eastAsia="Arial" w:hAnsi="Arial"/>
                <w:sz w:val="15"/>
                <w:szCs w:val="15"/>
                <w:color w:val="auto"/>
              </w:rPr>
              <w:t>1.6968</w:t>
            </w:r>
          </w:p>
        </w:tc>
        <w:tc>
          <w:tcPr>
            <w:tcW w:w="840" w:type="dxa"/>
            <w:vAlign w:val="bottom"/>
          </w:tcPr>
          <w:p>
            <w:pPr>
              <w:jc w:val="right"/>
              <w:ind w:right="83"/>
              <w:spacing w:after="0"/>
              <w:rPr>
                <w:sz w:val="20"/>
                <w:szCs w:val="20"/>
                <w:color w:val="auto"/>
              </w:rPr>
            </w:pPr>
            <w:r>
              <w:rPr>
                <w:rFonts w:ascii="Arial" w:cs="Arial" w:eastAsia="Arial" w:hAnsi="Arial"/>
                <w:sz w:val="15"/>
                <w:szCs w:val="15"/>
                <w:color w:val="auto"/>
              </w:rPr>
              <w:t>0.8373</w:t>
            </w:r>
          </w:p>
        </w:tc>
        <w:tc>
          <w:tcPr>
            <w:tcW w:w="860" w:type="dxa"/>
            <w:vAlign w:val="bottom"/>
          </w:tcPr>
          <w:p>
            <w:pPr>
              <w:jc w:val="right"/>
              <w:ind w:right="103"/>
              <w:spacing w:after="0"/>
              <w:rPr>
                <w:sz w:val="20"/>
                <w:szCs w:val="20"/>
                <w:color w:val="auto"/>
              </w:rPr>
            </w:pPr>
            <w:r>
              <w:rPr>
                <w:rFonts w:ascii="Arial" w:cs="Arial" w:eastAsia="Arial" w:hAnsi="Arial"/>
                <w:sz w:val="15"/>
                <w:szCs w:val="15"/>
                <w:color w:val="auto"/>
              </w:rPr>
              <w:t>0.6254</w:t>
            </w:r>
          </w:p>
        </w:tc>
        <w:tc>
          <w:tcPr>
            <w:tcW w:w="880" w:type="dxa"/>
            <w:vAlign w:val="bottom"/>
          </w:tcPr>
          <w:p>
            <w:pPr>
              <w:jc w:val="right"/>
              <w:ind w:right="123"/>
              <w:spacing w:after="0"/>
              <w:rPr>
                <w:sz w:val="20"/>
                <w:szCs w:val="20"/>
                <w:color w:val="auto"/>
              </w:rPr>
            </w:pPr>
            <w:r>
              <w:rPr>
                <w:rFonts w:ascii="Arial" w:cs="Arial" w:eastAsia="Arial" w:hAnsi="Arial"/>
                <w:sz w:val="15"/>
                <w:szCs w:val="15"/>
                <w:color w:val="auto"/>
              </w:rPr>
              <w:t>0.3830</w:t>
            </w:r>
          </w:p>
        </w:tc>
        <w:tc>
          <w:tcPr>
            <w:tcW w:w="860" w:type="dxa"/>
            <w:vAlign w:val="bottom"/>
          </w:tcPr>
          <w:p>
            <w:pPr>
              <w:jc w:val="right"/>
              <w:ind w:right="103"/>
              <w:spacing w:after="0"/>
              <w:rPr>
                <w:sz w:val="20"/>
                <w:szCs w:val="20"/>
                <w:color w:val="auto"/>
              </w:rPr>
            </w:pPr>
            <w:r>
              <w:rPr>
                <w:rFonts w:ascii="Arial" w:cs="Arial" w:eastAsia="Arial" w:hAnsi="Arial"/>
                <w:sz w:val="15"/>
                <w:szCs w:val="15"/>
                <w:color w:val="auto"/>
              </w:rPr>
              <w:t>0.2349</w:t>
            </w:r>
          </w:p>
        </w:tc>
        <w:tc>
          <w:tcPr>
            <w:tcW w:w="860" w:type="dxa"/>
            <w:vAlign w:val="bottom"/>
          </w:tcPr>
          <w:p>
            <w:pPr>
              <w:jc w:val="right"/>
              <w:ind w:right="103"/>
              <w:spacing w:after="0"/>
              <w:rPr>
                <w:sz w:val="20"/>
                <w:szCs w:val="20"/>
                <w:color w:val="auto"/>
              </w:rPr>
            </w:pPr>
            <w:r>
              <w:rPr>
                <w:rFonts w:ascii="Arial" w:cs="Arial" w:eastAsia="Arial" w:hAnsi="Arial"/>
                <w:sz w:val="15"/>
                <w:szCs w:val="15"/>
                <w:color w:val="auto"/>
              </w:rPr>
              <w:t>0.1434</w:t>
            </w:r>
          </w:p>
        </w:tc>
        <w:tc>
          <w:tcPr>
            <w:tcW w:w="860" w:type="dxa"/>
            <w:vAlign w:val="bottom"/>
          </w:tcPr>
          <w:p>
            <w:pPr>
              <w:jc w:val="right"/>
              <w:ind w:right="103"/>
              <w:spacing w:after="0"/>
              <w:rPr>
                <w:sz w:val="20"/>
                <w:szCs w:val="20"/>
                <w:color w:val="auto"/>
              </w:rPr>
            </w:pPr>
            <w:r>
              <w:rPr>
                <w:rFonts w:ascii="Arial" w:cs="Arial" w:eastAsia="Arial" w:hAnsi="Arial"/>
                <w:sz w:val="15"/>
                <w:szCs w:val="15"/>
                <w:color w:val="auto"/>
              </w:rPr>
              <w:t>0.0508</w:t>
            </w:r>
          </w:p>
        </w:tc>
        <w:tc>
          <w:tcPr>
            <w:tcW w:w="880" w:type="dxa"/>
            <w:vAlign w:val="bottom"/>
          </w:tcPr>
          <w:p>
            <w:pPr>
              <w:jc w:val="right"/>
              <w:ind w:right="123"/>
              <w:spacing w:after="0"/>
              <w:rPr>
                <w:sz w:val="20"/>
                <w:szCs w:val="20"/>
                <w:color w:val="auto"/>
              </w:rPr>
            </w:pPr>
            <w:r>
              <w:rPr>
                <w:rFonts w:ascii="Arial" w:cs="Arial" w:eastAsia="Arial" w:hAnsi="Arial"/>
                <w:sz w:val="15"/>
                <w:szCs w:val="15"/>
                <w:color w:val="auto"/>
              </w:rPr>
              <w:t>0.0146</w:t>
            </w: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0.0011</w:t>
            </w:r>
          </w:p>
        </w:tc>
        <w:tc>
          <w:tcPr>
            <w:tcW w:w="600" w:type="dxa"/>
            <w:vAlign w:val="bottom"/>
          </w:tcPr>
          <w:p>
            <w:pPr>
              <w:jc w:val="right"/>
              <w:spacing w:after="0"/>
              <w:rPr>
                <w:sz w:val="20"/>
                <w:szCs w:val="20"/>
                <w:color w:val="auto"/>
              </w:rPr>
            </w:pPr>
            <w:r>
              <w:rPr>
                <w:rFonts w:ascii="Arial" w:cs="Arial" w:eastAsia="Arial" w:hAnsi="Arial"/>
                <w:sz w:val="15"/>
                <w:szCs w:val="15"/>
                <w:color w:val="auto"/>
              </w:rPr>
              <w:t>0.0000</w:t>
            </w:r>
          </w:p>
        </w:tc>
        <w:tc>
          <w:tcPr>
            <w:tcW w:w="0" w:type="dxa"/>
            <w:vAlign w:val="bottom"/>
          </w:tcPr>
          <w:p>
            <w:pPr>
              <w:spacing w:after="0"/>
              <w:rPr>
                <w:sz w:val="1"/>
                <w:szCs w:val="1"/>
                <w:color w:val="auto"/>
              </w:rPr>
            </w:pPr>
          </w:p>
        </w:tc>
      </w:tr>
      <w:tr>
        <w:trPr>
          <w:trHeight w:val="324"/>
        </w:trPr>
        <w:tc>
          <w:tcPr>
            <w:tcW w:w="2140" w:type="dxa"/>
            <w:vAlign w:val="bottom"/>
          </w:tcPr>
          <w:p>
            <w:pPr>
              <w:ind w:left="40"/>
              <w:spacing w:after="0"/>
              <w:rPr>
                <w:sz w:val="20"/>
                <w:szCs w:val="20"/>
                <w:color w:val="auto"/>
              </w:rPr>
            </w:pPr>
            <w:r>
              <w:rPr>
                <w:rFonts w:ascii="Arial" w:cs="Arial" w:eastAsia="Arial" w:hAnsi="Arial"/>
                <w:sz w:val="15"/>
                <w:szCs w:val="15"/>
                <w:color w:val="auto"/>
              </w:rPr>
              <w:t>September 15, 2020</w:t>
            </w:r>
          </w:p>
        </w:tc>
        <w:tc>
          <w:tcPr>
            <w:tcW w:w="920" w:type="dxa"/>
            <w:vAlign w:val="bottom"/>
          </w:tcPr>
          <w:p>
            <w:pPr>
              <w:jc w:val="right"/>
              <w:ind w:right="103"/>
              <w:spacing w:after="0"/>
              <w:rPr>
                <w:sz w:val="20"/>
                <w:szCs w:val="20"/>
                <w:color w:val="auto"/>
              </w:rPr>
            </w:pPr>
            <w:r>
              <w:rPr>
                <w:rFonts w:ascii="Arial" w:cs="Arial" w:eastAsia="Arial" w:hAnsi="Arial"/>
                <w:sz w:val="15"/>
                <w:szCs w:val="15"/>
                <w:color w:val="auto"/>
              </w:rPr>
              <w:t>2.0244</w:t>
            </w:r>
          </w:p>
        </w:tc>
        <w:tc>
          <w:tcPr>
            <w:tcW w:w="840" w:type="dxa"/>
            <w:vAlign w:val="bottom"/>
          </w:tcPr>
          <w:p>
            <w:pPr>
              <w:jc w:val="right"/>
              <w:ind w:right="103"/>
              <w:spacing w:after="0"/>
              <w:rPr>
                <w:sz w:val="20"/>
                <w:szCs w:val="20"/>
                <w:color w:val="auto"/>
              </w:rPr>
            </w:pPr>
            <w:r>
              <w:rPr>
                <w:rFonts w:ascii="Arial" w:cs="Arial" w:eastAsia="Arial" w:hAnsi="Arial"/>
                <w:sz w:val="15"/>
                <w:szCs w:val="15"/>
                <w:color w:val="auto"/>
              </w:rPr>
              <w:t>1.6393</w:t>
            </w:r>
          </w:p>
        </w:tc>
        <w:tc>
          <w:tcPr>
            <w:tcW w:w="840" w:type="dxa"/>
            <w:vAlign w:val="bottom"/>
          </w:tcPr>
          <w:p>
            <w:pPr>
              <w:jc w:val="right"/>
              <w:ind w:right="83"/>
              <w:spacing w:after="0"/>
              <w:rPr>
                <w:sz w:val="20"/>
                <w:szCs w:val="20"/>
                <w:color w:val="auto"/>
              </w:rPr>
            </w:pPr>
            <w:r>
              <w:rPr>
                <w:rFonts w:ascii="Arial" w:cs="Arial" w:eastAsia="Arial" w:hAnsi="Arial"/>
                <w:sz w:val="15"/>
                <w:szCs w:val="15"/>
                <w:color w:val="auto"/>
              </w:rPr>
              <w:t>0.7316</w:t>
            </w:r>
          </w:p>
        </w:tc>
        <w:tc>
          <w:tcPr>
            <w:tcW w:w="860" w:type="dxa"/>
            <w:vAlign w:val="bottom"/>
          </w:tcPr>
          <w:p>
            <w:pPr>
              <w:jc w:val="right"/>
              <w:ind w:right="103"/>
              <w:spacing w:after="0"/>
              <w:rPr>
                <w:sz w:val="20"/>
                <w:szCs w:val="20"/>
                <w:color w:val="auto"/>
              </w:rPr>
            </w:pPr>
            <w:r>
              <w:rPr>
                <w:rFonts w:ascii="Arial" w:cs="Arial" w:eastAsia="Arial" w:hAnsi="Arial"/>
                <w:sz w:val="15"/>
                <w:szCs w:val="15"/>
                <w:color w:val="auto"/>
              </w:rPr>
              <w:t>0.5192</w:t>
            </w:r>
          </w:p>
        </w:tc>
        <w:tc>
          <w:tcPr>
            <w:tcW w:w="880" w:type="dxa"/>
            <w:vAlign w:val="bottom"/>
          </w:tcPr>
          <w:p>
            <w:pPr>
              <w:jc w:val="right"/>
              <w:ind w:right="123"/>
              <w:spacing w:after="0"/>
              <w:rPr>
                <w:sz w:val="20"/>
                <w:szCs w:val="20"/>
                <w:color w:val="auto"/>
              </w:rPr>
            </w:pPr>
            <w:r>
              <w:rPr>
                <w:rFonts w:ascii="Arial" w:cs="Arial" w:eastAsia="Arial" w:hAnsi="Arial"/>
                <w:sz w:val="15"/>
                <w:szCs w:val="15"/>
                <w:color w:val="auto"/>
              </w:rPr>
              <w:t>0.2887</w:t>
            </w:r>
          </w:p>
        </w:tc>
        <w:tc>
          <w:tcPr>
            <w:tcW w:w="860" w:type="dxa"/>
            <w:vAlign w:val="bottom"/>
          </w:tcPr>
          <w:p>
            <w:pPr>
              <w:jc w:val="right"/>
              <w:ind w:right="103"/>
              <w:spacing w:after="0"/>
              <w:rPr>
                <w:sz w:val="20"/>
                <w:szCs w:val="20"/>
                <w:color w:val="auto"/>
              </w:rPr>
            </w:pPr>
            <w:r>
              <w:rPr>
                <w:rFonts w:ascii="Arial" w:cs="Arial" w:eastAsia="Arial" w:hAnsi="Arial"/>
                <w:sz w:val="15"/>
                <w:szCs w:val="15"/>
                <w:color w:val="auto"/>
              </w:rPr>
              <w:t>0.1589</w:t>
            </w:r>
          </w:p>
        </w:tc>
        <w:tc>
          <w:tcPr>
            <w:tcW w:w="860" w:type="dxa"/>
            <w:vAlign w:val="bottom"/>
          </w:tcPr>
          <w:p>
            <w:pPr>
              <w:jc w:val="right"/>
              <w:ind w:right="103"/>
              <w:spacing w:after="0"/>
              <w:rPr>
                <w:sz w:val="20"/>
                <w:szCs w:val="20"/>
                <w:color w:val="auto"/>
              </w:rPr>
            </w:pPr>
            <w:r>
              <w:rPr>
                <w:rFonts w:ascii="Arial" w:cs="Arial" w:eastAsia="Arial" w:hAnsi="Arial"/>
                <w:sz w:val="15"/>
                <w:szCs w:val="15"/>
                <w:color w:val="auto"/>
              </w:rPr>
              <w:t>0.0859</w:t>
            </w:r>
          </w:p>
        </w:tc>
        <w:tc>
          <w:tcPr>
            <w:tcW w:w="860" w:type="dxa"/>
            <w:vAlign w:val="bottom"/>
          </w:tcPr>
          <w:p>
            <w:pPr>
              <w:jc w:val="right"/>
              <w:ind w:right="103"/>
              <w:spacing w:after="0"/>
              <w:rPr>
                <w:sz w:val="20"/>
                <w:szCs w:val="20"/>
                <w:color w:val="auto"/>
              </w:rPr>
            </w:pPr>
            <w:r>
              <w:rPr>
                <w:rFonts w:ascii="Arial" w:cs="Arial" w:eastAsia="Arial" w:hAnsi="Arial"/>
                <w:sz w:val="15"/>
                <w:szCs w:val="15"/>
                <w:color w:val="auto"/>
              </w:rPr>
              <w:t>0.0220</w:t>
            </w:r>
          </w:p>
        </w:tc>
        <w:tc>
          <w:tcPr>
            <w:tcW w:w="880" w:type="dxa"/>
            <w:vAlign w:val="bottom"/>
          </w:tcPr>
          <w:p>
            <w:pPr>
              <w:jc w:val="right"/>
              <w:ind w:right="123"/>
              <w:spacing w:after="0"/>
              <w:rPr>
                <w:sz w:val="20"/>
                <w:szCs w:val="20"/>
                <w:color w:val="auto"/>
              </w:rPr>
            </w:pPr>
            <w:r>
              <w:rPr>
                <w:rFonts w:ascii="Arial" w:cs="Arial" w:eastAsia="Arial" w:hAnsi="Arial"/>
                <w:sz w:val="15"/>
                <w:szCs w:val="15"/>
                <w:color w:val="auto"/>
              </w:rPr>
              <w:t>0.0023</w:t>
            </w: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0.0000</w:t>
            </w:r>
          </w:p>
        </w:tc>
        <w:tc>
          <w:tcPr>
            <w:tcW w:w="600" w:type="dxa"/>
            <w:vAlign w:val="bottom"/>
          </w:tcPr>
          <w:p>
            <w:pPr>
              <w:jc w:val="right"/>
              <w:spacing w:after="0"/>
              <w:rPr>
                <w:sz w:val="20"/>
                <w:szCs w:val="20"/>
                <w:color w:val="auto"/>
              </w:rPr>
            </w:pPr>
            <w:r>
              <w:rPr>
                <w:rFonts w:ascii="Arial" w:cs="Arial" w:eastAsia="Arial" w:hAnsi="Arial"/>
                <w:sz w:val="15"/>
                <w:szCs w:val="15"/>
                <w:color w:val="auto"/>
              </w:rPr>
              <w:t>0.0000</w:t>
            </w:r>
          </w:p>
        </w:tc>
        <w:tc>
          <w:tcPr>
            <w:tcW w:w="0" w:type="dxa"/>
            <w:vAlign w:val="bottom"/>
          </w:tcPr>
          <w:p>
            <w:pPr>
              <w:spacing w:after="0"/>
              <w:rPr>
                <w:sz w:val="1"/>
                <w:szCs w:val="1"/>
                <w:color w:val="auto"/>
              </w:rPr>
            </w:pPr>
          </w:p>
        </w:tc>
      </w:tr>
      <w:tr>
        <w:trPr>
          <w:trHeight w:val="324"/>
        </w:trPr>
        <w:tc>
          <w:tcPr>
            <w:tcW w:w="2140" w:type="dxa"/>
            <w:vAlign w:val="bottom"/>
          </w:tcPr>
          <w:p>
            <w:pPr>
              <w:ind w:left="40"/>
              <w:spacing w:after="0"/>
              <w:rPr>
                <w:sz w:val="20"/>
                <w:szCs w:val="20"/>
                <w:color w:val="auto"/>
              </w:rPr>
            </w:pPr>
            <w:r>
              <w:rPr>
                <w:rFonts w:ascii="Arial" w:cs="Arial" w:eastAsia="Arial" w:hAnsi="Arial"/>
                <w:sz w:val="15"/>
                <w:szCs w:val="15"/>
                <w:color w:val="auto"/>
              </w:rPr>
              <w:t>September 15, 2021</w:t>
            </w:r>
          </w:p>
        </w:tc>
        <w:tc>
          <w:tcPr>
            <w:tcW w:w="920" w:type="dxa"/>
            <w:vAlign w:val="bottom"/>
          </w:tcPr>
          <w:p>
            <w:pPr>
              <w:jc w:val="right"/>
              <w:ind w:right="103"/>
              <w:spacing w:after="0"/>
              <w:rPr>
                <w:sz w:val="20"/>
                <w:szCs w:val="20"/>
                <w:color w:val="auto"/>
              </w:rPr>
            </w:pPr>
            <w:r>
              <w:rPr>
                <w:rFonts w:ascii="Arial" w:cs="Arial" w:eastAsia="Arial" w:hAnsi="Arial"/>
                <w:sz w:val="15"/>
                <w:szCs w:val="15"/>
                <w:color w:val="auto"/>
              </w:rPr>
              <w:t>2.0244</w:t>
            </w:r>
          </w:p>
        </w:tc>
        <w:tc>
          <w:tcPr>
            <w:tcW w:w="840" w:type="dxa"/>
            <w:vAlign w:val="bottom"/>
          </w:tcPr>
          <w:p>
            <w:pPr>
              <w:jc w:val="right"/>
              <w:ind w:right="103"/>
              <w:spacing w:after="0"/>
              <w:rPr>
                <w:sz w:val="20"/>
                <w:szCs w:val="20"/>
                <w:color w:val="auto"/>
              </w:rPr>
            </w:pPr>
            <w:r>
              <w:rPr>
                <w:rFonts w:ascii="Arial" w:cs="Arial" w:eastAsia="Arial" w:hAnsi="Arial"/>
                <w:sz w:val="15"/>
                <w:szCs w:val="15"/>
                <w:color w:val="auto"/>
              </w:rPr>
              <w:t>1.5851</w:t>
            </w:r>
          </w:p>
        </w:tc>
        <w:tc>
          <w:tcPr>
            <w:tcW w:w="840" w:type="dxa"/>
            <w:vAlign w:val="bottom"/>
          </w:tcPr>
          <w:p>
            <w:pPr>
              <w:jc w:val="right"/>
              <w:ind w:right="83"/>
              <w:spacing w:after="0"/>
              <w:rPr>
                <w:sz w:val="20"/>
                <w:szCs w:val="20"/>
                <w:color w:val="auto"/>
              </w:rPr>
            </w:pPr>
            <w:r>
              <w:rPr>
                <w:rFonts w:ascii="Arial" w:cs="Arial" w:eastAsia="Arial" w:hAnsi="Arial"/>
                <w:sz w:val="15"/>
                <w:szCs w:val="15"/>
                <w:color w:val="auto"/>
              </w:rPr>
              <w:t>0.5738</w:t>
            </w:r>
          </w:p>
        </w:tc>
        <w:tc>
          <w:tcPr>
            <w:tcW w:w="860" w:type="dxa"/>
            <w:vAlign w:val="bottom"/>
          </w:tcPr>
          <w:p>
            <w:pPr>
              <w:jc w:val="right"/>
              <w:ind w:right="103"/>
              <w:spacing w:after="0"/>
              <w:rPr>
                <w:sz w:val="20"/>
                <w:szCs w:val="20"/>
                <w:color w:val="auto"/>
              </w:rPr>
            </w:pPr>
            <w:r>
              <w:rPr>
                <w:rFonts w:ascii="Arial" w:cs="Arial" w:eastAsia="Arial" w:hAnsi="Arial"/>
                <w:sz w:val="15"/>
                <w:szCs w:val="15"/>
                <w:color w:val="auto"/>
              </w:rPr>
              <w:t>0.3619</w:t>
            </w:r>
          </w:p>
        </w:tc>
        <w:tc>
          <w:tcPr>
            <w:tcW w:w="880" w:type="dxa"/>
            <w:vAlign w:val="bottom"/>
          </w:tcPr>
          <w:p>
            <w:pPr>
              <w:jc w:val="right"/>
              <w:ind w:right="123"/>
              <w:spacing w:after="0"/>
              <w:rPr>
                <w:sz w:val="20"/>
                <w:szCs w:val="20"/>
                <w:color w:val="auto"/>
              </w:rPr>
            </w:pPr>
            <w:r>
              <w:rPr>
                <w:rFonts w:ascii="Arial" w:cs="Arial" w:eastAsia="Arial" w:hAnsi="Arial"/>
                <w:sz w:val="15"/>
                <w:szCs w:val="15"/>
                <w:color w:val="auto"/>
              </w:rPr>
              <w:t>0.1589</w:t>
            </w:r>
          </w:p>
        </w:tc>
        <w:tc>
          <w:tcPr>
            <w:tcW w:w="860" w:type="dxa"/>
            <w:vAlign w:val="bottom"/>
          </w:tcPr>
          <w:p>
            <w:pPr>
              <w:jc w:val="right"/>
              <w:ind w:right="103"/>
              <w:spacing w:after="0"/>
              <w:rPr>
                <w:sz w:val="20"/>
                <w:szCs w:val="20"/>
                <w:color w:val="auto"/>
              </w:rPr>
            </w:pPr>
            <w:r>
              <w:rPr>
                <w:rFonts w:ascii="Arial" w:cs="Arial" w:eastAsia="Arial" w:hAnsi="Arial"/>
                <w:sz w:val="15"/>
                <w:szCs w:val="15"/>
                <w:color w:val="auto"/>
              </w:rPr>
              <w:t>0.0662</w:t>
            </w:r>
          </w:p>
        </w:tc>
        <w:tc>
          <w:tcPr>
            <w:tcW w:w="860" w:type="dxa"/>
            <w:vAlign w:val="bottom"/>
          </w:tcPr>
          <w:p>
            <w:pPr>
              <w:jc w:val="right"/>
              <w:ind w:right="103"/>
              <w:spacing w:after="0"/>
              <w:rPr>
                <w:sz w:val="20"/>
                <w:szCs w:val="20"/>
                <w:color w:val="auto"/>
              </w:rPr>
            </w:pPr>
            <w:r>
              <w:rPr>
                <w:rFonts w:ascii="Arial" w:cs="Arial" w:eastAsia="Arial" w:hAnsi="Arial"/>
                <w:sz w:val="15"/>
                <w:szCs w:val="15"/>
                <w:color w:val="auto"/>
              </w:rPr>
              <w:t>0.0256</w:t>
            </w:r>
          </w:p>
        </w:tc>
        <w:tc>
          <w:tcPr>
            <w:tcW w:w="860" w:type="dxa"/>
            <w:vAlign w:val="bottom"/>
          </w:tcPr>
          <w:p>
            <w:pPr>
              <w:jc w:val="right"/>
              <w:ind w:right="103"/>
              <w:spacing w:after="0"/>
              <w:rPr>
                <w:sz w:val="20"/>
                <w:szCs w:val="20"/>
                <w:color w:val="auto"/>
              </w:rPr>
            </w:pPr>
            <w:r>
              <w:rPr>
                <w:rFonts w:ascii="Arial" w:cs="Arial" w:eastAsia="Arial" w:hAnsi="Arial"/>
                <w:sz w:val="15"/>
                <w:szCs w:val="15"/>
                <w:color w:val="auto"/>
              </w:rPr>
              <w:t>0.0011</w:t>
            </w:r>
          </w:p>
        </w:tc>
        <w:tc>
          <w:tcPr>
            <w:tcW w:w="880" w:type="dxa"/>
            <w:vAlign w:val="bottom"/>
          </w:tcPr>
          <w:p>
            <w:pPr>
              <w:jc w:val="right"/>
              <w:ind w:right="123"/>
              <w:spacing w:after="0"/>
              <w:rPr>
                <w:sz w:val="20"/>
                <w:szCs w:val="20"/>
                <w:color w:val="auto"/>
              </w:rPr>
            </w:pPr>
            <w:r>
              <w:rPr>
                <w:rFonts w:ascii="Arial" w:cs="Arial" w:eastAsia="Arial" w:hAnsi="Arial"/>
                <w:sz w:val="15"/>
                <w:szCs w:val="15"/>
                <w:color w:val="auto"/>
              </w:rPr>
              <w:t>0.0000</w:t>
            </w: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0.0000</w:t>
            </w:r>
          </w:p>
        </w:tc>
        <w:tc>
          <w:tcPr>
            <w:tcW w:w="600" w:type="dxa"/>
            <w:vAlign w:val="bottom"/>
          </w:tcPr>
          <w:p>
            <w:pPr>
              <w:jc w:val="right"/>
              <w:spacing w:after="0"/>
              <w:rPr>
                <w:sz w:val="20"/>
                <w:szCs w:val="20"/>
                <w:color w:val="auto"/>
              </w:rPr>
            </w:pPr>
            <w:r>
              <w:rPr>
                <w:rFonts w:ascii="Arial" w:cs="Arial" w:eastAsia="Arial" w:hAnsi="Arial"/>
                <w:sz w:val="15"/>
                <w:szCs w:val="15"/>
                <w:color w:val="auto"/>
              </w:rPr>
              <w:t>0.0000</w:t>
            </w:r>
          </w:p>
        </w:tc>
        <w:tc>
          <w:tcPr>
            <w:tcW w:w="0" w:type="dxa"/>
            <w:vAlign w:val="bottom"/>
          </w:tcPr>
          <w:p>
            <w:pPr>
              <w:spacing w:after="0"/>
              <w:rPr>
                <w:sz w:val="1"/>
                <w:szCs w:val="1"/>
                <w:color w:val="auto"/>
              </w:rPr>
            </w:pPr>
          </w:p>
        </w:tc>
      </w:tr>
      <w:tr>
        <w:trPr>
          <w:trHeight w:val="324"/>
        </w:trPr>
        <w:tc>
          <w:tcPr>
            <w:tcW w:w="2140" w:type="dxa"/>
            <w:vAlign w:val="bottom"/>
          </w:tcPr>
          <w:p>
            <w:pPr>
              <w:ind w:left="40"/>
              <w:spacing w:after="0"/>
              <w:rPr>
                <w:sz w:val="20"/>
                <w:szCs w:val="20"/>
                <w:color w:val="auto"/>
              </w:rPr>
            </w:pPr>
            <w:r>
              <w:rPr>
                <w:rFonts w:ascii="Arial" w:cs="Arial" w:eastAsia="Arial" w:hAnsi="Arial"/>
                <w:sz w:val="15"/>
                <w:szCs w:val="15"/>
                <w:color w:val="auto"/>
              </w:rPr>
              <w:t>September 15, 2022</w:t>
            </w:r>
          </w:p>
        </w:tc>
        <w:tc>
          <w:tcPr>
            <w:tcW w:w="920" w:type="dxa"/>
            <w:vAlign w:val="bottom"/>
          </w:tcPr>
          <w:p>
            <w:pPr>
              <w:jc w:val="right"/>
              <w:ind w:right="103"/>
              <w:spacing w:after="0"/>
              <w:rPr>
                <w:sz w:val="20"/>
                <w:szCs w:val="20"/>
                <w:color w:val="auto"/>
              </w:rPr>
            </w:pPr>
            <w:r>
              <w:rPr>
                <w:rFonts w:ascii="Arial" w:cs="Arial" w:eastAsia="Arial" w:hAnsi="Arial"/>
                <w:sz w:val="15"/>
                <w:szCs w:val="15"/>
                <w:color w:val="auto"/>
              </w:rPr>
              <w:t>2.0244</w:t>
            </w:r>
          </w:p>
        </w:tc>
        <w:tc>
          <w:tcPr>
            <w:tcW w:w="840" w:type="dxa"/>
            <w:vAlign w:val="bottom"/>
          </w:tcPr>
          <w:p>
            <w:pPr>
              <w:jc w:val="right"/>
              <w:ind w:right="103"/>
              <w:spacing w:after="0"/>
              <w:rPr>
                <w:sz w:val="20"/>
                <w:szCs w:val="20"/>
                <w:color w:val="auto"/>
              </w:rPr>
            </w:pPr>
            <w:r>
              <w:rPr>
                <w:rFonts w:ascii="Arial" w:cs="Arial" w:eastAsia="Arial" w:hAnsi="Arial"/>
                <w:sz w:val="15"/>
                <w:szCs w:val="15"/>
                <w:color w:val="auto"/>
              </w:rPr>
              <w:t>1.5851</w:t>
            </w:r>
          </w:p>
        </w:tc>
        <w:tc>
          <w:tcPr>
            <w:tcW w:w="840" w:type="dxa"/>
            <w:vAlign w:val="bottom"/>
          </w:tcPr>
          <w:p>
            <w:pPr>
              <w:jc w:val="right"/>
              <w:ind w:right="83"/>
              <w:spacing w:after="0"/>
              <w:rPr>
                <w:sz w:val="20"/>
                <w:szCs w:val="20"/>
                <w:color w:val="auto"/>
              </w:rPr>
            </w:pPr>
            <w:r>
              <w:rPr>
                <w:rFonts w:ascii="Arial" w:cs="Arial" w:eastAsia="Arial" w:hAnsi="Arial"/>
                <w:sz w:val="15"/>
                <w:szCs w:val="15"/>
                <w:color w:val="auto"/>
              </w:rPr>
              <w:t>0.0000</w:t>
            </w:r>
          </w:p>
        </w:tc>
        <w:tc>
          <w:tcPr>
            <w:tcW w:w="860" w:type="dxa"/>
            <w:vAlign w:val="bottom"/>
          </w:tcPr>
          <w:p>
            <w:pPr>
              <w:jc w:val="right"/>
              <w:ind w:right="103"/>
              <w:spacing w:after="0"/>
              <w:rPr>
                <w:sz w:val="20"/>
                <w:szCs w:val="20"/>
                <w:color w:val="auto"/>
              </w:rPr>
            </w:pPr>
            <w:r>
              <w:rPr>
                <w:rFonts w:ascii="Arial" w:cs="Arial" w:eastAsia="Arial" w:hAnsi="Arial"/>
                <w:sz w:val="15"/>
                <w:szCs w:val="15"/>
                <w:color w:val="auto"/>
              </w:rPr>
              <w:t>0.0000</w:t>
            </w:r>
          </w:p>
        </w:tc>
        <w:tc>
          <w:tcPr>
            <w:tcW w:w="880" w:type="dxa"/>
            <w:vAlign w:val="bottom"/>
          </w:tcPr>
          <w:p>
            <w:pPr>
              <w:jc w:val="right"/>
              <w:ind w:right="123"/>
              <w:spacing w:after="0"/>
              <w:rPr>
                <w:sz w:val="20"/>
                <w:szCs w:val="20"/>
                <w:color w:val="auto"/>
              </w:rPr>
            </w:pPr>
            <w:r>
              <w:rPr>
                <w:rFonts w:ascii="Arial" w:cs="Arial" w:eastAsia="Arial" w:hAnsi="Arial"/>
                <w:sz w:val="15"/>
                <w:szCs w:val="15"/>
                <w:color w:val="auto"/>
              </w:rPr>
              <w:t>0.0000</w:t>
            </w:r>
          </w:p>
        </w:tc>
        <w:tc>
          <w:tcPr>
            <w:tcW w:w="860" w:type="dxa"/>
            <w:vAlign w:val="bottom"/>
          </w:tcPr>
          <w:p>
            <w:pPr>
              <w:jc w:val="right"/>
              <w:ind w:right="103"/>
              <w:spacing w:after="0"/>
              <w:rPr>
                <w:sz w:val="20"/>
                <w:szCs w:val="20"/>
                <w:color w:val="auto"/>
              </w:rPr>
            </w:pPr>
            <w:r>
              <w:rPr>
                <w:rFonts w:ascii="Arial" w:cs="Arial" w:eastAsia="Arial" w:hAnsi="Arial"/>
                <w:sz w:val="15"/>
                <w:szCs w:val="15"/>
                <w:color w:val="auto"/>
              </w:rPr>
              <w:t>0.0000</w:t>
            </w:r>
          </w:p>
        </w:tc>
        <w:tc>
          <w:tcPr>
            <w:tcW w:w="860" w:type="dxa"/>
            <w:vAlign w:val="bottom"/>
          </w:tcPr>
          <w:p>
            <w:pPr>
              <w:jc w:val="right"/>
              <w:ind w:right="103"/>
              <w:spacing w:after="0"/>
              <w:rPr>
                <w:sz w:val="20"/>
                <w:szCs w:val="20"/>
                <w:color w:val="auto"/>
              </w:rPr>
            </w:pPr>
            <w:r>
              <w:rPr>
                <w:rFonts w:ascii="Arial" w:cs="Arial" w:eastAsia="Arial" w:hAnsi="Arial"/>
                <w:sz w:val="15"/>
                <w:szCs w:val="15"/>
                <w:color w:val="auto"/>
              </w:rPr>
              <w:t>0.0000</w:t>
            </w:r>
          </w:p>
        </w:tc>
        <w:tc>
          <w:tcPr>
            <w:tcW w:w="860" w:type="dxa"/>
            <w:vAlign w:val="bottom"/>
          </w:tcPr>
          <w:p>
            <w:pPr>
              <w:jc w:val="right"/>
              <w:ind w:right="103"/>
              <w:spacing w:after="0"/>
              <w:rPr>
                <w:sz w:val="20"/>
                <w:szCs w:val="20"/>
                <w:color w:val="auto"/>
              </w:rPr>
            </w:pPr>
            <w:r>
              <w:rPr>
                <w:rFonts w:ascii="Arial" w:cs="Arial" w:eastAsia="Arial" w:hAnsi="Arial"/>
                <w:sz w:val="15"/>
                <w:szCs w:val="15"/>
                <w:color w:val="auto"/>
              </w:rPr>
              <w:t>0.0000</w:t>
            </w:r>
          </w:p>
        </w:tc>
        <w:tc>
          <w:tcPr>
            <w:tcW w:w="880" w:type="dxa"/>
            <w:vAlign w:val="bottom"/>
          </w:tcPr>
          <w:p>
            <w:pPr>
              <w:jc w:val="right"/>
              <w:ind w:right="123"/>
              <w:spacing w:after="0"/>
              <w:rPr>
                <w:sz w:val="20"/>
                <w:szCs w:val="20"/>
                <w:color w:val="auto"/>
              </w:rPr>
            </w:pPr>
            <w:r>
              <w:rPr>
                <w:rFonts w:ascii="Arial" w:cs="Arial" w:eastAsia="Arial" w:hAnsi="Arial"/>
                <w:sz w:val="15"/>
                <w:szCs w:val="15"/>
                <w:color w:val="auto"/>
              </w:rPr>
              <w:t>0.0000</w:t>
            </w: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0.0000</w:t>
            </w:r>
          </w:p>
        </w:tc>
        <w:tc>
          <w:tcPr>
            <w:tcW w:w="600" w:type="dxa"/>
            <w:vAlign w:val="bottom"/>
          </w:tcPr>
          <w:p>
            <w:pPr>
              <w:jc w:val="right"/>
              <w:spacing w:after="0"/>
              <w:rPr>
                <w:sz w:val="20"/>
                <w:szCs w:val="20"/>
                <w:color w:val="auto"/>
              </w:rPr>
            </w:pPr>
            <w:r>
              <w:rPr>
                <w:rFonts w:ascii="Arial" w:cs="Arial" w:eastAsia="Arial" w:hAnsi="Arial"/>
                <w:sz w:val="15"/>
                <w:szCs w:val="15"/>
                <w:color w:val="auto"/>
              </w:rPr>
              <w:t>0.0000</w:t>
            </w:r>
          </w:p>
        </w:tc>
        <w:tc>
          <w:tcPr>
            <w:tcW w:w="0" w:type="dxa"/>
            <w:vAlign w:val="bottom"/>
          </w:tcPr>
          <w:p>
            <w:pPr>
              <w:spacing w:after="0"/>
              <w:rPr>
                <w:sz w:val="1"/>
                <w:szCs w:val="1"/>
                <w:color w:val="auto"/>
              </w:rPr>
            </w:pPr>
          </w:p>
        </w:tc>
      </w:tr>
      <w:tr>
        <w:trPr>
          <w:trHeight w:val="116"/>
        </w:trPr>
        <w:tc>
          <w:tcPr>
            <w:tcW w:w="2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exact Stock Price and/or Effective Date may not be set forth in the table above, in which case:</w:t>
      </w:r>
    </w:p>
    <w:p>
      <w:pPr>
        <w:spacing w:after="0" w:line="166" w:lineRule="exact"/>
        <w:rPr>
          <w:sz w:val="20"/>
          <w:szCs w:val="20"/>
          <w:color w:val="auto"/>
        </w:rPr>
      </w:pPr>
    </w:p>
    <w:p>
      <w:pPr>
        <w:ind w:left="500" w:right="140" w:firstLine="805"/>
        <w:spacing w:after="0" w:line="270" w:lineRule="auto"/>
        <w:tabs>
          <w:tab w:leader="none" w:pos="1694" w:val="left"/>
        </w:tabs>
        <w:numPr>
          <w:ilvl w:val="0"/>
          <w:numId w:val="118"/>
        </w:numPr>
        <w:rPr>
          <w:rFonts w:ascii="Arial" w:cs="Arial" w:eastAsia="Arial" w:hAnsi="Arial"/>
          <w:sz w:val="21"/>
          <w:szCs w:val="21"/>
          <w:color w:val="auto"/>
        </w:rPr>
      </w:pPr>
      <w:r>
        <w:rPr>
          <w:rFonts w:ascii="Arial" w:cs="Arial" w:eastAsia="Arial" w:hAnsi="Arial"/>
          <w:sz w:val="21"/>
          <w:szCs w:val="21"/>
          <w:color w:val="auto"/>
        </w:rPr>
        <w:t>if the Stock Price is between two Stock Prices in the table or the Effective Date is between two Effective Dates in the table, the number of Additional Shares by which the Conversion Rate shall be increased shall be determined by a straight-line interpolation between the number of Additional Shares set forth for the higher and lower Stock Prices and the earlier and later Effective Dates based on a 365-day year, as applicable;</w:t>
      </w:r>
    </w:p>
    <w:p>
      <w:pPr>
        <w:spacing w:after="0" w:line="115" w:lineRule="exact"/>
        <w:rPr>
          <w:rFonts w:ascii="Arial" w:cs="Arial" w:eastAsia="Arial" w:hAnsi="Arial"/>
          <w:sz w:val="21"/>
          <w:szCs w:val="21"/>
          <w:color w:val="auto"/>
        </w:rPr>
      </w:pPr>
    </w:p>
    <w:p>
      <w:pPr>
        <w:ind w:left="500" w:right="180" w:firstLine="805"/>
        <w:spacing w:after="0" w:line="358" w:lineRule="auto"/>
        <w:tabs>
          <w:tab w:leader="none" w:pos="1754" w:val="left"/>
        </w:tabs>
        <w:numPr>
          <w:ilvl w:val="0"/>
          <w:numId w:val="118"/>
        </w:numPr>
        <w:rPr>
          <w:rFonts w:ascii="Arial" w:cs="Arial" w:eastAsia="Arial" w:hAnsi="Arial"/>
          <w:sz w:val="19"/>
          <w:szCs w:val="19"/>
          <w:color w:val="auto"/>
        </w:rPr>
      </w:pPr>
      <w:r>
        <w:rPr>
          <w:rFonts w:ascii="Arial" w:cs="Arial" w:eastAsia="Arial" w:hAnsi="Arial"/>
          <w:sz w:val="19"/>
          <w:szCs w:val="19"/>
          <w:color w:val="auto"/>
        </w:rPr>
        <w:t>if the Stock Price is greater than $380.00 per share (subject to adjustment in the same manner as the Stock Prices set forth in the column headings of the table above), no Additional Shares shall be added to the Conversion Rate; and</w:t>
      </w:r>
    </w:p>
    <w:p>
      <w:pPr>
        <w:spacing w:after="0" w:line="36" w:lineRule="exact"/>
        <w:rPr>
          <w:rFonts w:ascii="Arial" w:cs="Arial" w:eastAsia="Arial" w:hAnsi="Arial"/>
          <w:sz w:val="19"/>
          <w:szCs w:val="19"/>
          <w:color w:val="auto"/>
        </w:rPr>
      </w:pPr>
    </w:p>
    <w:p>
      <w:pPr>
        <w:ind w:left="500" w:right="120" w:firstLine="805"/>
        <w:spacing w:after="0" w:line="358" w:lineRule="auto"/>
        <w:tabs>
          <w:tab w:leader="none" w:pos="1814" w:val="left"/>
        </w:tabs>
        <w:numPr>
          <w:ilvl w:val="0"/>
          <w:numId w:val="118"/>
        </w:numPr>
        <w:rPr>
          <w:rFonts w:ascii="Arial" w:cs="Arial" w:eastAsia="Arial" w:hAnsi="Arial"/>
          <w:sz w:val="19"/>
          <w:szCs w:val="19"/>
          <w:color w:val="auto"/>
        </w:rPr>
      </w:pPr>
      <w:r>
        <w:rPr>
          <w:rFonts w:ascii="Arial" w:cs="Arial" w:eastAsia="Arial" w:hAnsi="Arial"/>
          <w:sz w:val="19"/>
          <w:szCs w:val="19"/>
          <w:color w:val="auto"/>
        </w:rPr>
        <w:t>if the Stock Price is less than $113.99 per share (subject to adjustment in the same manner as the Stock Prices set forth in the column headings of the table above), no Additional Shares shall be added to the Conversion Rate.</w:t>
      </w:r>
    </w:p>
    <w:p>
      <w:pPr>
        <w:spacing w:after="0" w:line="37" w:lineRule="exact"/>
        <w:rPr>
          <w:sz w:val="20"/>
          <w:szCs w:val="20"/>
          <w:color w:val="auto"/>
        </w:rPr>
      </w:pPr>
    </w:p>
    <w:p>
      <w:pPr>
        <w:ind w:right="300" w:firstLine="486"/>
        <w:spacing w:after="0" w:line="343" w:lineRule="auto"/>
        <w:rPr>
          <w:sz w:val="20"/>
          <w:szCs w:val="20"/>
          <w:color w:val="auto"/>
        </w:rPr>
      </w:pPr>
      <w:r>
        <w:rPr>
          <w:rFonts w:ascii="Arial" w:cs="Arial" w:eastAsia="Arial" w:hAnsi="Arial"/>
          <w:sz w:val="19"/>
          <w:szCs w:val="19"/>
          <w:color w:val="auto"/>
        </w:rPr>
        <w:t>Notwithstanding the foregoing, in no event shall the Conversion Rate per $1,000 principal amount of Notes exceed 8.7726 shares of Common Stock, subject to adjustment in the same manner as the Conversion Rate pursuant to Section 14.04.</w:t>
      </w:r>
    </w:p>
    <w:p>
      <w:pPr>
        <w:spacing w:after="0" w:line="51" w:lineRule="exact"/>
        <w:rPr>
          <w:sz w:val="20"/>
          <w:szCs w:val="20"/>
          <w:color w:val="auto"/>
        </w:rPr>
      </w:pPr>
    </w:p>
    <w:p>
      <w:pPr>
        <w:ind w:left="120" w:right="580" w:firstLine="820"/>
        <w:spacing w:after="0" w:line="276" w:lineRule="auto"/>
        <w:tabs>
          <w:tab w:leader="none" w:pos="1326" w:val="left"/>
        </w:tabs>
        <w:numPr>
          <w:ilvl w:val="0"/>
          <w:numId w:val="119"/>
        </w:numPr>
        <w:rPr>
          <w:rFonts w:ascii="Arial" w:cs="Arial" w:eastAsia="Arial" w:hAnsi="Arial"/>
          <w:sz w:val="22"/>
          <w:szCs w:val="22"/>
          <w:color w:val="auto"/>
        </w:rPr>
      </w:pPr>
      <w:r>
        <w:rPr>
          <w:rFonts w:ascii="Arial" w:cs="Arial" w:eastAsia="Arial" w:hAnsi="Arial"/>
          <w:sz w:val="22"/>
          <w:szCs w:val="22"/>
          <w:color w:val="auto"/>
        </w:rPr>
        <w:t>Nothing in this Section 14.03 shall prevent an adjustment to the Conversion Rate pursuant to Section 14.04 in respect of a Make-Whole Fundamental Change.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400"/>
          </w:cols>
          <w:pgMar w:left="240" w:top="375" w:right="259" w:bottom="1440" w:gutter="0" w:footer="0" w:header="0"/>
        </w:sectPr>
      </w:pPr>
    </w:p>
    <w:bookmarkStart w:id="141" w:name="page142"/>
    <w:bookmarkEnd w:id="141"/>
    <w:p>
      <w:pPr>
        <w:spacing w:after="0" w:line="285" w:lineRule="auto"/>
        <w:rPr>
          <w:sz w:val="20"/>
          <w:szCs w:val="20"/>
          <w:color w:val="auto"/>
        </w:rPr>
      </w:pPr>
      <w:r>
        <w:rPr>
          <w:rFonts w:ascii="Arial" w:cs="Arial" w:eastAsia="Arial" w:hAnsi="Arial"/>
          <w:sz w:val="19"/>
          <w:szCs w:val="19"/>
          <w:color w:val="auto"/>
        </w:rPr>
        <w:t>Section 14.04</w:t>
      </w:r>
      <w:r>
        <w:rPr>
          <w:rFonts w:ascii="Arial" w:cs="Arial" w:eastAsia="Arial" w:hAnsi="Arial"/>
          <w:sz w:val="19"/>
          <w:szCs w:val="19"/>
          <w:i w:val="1"/>
          <w:iCs w:val="1"/>
          <w:color w:val="auto"/>
        </w:rPr>
        <w:t>. Adjustment of Conversion Rate.</w:t>
      </w:r>
      <w:r>
        <w:rPr>
          <w:rFonts w:ascii="Arial" w:cs="Arial" w:eastAsia="Arial" w:hAnsi="Arial"/>
          <w:sz w:val="19"/>
          <w:szCs w:val="19"/>
          <w:color w:val="auto"/>
        </w:rPr>
        <w:t xml:space="preserve"> The Conversion Rate shall be adjusted from time to time by the Company if any of the following events occurs, except that the Company shall not make any adjustments to the Conversion Rate if Holders of the Notes participate (other than in the case of a share split or share combination), at the same time and upon the same terms as holders of the Common Stock and solely as a result of holding the Notes, in any of the transactions described in this Section 14.04, without having to convert their Notes, as if they held a number of shares of Common Stock equal to (i) the Conversion Rate, </w:t>
      </w:r>
      <w:r>
        <w:rPr>
          <w:rFonts w:ascii="Arial" w:cs="Arial" w:eastAsia="Arial" w:hAnsi="Arial"/>
          <w:sz w:val="19"/>
          <w:szCs w:val="19"/>
          <w:i w:val="1"/>
          <w:iCs w:val="1"/>
          <w:color w:val="auto"/>
        </w:rPr>
        <w:t>multiplied by</w:t>
      </w:r>
    </w:p>
    <w:p>
      <w:pPr>
        <w:spacing w:after="0" w:line="4" w:lineRule="exact"/>
        <w:rPr>
          <w:sz w:val="20"/>
          <w:szCs w:val="20"/>
          <w:color w:val="auto"/>
        </w:rPr>
      </w:pPr>
    </w:p>
    <w:p>
      <w:pPr>
        <w:ind w:left="320" w:hanging="312"/>
        <w:spacing w:after="0"/>
        <w:tabs>
          <w:tab w:leader="none" w:pos="32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principal amount (expressed in thousands) of Notes held by such Holder.</w:t>
      </w:r>
    </w:p>
    <w:p>
      <w:pPr>
        <w:spacing w:after="0" w:line="147" w:lineRule="exact"/>
        <w:rPr>
          <w:rFonts w:ascii="Arial" w:cs="Arial" w:eastAsia="Arial" w:hAnsi="Arial"/>
          <w:sz w:val="22"/>
          <w:szCs w:val="22"/>
          <w:color w:val="auto"/>
        </w:rPr>
      </w:pPr>
    </w:p>
    <w:p>
      <w:pPr>
        <w:ind w:left="120" w:firstLine="847"/>
        <w:spacing w:after="0" w:line="260" w:lineRule="auto"/>
        <w:tabs>
          <w:tab w:leader="none" w:pos="1377" w:val="left"/>
        </w:tabs>
        <w:numPr>
          <w:ilvl w:val="1"/>
          <w:numId w:val="120"/>
        </w:numPr>
        <w:rPr>
          <w:rFonts w:ascii="Arial" w:cs="Arial" w:eastAsia="Arial" w:hAnsi="Arial"/>
          <w:sz w:val="22"/>
          <w:szCs w:val="22"/>
          <w:color w:val="auto"/>
        </w:rPr>
      </w:pPr>
      <w:r>
        <w:rPr>
          <w:rFonts w:ascii="Arial" w:cs="Arial" w:eastAsia="Arial" w:hAnsi="Arial"/>
          <w:sz w:val="22"/>
          <w:szCs w:val="22"/>
          <w:color w:val="auto"/>
        </w:rPr>
        <w:t>If the Company exclusively issues shares of Common Stock as a dividend or distribution on all, or substantially all, shares of the Common Stock, or if the Company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151765</wp:posOffset>
            </wp:positionV>
            <wp:extent cx="1149350" cy="4889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14935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color w:val="auto"/>
        </w:rPr>
        <w:t>where,</w:t>
      </w:r>
    </w:p>
    <w:p>
      <w:pPr>
        <w:sectPr>
          <w:pgSz w:w="11900" w:h="16838" w:orient="portrait"/>
          <w:cols w:equalWidth="0" w:num="1">
            <w:col w:w="11360"/>
          </w:cols>
          <w:pgMar w:left="240" w:top="375" w:right="29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200" w:hanging="485"/>
        <w:spacing w:after="0" w:line="25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Conversion Rate in effect immediately prior to the open of business on the Ex-Dividend Date of such dividend or distribution, or immediately prior to the open of business on the effective date of such share split or share combination, as applicable;</w:t>
      </w:r>
    </w:p>
    <w:p>
      <w:pPr>
        <w:spacing w:after="0" w:line="132" w:lineRule="exact"/>
        <w:rPr>
          <w:sz w:val="20"/>
          <w:szCs w:val="20"/>
          <w:color w:val="auto"/>
        </w:rPr>
      </w:pPr>
    </w:p>
    <w:p>
      <w:pPr>
        <w:sectPr>
          <w:pgSz w:w="11900" w:h="16838" w:orient="portrait"/>
          <w:cols w:equalWidth="0" w:num="2">
            <w:col w:w="360" w:space="680"/>
            <w:col w:w="10320"/>
          </w:cols>
          <w:pgMar w:left="240" w:top="375" w:right="299" w:bottom="1440" w:gutter="0" w:footer="0" w:header="0"/>
          <w:type w:val="continuous"/>
        </w:sect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ind w:right="300" w:hanging="485"/>
        <w:spacing w:after="0" w:line="26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Conversion Rate in effect immediately after the open of business on such Ex-Dividend Date or effective date, as applicable;</w:t>
      </w:r>
    </w:p>
    <w:p>
      <w:pPr>
        <w:spacing w:after="0" w:line="121" w:lineRule="exact"/>
        <w:rPr>
          <w:sz w:val="20"/>
          <w:szCs w:val="20"/>
          <w:color w:val="auto"/>
        </w:rPr>
      </w:pPr>
    </w:p>
    <w:p>
      <w:pPr>
        <w:sectPr>
          <w:pgSz w:w="11900" w:h="16838" w:orient="portrait"/>
          <w:cols w:equalWidth="0" w:num="2">
            <w:col w:w="360" w:space="680"/>
            <w:col w:w="10320"/>
          </w:cols>
          <w:pgMar w:left="240" w:top="375" w:right="299" w:bottom="1440" w:gutter="0" w:footer="0" w:header="0"/>
          <w:type w:val="continuous"/>
        </w:sectPr>
      </w:pPr>
    </w:p>
    <w:p>
      <w:pPr>
        <w:spacing w:after="0"/>
        <w:rPr>
          <w:sz w:val="20"/>
          <w:szCs w:val="20"/>
          <w:color w:val="auto"/>
        </w:rPr>
      </w:pPr>
      <w:r>
        <w:rPr>
          <w:rFonts w:ascii="Arial" w:cs="Arial" w:eastAsia="Arial" w:hAnsi="Arial"/>
          <w:sz w:val="19"/>
          <w:szCs w:val="19"/>
          <w:color w:val="auto"/>
        </w:rPr>
        <w:t>OS</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ind w:right="280" w:hanging="485"/>
        <w:spacing w:after="0" w:line="25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number of shares of Common Stock outstanding immediately prior to the open of business on such Ex-Dividend Date or effective date, as applicable, before giving effect to such dividend, distribution, share split or share combination; and</w:t>
      </w:r>
    </w:p>
    <w:p>
      <w:pPr>
        <w:spacing w:after="0" w:line="132" w:lineRule="exact"/>
        <w:rPr>
          <w:sz w:val="20"/>
          <w:szCs w:val="20"/>
          <w:color w:val="auto"/>
        </w:rPr>
      </w:pPr>
    </w:p>
    <w:p>
      <w:pPr>
        <w:sectPr>
          <w:pgSz w:w="11900" w:h="16838" w:orient="portrait"/>
          <w:cols w:equalWidth="0" w:num="2">
            <w:col w:w="360" w:space="680"/>
            <w:col w:w="10320"/>
          </w:cols>
          <w:pgMar w:left="240" w:top="375" w:right="299" w:bottom="1440" w:gutter="0" w:footer="0" w:header="0"/>
          <w:type w:val="continuous"/>
        </w:sectPr>
      </w:pPr>
    </w:p>
    <w:p>
      <w:pPr>
        <w:spacing w:after="0"/>
        <w:rPr>
          <w:sz w:val="20"/>
          <w:szCs w:val="20"/>
          <w:color w:val="auto"/>
        </w:rPr>
      </w:pPr>
      <w:r>
        <w:rPr>
          <w:rFonts w:ascii="Arial" w:cs="Arial" w:eastAsia="Arial" w:hAnsi="Arial"/>
          <w:sz w:val="19"/>
          <w:szCs w:val="19"/>
          <w:color w:val="auto"/>
        </w:rPr>
        <w:t>OS</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ind w:right="440" w:hanging="485"/>
        <w:spacing w:after="0" w:line="26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number of shares of Common Stock outstanding immediately after giving effect to such dividend, distribution, share split or share combination.</w:t>
      </w:r>
    </w:p>
    <w:p>
      <w:pPr>
        <w:spacing w:after="0" w:line="121" w:lineRule="exact"/>
        <w:rPr>
          <w:sz w:val="20"/>
          <w:szCs w:val="20"/>
          <w:color w:val="auto"/>
        </w:rPr>
      </w:pPr>
    </w:p>
    <w:p>
      <w:pPr>
        <w:sectPr>
          <w:pgSz w:w="11900" w:h="16838" w:orient="portrait"/>
          <w:cols w:equalWidth="0" w:num="2">
            <w:col w:w="360" w:space="680"/>
            <w:col w:w="10320"/>
          </w:cols>
          <w:pgMar w:left="240" w:top="375" w:right="299" w:bottom="1440" w:gutter="0" w:footer="0" w:header="0"/>
          <w:type w:val="continuous"/>
        </w:sectPr>
      </w:pPr>
    </w:p>
    <w:p>
      <w:pPr>
        <w:ind w:firstLine="648"/>
        <w:spacing w:after="0" w:line="247" w:lineRule="auto"/>
        <w:rPr>
          <w:sz w:val="20"/>
          <w:szCs w:val="20"/>
          <w:color w:val="auto"/>
        </w:rPr>
      </w:pPr>
      <w:r>
        <w:rPr>
          <w:rFonts w:ascii="Arial" w:cs="Arial" w:eastAsia="Arial" w:hAnsi="Arial"/>
          <w:sz w:val="22"/>
          <w:szCs w:val="22"/>
          <w:color w:val="auto"/>
        </w:rPr>
        <w:t>Any adjustment made under this Section 14.04(a)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14.04(a)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spacing w:after="0" w:line="140" w:lineRule="exact"/>
        <w:rPr>
          <w:sz w:val="20"/>
          <w:szCs w:val="20"/>
          <w:color w:val="auto"/>
        </w:rPr>
      </w:pPr>
    </w:p>
    <w:p>
      <w:pPr>
        <w:ind w:left="120" w:right="260" w:firstLine="847"/>
        <w:spacing w:after="0" w:line="320" w:lineRule="auto"/>
        <w:tabs>
          <w:tab w:leader="none" w:pos="1389"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If the Company issues to all or substantially all holders of the Common Stock any rights, options or warrants entitling them, for a period of not more than 45 calendar days after the announcement date of such issuance, to subscribe for or purchase shares of Common Stock at a price per share that is less than the average of the Last Reported Sale Prices of the</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360"/>
          </w:cols>
          <w:pgMar w:left="240" w:top="375" w:right="299" w:bottom="1440" w:gutter="0" w:footer="0" w:header="0"/>
          <w:type w:val="continuous"/>
        </w:sectPr>
      </w:pPr>
    </w:p>
    <w:bookmarkStart w:id="142" w:name="page143"/>
    <w:bookmarkEnd w:id="142"/>
    <w:p>
      <w:pPr>
        <w:ind w:left="120" w:right="80"/>
        <w:spacing w:after="0" w:line="343" w:lineRule="auto"/>
        <w:rPr>
          <w:sz w:val="20"/>
          <w:szCs w:val="20"/>
          <w:color w:val="auto"/>
        </w:rPr>
      </w:pPr>
      <w:r>
        <w:rPr>
          <w:rFonts w:ascii="Arial" w:cs="Arial" w:eastAsia="Arial" w:hAnsi="Arial"/>
          <w:sz w:val="19"/>
          <w:szCs w:val="19"/>
          <w:color w:val="auto"/>
        </w:rPr>
        <w:t>Common Stock for the 10 consecutive Trading Day period ending on, and including, the 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3175</wp:posOffset>
            </wp:positionV>
            <wp:extent cx="1492250" cy="5575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49225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color w:val="auto"/>
        </w:rPr>
        <w:t>where,</w:t>
      </w:r>
    </w:p>
    <w:p>
      <w:pPr>
        <w:sectPr>
          <w:pgSz w:w="11900" w:h="16838" w:orient="portrait"/>
          <w:cols w:equalWidth="0" w:num="1">
            <w:col w:w="11360"/>
          </w:cols>
          <w:pgMar w:left="240" w:top="375" w:right="29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320"/>
        <w:spacing w:after="0"/>
        <w:tabs>
          <w:tab w:leader="none" w:pos="1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Conversion Rate in effect immediately prior to the open of business on the Ex-Dividend Date for such issuance;</w:t>
      </w:r>
    </w:p>
    <w:p>
      <w:pPr>
        <w:spacing w:after="0" w:line="166" w:lineRule="exact"/>
        <w:rPr>
          <w:sz w:val="20"/>
          <w:szCs w:val="20"/>
          <w:color w:val="auto"/>
        </w:rPr>
      </w:pPr>
    </w:p>
    <w:p>
      <w:pPr>
        <w:sectPr>
          <w:pgSz w:w="11900" w:h="16838" w:orient="portrait"/>
          <w:cols w:equalWidth="0" w:num="2">
            <w:col w:w="360" w:space="360"/>
            <w:col w:w="10640"/>
          </w:cols>
          <w:pgMar w:left="240" w:top="375" w:right="299" w:bottom="1440" w:gutter="0" w:footer="0" w:header="0"/>
          <w:type w:val="continuous"/>
        </w:sect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Conversion Rate in effect immediately after the open of business on such Ex-Dividend Date;</w:t>
      </w:r>
    </w:p>
    <w:p>
      <w:pPr>
        <w:spacing w:after="0" w:line="166" w:lineRule="exact"/>
        <w:rPr>
          <w:sz w:val="20"/>
          <w:szCs w:val="20"/>
          <w:color w:val="auto"/>
        </w:rPr>
      </w:pPr>
    </w:p>
    <w:p>
      <w:pPr>
        <w:sectPr>
          <w:pgSz w:w="11900" w:h="16838" w:orient="portrait"/>
          <w:cols w:equalWidth="0" w:num="2">
            <w:col w:w="360" w:space="360"/>
            <w:col w:w="10640"/>
          </w:cols>
          <w:pgMar w:left="240" w:top="375" w:right="299" w:bottom="1440" w:gutter="0" w:footer="0" w:header="0"/>
          <w:type w:val="continuous"/>
        </w:sectPr>
      </w:pPr>
    </w:p>
    <w:p>
      <w:pPr>
        <w:spacing w:after="0"/>
        <w:rPr>
          <w:sz w:val="20"/>
          <w:szCs w:val="20"/>
          <w:color w:val="auto"/>
        </w:rPr>
      </w:pPr>
      <w:r>
        <w:rPr>
          <w:rFonts w:ascii="Arial" w:cs="Arial" w:eastAsia="Arial" w:hAnsi="Arial"/>
          <w:sz w:val="19"/>
          <w:szCs w:val="19"/>
          <w:color w:val="auto"/>
        </w:rPr>
        <w:t>OS</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ind w:right="280" w:hanging="485"/>
        <w:spacing w:after="0" w:line="26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number of shares of Common Stock outstanding immediately prior to the open of business on such Ex-Dividend Date;</w:t>
      </w:r>
    </w:p>
    <w:p>
      <w:pPr>
        <w:spacing w:after="0" w:line="121" w:lineRule="exact"/>
        <w:rPr>
          <w:sz w:val="20"/>
          <w:szCs w:val="20"/>
          <w:color w:val="auto"/>
        </w:rPr>
      </w:pPr>
    </w:p>
    <w:p>
      <w:pPr>
        <w:sectPr>
          <w:pgSz w:w="11900" w:h="16838" w:orient="portrait"/>
          <w:cols w:equalWidth="0" w:num="2">
            <w:col w:w="360" w:space="680"/>
            <w:col w:w="10320"/>
          </w:cols>
          <w:pgMar w:left="240" w:top="375" w:right="299" w:bottom="1440" w:gutter="0" w:footer="0" w:header="0"/>
          <w:type w:val="continuous"/>
        </w:sectPr>
      </w:pPr>
    </w:p>
    <w:p>
      <w:pPr>
        <w:ind w:left="720" w:hanging="712"/>
        <w:spacing w:after="0"/>
        <w:tabs>
          <w:tab w:leader="none" w:pos="72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  the total number of shares of Common Stock issuable pursuant to such rights, options or warrants; and</w:t>
      </w:r>
    </w:p>
    <w:p>
      <w:pPr>
        <w:spacing w:after="0" w:line="166" w:lineRule="exact"/>
        <w:rPr>
          <w:sz w:val="20"/>
          <w:szCs w:val="20"/>
          <w:color w:val="auto"/>
        </w:rPr>
      </w:pPr>
    </w:p>
    <w:p>
      <w:pPr>
        <w:jc w:val="both"/>
        <w:ind w:left="1200" w:right="160" w:hanging="1192"/>
        <w:spacing w:after="0" w:line="250" w:lineRule="auto"/>
        <w:tabs>
          <w:tab w:leader="none" w:pos="714" w:val="left"/>
        </w:tabs>
        <w:numPr>
          <w:ilvl w:val="0"/>
          <w:numId w:val="123"/>
        </w:numPr>
        <w:rPr>
          <w:rFonts w:ascii="Arial" w:cs="Arial" w:eastAsia="Arial" w:hAnsi="Arial"/>
          <w:sz w:val="22"/>
          <w:szCs w:val="22"/>
          <w:color w:val="auto"/>
        </w:rPr>
      </w:pPr>
      <w:r>
        <w:rPr>
          <w:rFonts w:ascii="Arial" w:cs="Arial" w:eastAsia="Arial" w:hAnsi="Arial"/>
          <w:sz w:val="22"/>
          <w:szCs w:val="22"/>
          <w:color w:val="auto"/>
        </w:rPr>
        <w:t xml:space="preserve">= the number of shares of Common Stock equal to (i) the aggregate price payable to exercise such rights, options or warrants,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(ii) the average of the Last Reported Sale Prices of the Common Stock over the 10 consecutive Trading Day period ending on, and including, the Trading Day immediately preceding the date of announcement of the issuance of such rights, options or warrants.</w:t>
      </w:r>
    </w:p>
    <w:p>
      <w:pPr>
        <w:spacing w:after="0" w:line="134"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Any increase made under this Section 14.04(b) shall be made successively whenever any such rights, options or warrants are issued and shall become effective immediately after the open of business on the Ex-Dividend Date for such issuance. To the extent that such rights, options or warrants are not exercised prior to their expiration or shares of Common Stock are not delivered after the exercise or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the Conversion Rate shall be decreased to the Conversion Rate that would then be in effect if such Ex-Dividend Date for such issuance had not occurred.</w:t>
      </w:r>
    </w:p>
    <w:p>
      <w:pPr>
        <w:spacing w:after="0" w:line="130"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For purposes of this Section 14.04(b) and Section 14.01(b)(ii)(A), in determining whether any rights, options or warrants entitle the holders of Common Stock to subscribe for or purchase shares of the Common Stock at less than such average of the Last Reported Sale Prices of the Common Stock for the 10 consecutive Trading Day period ending on, and including, the Trading Day immediately preceding the date of announcement of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Board of Directors.</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360"/>
          </w:cols>
          <w:pgMar w:left="240" w:top="375" w:right="299" w:bottom="1440" w:gutter="0" w:footer="0" w:header="0"/>
          <w:type w:val="continuous"/>
        </w:sectPr>
      </w:pPr>
    </w:p>
    <w:bookmarkStart w:id="143" w:name="page144"/>
    <w:bookmarkEnd w:id="143"/>
    <w:p>
      <w:pPr>
        <w:ind w:left="120" w:right="60" w:firstLine="847"/>
        <w:spacing w:after="0" w:line="260" w:lineRule="auto"/>
        <w:tabs>
          <w:tab w:leader="none" w:pos="1377" w:val="left"/>
        </w:tabs>
        <w:numPr>
          <w:ilvl w:val="0"/>
          <w:numId w:val="124"/>
        </w:numPr>
        <w:rPr>
          <w:rFonts w:ascii="Arial" w:cs="Arial" w:eastAsia="Arial" w:hAnsi="Arial"/>
          <w:sz w:val="22"/>
          <w:szCs w:val="22"/>
          <w:color w:val="auto"/>
        </w:rPr>
      </w:pPr>
      <w:r>
        <w:rPr>
          <w:rFonts w:ascii="Arial" w:cs="Arial" w:eastAsia="Arial" w:hAnsi="Arial"/>
          <w:sz w:val="22"/>
          <w:szCs w:val="22"/>
          <w:color w:val="auto"/>
        </w:rPr>
        <w:t>If the Company distributes shares of its Capital Stock, evidences of its indebtedness, other assets or property of the Company or rights, options or warrants to acquire its Capital Stock or other securities, to all or substantially all holders of the Common Stock, excluding:</w:t>
      </w:r>
    </w:p>
    <w:p>
      <w:pPr>
        <w:spacing w:after="0" w:line="123" w:lineRule="exact"/>
        <w:rPr>
          <w:rFonts w:ascii="Arial" w:cs="Arial" w:eastAsia="Arial" w:hAnsi="Arial"/>
          <w:sz w:val="22"/>
          <w:szCs w:val="22"/>
          <w:color w:val="auto"/>
        </w:rPr>
      </w:pPr>
    </w:p>
    <w:p>
      <w:pPr>
        <w:ind w:left="500" w:right="560" w:firstLine="805"/>
        <w:spacing w:after="0" w:line="276" w:lineRule="auto"/>
        <w:tabs>
          <w:tab w:leader="none" w:pos="1694" w:val="left"/>
        </w:tabs>
        <w:numPr>
          <w:ilvl w:val="1"/>
          <w:numId w:val="124"/>
        </w:numPr>
        <w:rPr>
          <w:rFonts w:ascii="Arial" w:cs="Arial" w:eastAsia="Arial" w:hAnsi="Arial"/>
          <w:sz w:val="22"/>
          <w:szCs w:val="22"/>
          <w:color w:val="auto"/>
        </w:rPr>
      </w:pPr>
      <w:r>
        <w:rPr>
          <w:rFonts w:ascii="Arial" w:cs="Arial" w:eastAsia="Arial" w:hAnsi="Arial"/>
          <w:sz w:val="22"/>
          <w:szCs w:val="22"/>
          <w:color w:val="auto"/>
        </w:rPr>
        <w:t>dividends, distributions or issuances of rights, options or warrants as to which an adjustment was effected pursuant to Section 14.04(a) or Section 14.04(b);</w:t>
      </w:r>
    </w:p>
    <w:p>
      <w:pPr>
        <w:spacing w:after="0" w:line="106" w:lineRule="exact"/>
        <w:rPr>
          <w:rFonts w:ascii="Arial" w:cs="Arial" w:eastAsia="Arial" w:hAnsi="Arial"/>
          <w:sz w:val="22"/>
          <w:szCs w:val="22"/>
          <w:color w:val="auto"/>
        </w:rPr>
      </w:pPr>
    </w:p>
    <w:p>
      <w:pPr>
        <w:ind w:left="1740" w:hanging="435"/>
        <w:spacing w:after="0"/>
        <w:tabs>
          <w:tab w:leader="none" w:pos="174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rights issued under a stockholder rights plan (except as set forth below);</w:t>
      </w:r>
    </w:p>
    <w:p>
      <w:pPr>
        <w:spacing w:after="0" w:line="179" w:lineRule="exact"/>
        <w:rPr>
          <w:rFonts w:ascii="Arial" w:cs="Arial" w:eastAsia="Arial" w:hAnsi="Arial"/>
          <w:sz w:val="22"/>
          <w:szCs w:val="22"/>
          <w:color w:val="auto"/>
        </w:rPr>
      </w:pPr>
    </w:p>
    <w:p>
      <w:pPr>
        <w:ind w:left="1800" w:hanging="495"/>
        <w:spacing w:after="0"/>
        <w:tabs>
          <w:tab w:leader="none" w:pos="1800" w:val="left"/>
        </w:tabs>
        <w:numPr>
          <w:ilvl w:val="1"/>
          <w:numId w:val="124"/>
        </w:numPr>
        <w:rPr>
          <w:rFonts w:ascii="Arial" w:cs="Arial" w:eastAsia="Arial" w:hAnsi="Arial"/>
          <w:sz w:val="19"/>
          <w:szCs w:val="19"/>
          <w:color w:val="auto"/>
        </w:rPr>
      </w:pPr>
      <w:r>
        <w:rPr>
          <w:rFonts w:ascii="Arial" w:cs="Arial" w:eastAsia="Arial" w:hAnsi="Arial"/>
          <w:sz w:val="19"/>
          <w:szCs w:val="19"/>
          <w:color w:val="auto"/>
        </w:rPr>
        <w:t>dividends or distributions paid exclusively in cash as to which an adjustment was effected pursuant to Section</w:t>
      </w:r>
    </w:p>
    <w:p>
      <w:pPr>
        <w:spacing w:after="0" w:line="56" w:lineRule="exact"/>
        <w:rPr>
          <w:rFonts w:ascii="Arial" w:cs="Arial" w:eastAsia="Arial" w:hAnsi="Arial"/>
          <w:sz w:val="19"/>
          <w:szCs w:val="19"/>
          <w:color w:val="auto"/>
        </w:rPr>
      </w:pPr>
    </w:p>
    <w:p>
      <w:pPr>
        <w:ind w:left="500"/>
        <w:spacing w:after="0"/>
        <w:rPr>
          <w:rFonts w:ascii="Arial" w:cs="Arial" w:eastAsia="Arial" w:hAnsi="Arial"/>
          <w:sz w:val="19"/>
          <w:szCs w:val="19"/>
          <w:color w:val="auto"/>
        </w:rPr>
      </w:pPr>
      <w:r>
        <w:rPr>
          <w:rFonts w:ascii="Arial" w:cs="Arial" w:eastAsia="Arial" w:hAnsi="Arial"/>
          <w:sz w:val="22"/>
          <w:szCs w:val="22"/>
          <w:color w:val="auto"/>
        </w:rPr>
        <w:t>14.04(d);</w:t>
      </w:r>
    </w:p>
    <w:p>
      <w:pPr>
        <w:spacing w:after="0" w:line="161" w:lineRule="exact"/>
        <w:rPr>
          <w:rFonts w:ascii="Arial" w:cs="Arial" w:eastAsia="Arial" w:hAnsi="Arial"/>
          <w:sz w:val="19"/>
          <w:szCs w:val="19"/>
          <w:color w:val="auto"/>
        </w:rPr>
      </w:pPr>
    </w:p>
    <w:p>
      <w:pPr>
        <w:ind w:left="1800" w:hanging="495"/>
        <w:spacing w:after="0"/>
        <w:tabs>
          <w:tab w:leader="none" w:pos="1800" w:val="left"/>
        </w:tabs>
        <w:numPr>
          <w:ilvl w:val="1"/>
          <w:numId w:val="124"/>
        </w:numPr>
        <w:rPr>
          <w:rFonts w:ascii="Arial" w:cs="Arial" w:eastAsia="Arial" w:hAnsi="Arial"/>
          <w:sz w:val="19"/>
          <w:szCs w:val="19"/>
          <w:color w:val="auto"/>
        </w:rPr>
      </w:pPr>
      <w:r>
        <w:rPr>
          <w:rFonts w:ascii="Arial" w:cs="Arial" w:eastAsia="Arial" w:hAnsi="Arial"/>
          <w:sz w:val="19"/>
          <w:szCs w:val="19"/>
          <w:color w:val="auto"/>
        </w:rPr>
        <w:t>any dividends and distributions in connection with a Specified Corporate Event described below under Section</w:t>
      </w:r>
    </w:p>
    <w:p>
      <w:pPr>
        <w:spacing w:after="0" w:line="56" w:lineRule="exact"/>
        <w:rPr>
          <w:rFonts w:ascii="Arial" w:cs="Arial" w:eastAsia="Arial" w:hAnsi="Arial"/>
          <w:sz w:val="19"/>
          <w:szCs w:val="19"/>
          <w:color w:val="auto"/>
        </w:rPr>
      </w:pPr>
    </w:p>
    <w:p>
      <w:pPr>
        <w:ind w:left="500"/>
        <w:spacing w:after="0"/>
        <w:rPr>
          <w:rFonts w:ascii="Arial" w:cs="Arial" w:eastAsia="Arial" w:hAnsi="Arial"/>
          <w:sz w:val="19"/>
          <w:szCs w:val="19"/>
          <w:color w:val="auto"/>
        </w:rPr>
      </w:pPr>
      <w:r>
        <w:rPr>
          <w:rFonts w:ascii="Arial" w:cs="Arial" w:eastAsia="Arial" w:hAnsi="Arial"/>
          <w:sz w:val="22"/>
          <w:szCs w:val="22"/>
          <w:color w:val="auto"/>
        </w:rPr>
        <w:t>14.07; and</w:t>
      </w:r>
    </w:p>
    <w:p>
      <w:pPr>
        <w:spacing w:after="0" w:line="161" w:lineRule="exact"/>
        <w:rPr>
          <w:rFonts w:ascii="Arial" w:cs="Arial" w:eastAsia="Arial" w:hAnsi="Arial"/>
          <w:sz w:val="19"/>
          <w:szCs w:val="19"/>
          <w:color w:val="auto"/>
        </w:rPr>
      </w:pPr>
    </w:p>
    <w:p>
      <w:pPr>
        <w:ind w:left="1740" w:hanging="435"/>
        <w:spacing w:after="0"/>
        <w:tabs>
          <w:tab w:leader="none" w:pos="174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Spin-Offs as to which the provisions set forth below in this Section 14.04(c) shall apply;</w:t>
      </w:r>
    </w:p>
    <w:p>
      <w:pPr>
        <w:spacing w:after="0" w:line="179" w:lineRule="exact"/>
        <w:rPr>
          <w:sz w:val="20"/>
          <w:szCs w:val="20"/>
          <w:color w:val="auto"/>
        </w:rPr>
      </w:pPr>
    </w:p>
    <w:p>
      <w:pPr>
        <w:ind w:left="500" w:right="340"/>
        <w:spacing w:after="0" w:line="253" w:lineRule="auto"/>
        <w:rPr>
          <w:sz w:val="20"/>
          <w:szCs w:val="20"/>
          <w:color w:val="auto"/>
        </w:rPr>
      </w:pPr>
      <w:r>
        <w:rPr>
          <w:rFonts w:ascii="Arial" w:cs="Arial" w:eastAsia="Arial" w:hAnsi="Arial"/>
          <w:sz w:val="22"/>
          <w:szCs w:val="22"/>
          <w:color w:val="auto"/>
        </w:rPr>
        <w:t>(any of such shares of Capital Stock, evidences of indebtedness, other assets or property or rights, options or warrants to acquire Capital Stock or other securities of the Company, the “</w:t>
      </w:r>
      <w:r>
        <w:rPr>
          <w:rFonts w:ascii="Arial" w:cs="Arial" w:eastAsia="Arial" w:hAnsi="Arial"/>
          <w:sz w:val="22"/>
          <w:szCs w:val="22"/>
          <w:b w:val="1"/>
          <w:bCs w:val="1"/>
          <w:color w:val="auto"/>
        </w:rPr>
        <w:t>Distributed Property</w:t>
      </w:r>
      <w:r>
        <w:rPr>
          <w:rFonts w:ascii="Arial" w:cs="Arial" w:eastAsia="Arial" w:hAnsi="Arial"/>
          <w:sz w:val="22"/>
          <w:szCs w:val="22"/>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88900</wp:posOffset>
            </wp:positionV>
            <wp:extent cx="1543685" cy="514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54368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auto"/>
        </w:rPr>
        <w:t>where,</w:t>
      </w:r>
    </w:p>
    <w:p>
      <w:pPr>
        <w:sectPr>
          <w:pgSz w:w="11900" w:h="16838" w:orient="portrait"/>
          <w:cols w:equalWidth="0" w:num="1">
            <w:col w:w="11380"/>
          </w:cols>
          <w:pgMar w:left="240" w:top="375" w:right="27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tabs>
          <w:tab w:leader="none" w:pos="3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Conversion Rate in effect immediately prior to the open of business on the Ex-Dividend Date for such distribution;</w:t>
      </w:r>
    </w:p>
    <w:p>
      <w:pPr>
        <w:spacing w:after="0" w:line="200" w:lineRule="exact"/>
        <w:rPr>
          <w:sz w:val="20"/>
          <w:szCs w:val="20"/>
          <w:color w:val="auto"/>
        </w:rPr>
      </w:pPr>
    </w:p>
    <w:p>
      <w:pPr>
        <w:sectPr>
          <w:pgSz w:w="11900" w:h="16838" w:orient="portrait"/>
          <w:cols w:equalWidth="0" w:num="2">
            <w:col w:w="360" w:space="360"/>
            <w:col w:w="10660"/>
          </w:cols>
          <w:pgMar w:left="240" w:top="375" w:right="27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Conversion Rate in effect immediately after the open of business on such Ex-Dividend Date;</w:t>
      </w:r>
    </w:p>
    <w:p>
      <w:pPr>
        <w:spacing w:after="0" w:line="200" w:lineRule="exact"/>
        <w:rPr>
          <w:sz w:val="20"/>
          <w:szCs w:val="20"/>
          <w:color w:val="auto"/>
        </w:rPr>
      </w:pPr>
    </w:p>
    <w:p>
      <w:pPr>
        <w:sectPr>
          <w:pgSz w:w="11900" w:h="16838" w:orient="portrait"/>
          <w:cols w:equalWidth="0" w:num="2">
            <w:col w:w="360" w:space="360"/>
            <w:col w:w="10660"/>
          </w:cols>
          <w:pgMar w:left="240" w:top="375" w:right="27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SP</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ind w:right="60" w:hanging="485"/>
        <w:spacing w:after="0" w:line="34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19"/>
          <w:szCs w:val="19"/>
          <w:color w:val="auto"/>
        </w:rPr>
        <w:t>the average of the Last Reported Sale Prices of the Common Stock over the 10 consecutive Trading Day period ending on, and including, the Trading Day immediately preceding the Ex-Dividend Date for such distribution; and</w:t>
      </w:r>
    </w:p>
    <w:p>
      <w:pPr>
        <w:spacing w:after="0" w:line="105" w:lineRule="exact"/>
        <w:rPr>
          <w:sz w:val="20"/>
          <w:szCs w:val="20"/>
          <w:color w:val="auto"/>
        </w:rPr>
      </w:pPr>
    </w:p>
    <w:p>
      <w:pPr>
        <w:sectPr>
          <w:pgSz w:w="11900" w:h="16838" w:orient="portrait"/>
          <w:cols w:equalWidth="0" w:num="2">
            <w:col w:w="320" w:space="720"/>
            <w:col w:w="10340"/>
          </w:cols>
          <w:pgMar w:left="240" w:top="375" w:right="279" w:bottom="1440" w:gutter="0" w:footer="0" w:header="0"/>
          <w:type w:val="continuous"/>
        </w:sectPr>
      </w:pPr>
    </w:p>
    <w:p>
      <w:pPr>
        <w:spacing w:after="0"/>
        <w:rPr>
          <w:sz w:val="20"/>
          <w:szCs w:val="20"/>
          <w:color w:val="auto"/>
        </w:rPr>
      </w:pPr>
      <w:r>
        <w:rPr>
          <w:rFonts w:ascii="Arial" w:cs="Arial" w:eastAsia="Arial" w:hAnsi="Arial"/>
          <w:sz w:val="22"/>
          <w:szCs w:val="22"/>
          <w:color w:val="auto"/>
        </w:rPr>
        <w:t>FMV</w:t>
      </w:r>
    </w:p>
    <w:p>
      <w:pPr>
        <w:spacing w:after="0" w:line="20" w:lineRule="exact"/>
        <w:rPr>
          <w:sz w:val="20"/>
          <w:szCs w:val="20"/>
          <w:color w:val="auto"/>
        </w:rPr>
      </w:pPr>
      <w:r>
        <w:rPr>
          <w:sz w:val="20"/>
          <w:szCs w:val="20"/>
          <w:color w:val="auto"/>
        </w:rPr>
        <w:br w:type="column"/>
      </w:r>
    </w:p>
    <w:p>
      <w:pPr>
        <w:ind w:right="160" w:hanging="485"/>
        <w:spacing w:after="0" w:line="287"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1"/>
          <w:szCs w:val="21"/>
          <w:color w:val="auto"/>
        </w:rPr>
        <w:t>the fair market value (as determined by the Board of Directors) of the Distributed Property so distributed with respect to each outstanding share of the Common Stock on the Ex-Dividend Date for such distribution.</w:t>
      </w:r>
    </w:p>
    <w:p>
      <w:pPr>
        <w:spacing w:after="0" w:line="152" w:lineRule="exact"/>
        <w:rPr>
          <w:sz w:val="20"/>
          <w:szCs w:val="20"/>
          <w:color w:val="auto"/>
        </w:rPr>
      </w:pPr>
    </w:p>
    <w:p>
      <w:pPr>
        <w:sectPr>
          <w:pgSz w:w="11900" w:h="16838" w:orient="portrait"/>
          <w:cols w:equalWidth="0" w:num="2">
            <w:col w:w="480" w:space="560"/>
            <w:col w:w="10340"/>
          </w:cols>
          <w:pgMar w:left="240" w:top="375" w:right="279" w:bottom="1440" w:gutter="0" w:footer="0" w:header="0"/>
          <w:type w:val="continuous"/>
        </w:sectPr>
      </w:pPr>
    </w:p>
    <w:p>
      <w:pPr>
        <w:jc w:val="both"/>
        <w:ind w:right="260" w:firstLine="648"/>
        <w:spacing w:after="0" w:line="312" w:lineRule="auto"/>
        <w:rPr>
          <w:sz w:val="20"/>
          <w:szCs w:val="20"/>
          <w:color w:val="auto"/>
        </w:rPr>
      </w:pPr>
      <w:r>
        <w:rPr>
          <w:rFonts w:ascii="Arial" w:cs="Arial" w:eastAsia="Arial" w:hAnsi="Arial"/>
          <w:sz w:val="19"/>
          <w:szCs w:val="19"/>
          <w:color w:val="auto"/>
        </w:rPr>
        <w:t>Any increase made under the portion of this Section 14.04(c) above shall become effective immediately after the open of business on the Ex-Dividend Date for such distribution. If such distribution is not so paid or made, the Conversion Rate shall be decreased to be the Conversion Rate that would then be in effect if such distribution had not been declared.</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380"/>
          </w:cols>
          <w:pgMar w:left="240" w:top="375" w:right="279" w:bottom="1440" w:gutter="0" w:footer="0" w:header="0"/>
          <w:type w:val="continuous"/>
        </w:sectPr>
      </w:pPr>
    </w:p>
    <w:bookmarkStart w:id="144" w:name="page145"/>
    <w:bookmarkEnd w:id="144"/>
    <w:p>
      <w:pPr>
        <w:ind w:right="140" w:firstLine="648"/>
        <w:spacing w:after="0" w:line="263" w:lineRule="auto"/>
        <w:rPr>
          <w:sz w:val="20"/>
          <w:szCs w:val="20"/>
          <w:color w:val="auto"/>
        </w:rPr>
      </w:pPr>
      <w:r>
        <w:rPr>
          <w:rFonts w:ascii="Arial" w:cs="Arial" w:eastAsia="Arial" w:hAnsi="Arial"/>
          <w:sz w:val="21"/>
          <w:szCs w:val="21"/>
          <w:color w:val="auto"/>
        </w:rPr>
        <w:t>Notwithstanding the foregoing, if “FMV” (as defined above) is equal to or greater than “SP</w:t>
      </w:r>
      <w:r>
        <w:rPr>
          <w:rFonts w:ascii="Arial" w:cs="Arial" w:eastAsia="Arial" w:hAnsi="Arial"/>
          <w:sz w:val="13"/>
          <w:szCs w:val="13"/>
          <w:color w:val="auto"/>
        </w:rPr>
        <w:t>0</w:t>
      </w:r>
      <w:r>
        <w:rPr>
          <w:rFonts w:ascii="Arial" w:cs="Arial" w:eastAsia="Arial" w:hAnsi="Arial"/>
          <w:sz w:val="21"/>
          <w:szCs w:val="21"/>
          <w:color w:val="auto"/>
        </w:rPr>
        <w:t>” (as defined above), in lieu of the foregoing increase, each Holder of a Note shall receive, in respect of each $1,000 principal amount thereof, at the same time and upon the same terms as holders of the Common Stock receive the Distributed Property, the amount and kind of Distributed Property that such Holder would have received if such Holder owned a number of shares of Common Stock equal to the Conversion Rate in effect on the Ex-Dividend Date for the distribution.</w:t>
      </w:r>
    </w:p>
    <w:p>
      <w:pPr>
        <w:spacing w:after="0" w:line="122" w:lineRule="exact"/>
        <w:rPr>
          <w:sz w:val="20"/>
          <w:szCs w:val="20"/>
          <w:color w:val="auto"/>
        </w:rPr>
      </w:pPr>
    </w:p>
    <w:p>
      <w:pPr>
        <w:ind w:right="20" w:firstLine="648"/>
        <w:spacing w:after="0" w:line="302" w:lineRule="auto"/>
        <w:rPr>
          <w:sz w:val="20"/>
          <w:szCs w:val="20"/>
          <w:color w:val="auto"/>
        </w:rPr>
      </w:pPr>
      <w:r>
        <w:rPr>
          <w:rFonts w:ascii="Arial" w:cs="Arial" w:eastAsia="Arial" w:hAnsi="Arial"/>
          <w:sz w:val="19"/>
          <w:szCs w:val="19"/>
          <w:color w:val="auto"/>
        </w:rPr>
        <w:t>With respect to an adjustment pursuant to this Section 14.04(c) where there has been a payment of a dividend or other distribution on the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Arial" w:cs="Arial" w:eastAsia="Arial" w:hAnsi="Arial"/>
          <w:sz w:val="19"/>
          <w:szCs w:val="19"/>
          <w:b w:val="1"/>
          <w:bCs w:val="1"/>
          <w:color w:val="auto"/>
        </w:rPr>
        <w:t>Spin-Off</w:t>
      </w:r>
      <w:r>
        <w:rPr>
          <w:rFonts w:ascii="Arial" w:cs="Arial" w:eastAsia="Arial" w:hAnsi="Arial"/>
          <w:sz w:val="19"/>
          <w:szCs w:val="19"/>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61595</wp:posOffset>
            </wp:positionV>
            <wp:extent cx="1646555" cy="4546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64655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auto"/>
        </w:rPr>
        <w:t>where,</w:t>
      </w:r>
    </w:p>
    <w:p>
      <w:pPr>
        <w:sectPr>
          <w:pgSz w:w="11900" w:h="16838" w:orient="portrait"/>
          <w:cols w:equalWidth="0" w:num="1">
            <w:col w:w="11400"/>
          </w:cols>
          <w:pgMar w:left="240" w:top="375" w:right="25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tabs>
          <w:tab w:leader="none" w:pos="3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Conversion Rate in effect immediately prior to the open of business on the Ex-Dividend Date for such distribution;</w:t>
      </w:r>
    </w:p>
    <w:p>
      <w:pPr>
        <w:spacing w:after="0" w:line="166" w:lineRule="exact"/>
        <w:rPr>
          <w:sz w:val="20"/>
          <w:szCs w:val="20"/>
          <w:color w:val="auto"/>
        </w:rPr>
      </w:pPr>
    </w:p>
    <w:p>
      <w:pPr>
        <w:sectPr>
          <w:pgSz w:w="11900" w:h="16838" w:orient="portrait"/>
          <w:cols w:equalWidth="0" w:num="2">
            <w:col w:w="360" w:space="360"/>
            <w:col w:w="10680"/>
          </w:cols>
          <w:pgMar w:left="240" w:top="375" w:right="259" w:bottom="1440" w:gutter="0" w:footer="0" w:header="0"/>
          <w:type w:val="continuous"/>
        </w:sect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jc w:val="center"/>
        <w:ind w:right="340"/>
        <w:spacing w:after="0"/>
        <w:tabs>
          <w:tab w:leader="none" w:pos="1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Conversion Rate in effect immediately after the open of business on the Ex-Dividend Date for such distribution;</w:t>
      </w:r>
    </w:p>
    <w:p>
      <w:pPr>
        <w:spacing w:after="0" w:line="166" w:lineRule="exact"/>
        <w:rPr>
          <w:sz w:val="20"/>
          <w:szCs w:val="20"/>
          <w:color w:val="auto"/>
        </w:rPr>
      </w:pPr>
    </w:p>
    <w:p>
      <w:pPr>
        <w:sectPr>
          <w:pgSz w:w="11900" w:h="16838" w:orient="portrait"/>
          <w:cols w:equalWidth="0" w:num="2">
            <w:col w:w="360" w:space="360"/>
            <w:col w:w="10680"/>
          </w:cols>
          <w:pgMar w:left="240" w:top="375" w:right="259" w:bottom="1440" w:gutter="0" w:footer="0" w:header="0"/>
          <w:type w:val="continuous"/>
        </w:sectPr>
      </w:pPr>
    </w:p>
    <w:p>
      <w:pPr>
        <w:spacing w:after="0"/>
        <w:rPr>
          <w:sz w:val="20"/>
          <w:szCs w:val="20"/>
          <w:color w:val="auto"/>
        </w:rPr>
      </w:pPr>
      <w:r>
        <w:rPr>
          <w:rFonts w:ascii="Arial" w:cs="Arial" w:eastAsia="Arial" w:hAnsi="Arial"/>
          <w:sz w:val="21"/>
          <w:szCs w:val="21"/>
          <w:color w:val="auto"/>
        </w:rPr>
        <w:t>FMV</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ind w:right="20" w:hanging="147"/>
        <w:spacing w:after="0" w:line="248" w:lineRule="auto"/>
        <w:rPr>
          <w:sz w:val="20"/>
          <w:szCs w:val="20"/>
          <w:color w:val="auto"/>
        </w:rPr>
      </w:pPr>
      <w:r>
        <w:rPr>
          <w:rFonts w:ascii="Arial" w:cs="Arial" w:eastAsia="Arial" w:hAnsi="Arial"/>
          <w:sz w:val="22"/>
          <w:szCs w:val="22"/>
          <w:color w:val="auto"/>
        </w:rPr>
        <w:t>the average of the Last Reported Sale Prices of the Capital Stock or similar equity interest distributed to holders of the Common Stock applicable to one share of the Common Stock (determined by reference to the definition of Last Reported Sale Price as set forth in Section 1.01 as if references therein to Common Stock were to such Capital Stock or similar equity interest) over the first 10 consecutive Trading Day period after, and including, the Ex-Dividend Date of the Spin-Off (the “</w:t>
      </w:r>
      <w:r>
        <w:rPr>
          <w:rFonts w:ascii="Arial" w:cs="Arial" w:eastAsia="Arial" w:hAnsi="Arial"/>
          <w:sz w:val="22"/>
          <w:szCs w:val="22"/>
          <w:b w:val="1"/>
          <w:bCs w:val="1"/>
          <w:color w:val="auto"/>
        </w:rPr>
        <w:t>Valuation Period</w:t>
      </w:r>
      <w:r>
        <w:rPr>
          <w:rFonts w:ascii="Arial" w:cs="Arial" w:eastAsia="Arial" w:hAnsi="Arial"/>
          <w:sz w:val="22"/>
          <w:szCs w:val="22"/>
          <w:color w:val="auto"/>
        </w:rPr>
        <w:t>”); and</w:t>
      </w:r>
    </w:p>
    <w:p>
      <w:pPr>
        <w:spacing w:after="0" w:line="138" w:lineRule="exact"/>
        <w:rPr>
          <w:sz w:val="20"/>
          <w:szCs w:val="20"/>
          <w:color w:val="auto"/>
        </w:rPr>
      </w:pPr>
    </w:p>
    <w:p>
      <w:pPr>
        <w:sectPr>
          <w:pgSz w:w="11900" w:h="16838" w:orient="portrait"/>
          <w:cols w:equalWidth="0" w:num="3">
            <w:col w:w="540" w:space="180"/>
            <w:col w:w="120" w:space="360"/>
            <w:col w:w="10200"/>
          </w:cols>
          <w:pgMar w:left="240" w:top="375" w:right="259" w:bottom="1440" w:gutter="0" w:footer="0" w:header="0"/>
          <w:type w:val="continuous"/>
        </w:sectPr>
      </w:pPr>
    </w:p>
    <w:p>
      <w:pPr>
        <w:spacing w:after="0"/>
        <w:rPr>
          <w:sz w:val="20"/>
          <w:szCs w:val="20"/>
          <w:color w:val="auto"/>
        </w:rPr>
      </w:pPr>
      <w:r>
        <w:rPr>
          <w:rFonts w:ascii="Arial" w:cs="Arial" w:eastAsia="Arial" w:hAnsi="Arial"/>
          <w:sz w:val="21"/>
          <w:szCs w:val="21"/>
          <w:color w:val="auto"/>
        </w:rPr>
        <w:t>MP</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average of the Last Reported Sale Prices of the Common Stock over the Valuation Period.</w:t>
      </w:r>
    </w:p>
    <w:p>
      <w:pPr>
        <w:spacing w:after="0" w:line="166" w:lineRule="exact"/>
        <w:rPr>
          <w:sz w:val="20"/>
          <w:szCs w:val="20"/>
          <w:color w:val="auto"/>
        </w:rPr>
      </w:pPr>
    </w:p>
    <w:p>
      <w:pPr>
        <w:sectPr>
          <w:pgSz w:w="11900" w:h="16838" w:orient="portrait"/>
          <w:cols w:equalWidth="0" w:num="2">
            <w:col w:w="400" w:space="320"/>
            <w:col w:w="10680"/>
          </w:cols>
          <w:pgMar w:left="240" w:top="375" w:right="259" w:bottom="1440" w:gutter="0" w:footer="0" w:header="0"/>
          <w:type w:val="continuous"/>
        </w:sectPr>
      </w:pPr>
    </w:p>
    <w:p>
      <w:pPr>
        <w:ind w:firstLine="648"/>
        <w:spacing w:after="0" w:line="259" w:lineRule="auto"/>
        <w:rPr>
          <w:sz w:val="20"/>
          <w:szCs w:val="20"/>
          <w:color w:val="auto"/>
        </w:rPr>
      </w:pPr>
      <w:r>
        <w:rPr>
          <w:rFonts w:ascii="Arial" w:cs="Arial" w:eastAsia="Arial" w:hAnsi="Arial"/>
          <w:sz w:val="21"/>
          <w:szCs w:val="21"/>
          <w:color w:val="auto"/>
        </w:rPr>
        <w:t xml:space="preserve">The increase to the Conversion Rate under the preceding paragraph shall occur at the close of business on the last Trading Day of the Valuation Period;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(x) in respect of any conversion of Notes for which Physical Settlement is applicable, if the relevant Conversion Date occurs during the Valuation Period, the references to “10” in the preceding paragraph shall be deemed replaced with such lesser number of Trading Days as have elapsed between the Ex-Dividend Date of such Spin-Off and the Conversion Date in determining the Conversion Rate and (y) in respect of any conversion of Notes for which Cash Settlement or Combination Settlement is applicable, subject to the immediately succeeding sentence, for any Trading Day that falls within the Observation Period for such conversion and within the Valuation Period, the references to “10” in the preceding paragraph shall be deemed replaced with such lesser number</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400"/>
          </w:cols>
          <w:pgMar w:left="240" w:top="375" w:right="259" w:bottom="1440" w:gutter="0" w:footer="0" w:header="0"/>
          <w:type w:val="continuous"/>
        </w:sectPr>
      </w:pPr>
    </w:p>
    <w:bookmarkStart w:id="145" w:name="page146"/>
    <w:bookmarkEnd w:id="145"/>
    <w:p>
      <w:pPr>
        <w:ind w:right="80"/>
        <w:spacing w:after="0" w:line="290" w:lineRule="auto"/>
        <w:rPr>
          <w:sz w:val="20"/>
          <w:szCs w:val="20"/>
          <w:color w:val="auto"/>
        </w:rPr>
      </w:pPr>
      <w:r>
        <w:rPr>
          <w:rFonts w:ascii="Arial" w:cs="Arial" w:eastAsia="Arial" w:hAnsi="Arial"/>
          <w:sz w:val="19"/>
          <w:szCs w:val="19"/>
          <w:color w:val="auto"/>
        </w:rPr>
        <w:t>of Trading Days as have elapsed between the Ex-Dividend Date of such Spin-Off and such Trading Day in determining the Conversion Rate as of such Trading Day. In addition, if the Ex-Dividend Date for such Spin-Off is after the 10th Trading Day immediately preceding, and including, the end of any Observation Period in respect of a conversion of Notes, references to “10” or “10th” in the preceding paragraph and this paragraph shall be deemed replaced, solely in respect of that conversion, with such lesser number of Trading Days as have elapsed from, and including, the Ex-Dividend Date for the Spin-Off to, and including, the last Trading Day of such Observation Period. If such Spin-Off does not occur, the Conversion Rate shall be decreased to be the Conversion Rate that would then be in effect if such distribution had not been declared, effective as of the date on which the Board of Directors (or its designee) determines not to consummate such Spin-Off.</w:t>
      </w:r>
    </w:p>
    <w:p>
      <w:pPr>
        <w:spacing w:after="0" w:line="103"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For purposes of this Section 14.04(c) (and subject in all respect to Section 14.11),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w:t>
      </w:r>
      <w:r>
        <w:rPr>
          <w:rFonts w:ascii="Arial" w:cs="Arial" w:eastAsia="Arial" w:hAnsi="Arial"/>
          <w:sz w:val="22"/>
          <w:szCs w:val="22"/>
          <w:b w:val="1"/>
          <w:bCs w:val="1"/>
          <w:color w:val="auto"/>
        </w:rPr>
        <w:t>Trigger Event</w:t>
      </w:r>
      <w:r>
        <w:rPr>
          <w:rFonts w:ascii="Arial" w:cs="Arial" w:eastAsia="Arial" w:hAnsi="Arial"/>
          <w:sz w:val="22"/>
          <w:szCs w:val="22"/>
          <w:color w:val="auto"/>
        </w:rPr>
        <w:t>”):</w:t>
      </w:r>
    </w:p>
    <w:p>
      <w:pPr>
        <w:spacing w:after="0" w:line="134" w:lineRule="exact"/>
        <w:rPr>
          <w:sz w:val="20"/>
          <w:szCs w:val="20"/>
          <w:color w:val="auto"/>
        </w:rPr>
      </w:pPr>
    </w:p>
    <w:p>
      <w:pPr>
        <w:ind w:left="1680" w:hanging="375"/>
        <w:spacing w:after="0"/>
        <w:tabs>
          <w:tab w:leader="none" w:pos="168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are deemed to be transferred with such shares of the Common Stock;</w:t>
      </w:r>
    </w:p>
    <w:p>
      <w:pPr>
        <w:spacing w:after="0" w:line="179" w:lineRule="exact"/>
        <w:rPr>
          <w:rFonts w:ascii="Arial" w:cs="Arial" w:eastAsia="Arial" w:hAnsi="Arial"/>
          <w:sz w:val="22"/>
          <w:szCs w:val="22"/>
          <w:color w:val="auto"/>
        </w:rPr>
      </w:pPr>
    </w:p>
    <w:p>
      <w:pPr>
        <w:ind w:left="1740" w:hanging="435"/>
        <w:spacing w:after="0"/>
        <w:tabs>
          <w:tab w:leader="none" w:pos="174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are not exercisable; and</w:t>
      </w:r>
    </w:p>
    <w:p>
      <w:pPr>
        <w:spacing w:after="0" w:line="179" w:lineRule="exact"/>
        <w:rPr>
          <w:rFonts w:ascii="Arial" w:cs="Arial" w:eastAsia="Arial" w:hAnsi="Arial"/>
          <w:sz w:val="22"/>
          <w:szCs w:val="22"/>
          <w:color w:val="auto"/>
        </w:rPr>
      </w:pPr>
    </w:p>
    <w:p>
      <w:pPr>
        <w:ind w:left="1800" w:hanging="495"/>
        <w:spacing w:after="0"/>
        <w:tabs>
          <w:tab w:leader="none" w:pos="180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are also issued in respect of future issuances of the Common Stock,</w:t>
      </w:r>
    </w:p>
    <w:p>
      <w:pPr>
        <w:spacing w:after="0" w:line="179"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shall be deemed not to have been distributed for purposes of this Section 14.04(c) (and no adjustment to the Conversion Rate under this Section 14.04(c) will be required) until the occurrence of the earliest Trigger Event, whereupon such rights, options or warrants shall be deemed to have been distributed and an appropriate adjustment (if any is required) to the Conversion Rate shall be made under this Section 14.04(c).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14.04(c) was made:</w:t>
      </w:r>
    </w:p>
    <w:p>
      <w:pPr>
        <w:spacing w:after="0" w:line="367" w:lineRule="exact"/>
        <w:rPr>
          <w:sz w:val="20"/>
          <w:szCs w:val="20"/>
          <w:color w:val="auto"/>
        </w:rPr>
      </w:pPr>
    </w:p>
    <w:p>
      <w:pPr>
        <w:ind w:left="1380" w:right="60" w:firstLine="802"/>
        <w:spacing w:after="0" w:line="251" w:lineRule="auto"/>
        <w:tabs>
          <w:tab w:leader="none" w:pos="267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420"/>
          </w:cols>
          <w:pgMar w:left="240" w:top="375" w:right="239" w:bottom="1440" w:gutter="0" w:footer="0" w:header="0"/>
        </w:sectPr>
      </w:pPr>
    </w:p>
    <w:bookmarkStart w:id="146" w:name="page147"/>
    <w:bookmarkEnd w:id="146"/>
    <w:p>
      <w:pPr>
        <w:ind w:left="1380" w:right="140"/>
        <w:spacing w:after="0" w:line="312" w:lineRule="auto"/>
        <w:rPr>
          <w:sz w:val="20"/>
          <w:szCs w:val="20"/>
          <w:color w:val="auto"/>
        </w:rPr>
      </w:pPr>
      <w:r>
        <w:rPr>
          <w:rFonts w:ascii="Arial" w:cs="Arial" w:eastAsia="Arial" w:hAnsi="Arial"/>
          <w:sz w:val="19"/>
          <w:szCs w:val="19"/>
          <w:color w:val="auto"/>
        </w:rPr>
        <w:t>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w:t>
      </w:r>
    </w:p>
    <w:p>
      <w:pPr>
        <w:spacing w:after="0" w:line="80" w:lineRule="exact"/>
        <w:rPr>
          <w:sz w:val="20"/>
          <w:szCs w:val="20"/>
          <w:color w:val="auto"/>
        </w:rPr>
      </w:pPr>
    </w:p>
    <w:p>
      <w:pPr>
        <w:ind w:left="1380" w:right="120" w:firstLine="802"/>
        <w:spacing w:after="0" w:line="260" w:lineRule="auto"/>
        <w:tabs>
          <w:tab w:leader="none" w:pos="2658" w:val="left"/>
        </w:tabs>
        <w:numPr>
          <w:ilvl w:val="0"/>
          <w:numId w:val="127"/>
        </w:numPr>
        <w:rPr>
          <w:rFonts w:ascii="Arial" w:cs="Arial" w:eastAsia="Arial" w:hAnsi="Arial"/>
          <w:sz w:val="22"/>
          <w:szCs w:val="22"/>
          <w:color w:val="auto"/>
        </w:rPr>
      </w:pPr>
      <w:r>
        <w:rPr>
          <w:rFonts w:ascii="Arial" w:cs="Arial" w:eastAsia="Arial" w:hAnsi="Arial"/>
          <w:sz w:val="22"/>
          <w:szCs w:val="22"/>
          <w:color w:val="auto"/>
        </w:rPr>
        <w:t>in the case of such rights, options or warrants that shall have expired or been terminated without exercise by any holders thereof, the Conversion Rate shall be readjusted as if such rights, options and warrants had not been issued.</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purposes of Section 14.04(a), Section 14.04(b) and this Section 14.04(c), any dividend or distribution to which this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Section 14.04(c) is applicable that also includes one or both of:</w:t>
      </w:r>
    </w:p>
    <w:p>
      <w:pPr>
        <w:spacing w:after="0" w:line="196" w:lineRule="exact"/>
        <w:rPr>
          <w:sz w:val="20"/>
          <w:szCs w:val="20"/>
          <w:color w:val="auto"/>
        </w:rPr>
      </w:pPr>
    </w:p>
    <w:p>
      <w:pPr>
        <w:ind w:left="500" w:right="280" w:firstLine="805"/>
        <w:spacing w:after="0" w:line="282" w:lineRule="auto"/>
        <w:tabs>
          <w:tab w:leader="none" w:pos="169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 dividend or distribution of shares of Common Stock to which Section 14.04(a) is applicable (the “</w:t>
      </w:r>
      <w:r>
        <w:rPr>
          <w:rFonts w:ascii="Arial" w:cs="Arial" w:eastAsia="Arial" w:hAnsi="Arial"/>
          <w:sz w:val="22"/>
          <w:szCs w:val="22"/>
          <w:b w:val="1"/>
          <w:bCs w:val="1"/>
          <w:color w:val="auto"/>
        </w:rPr>
        <w:t>Clause A</w:t>
      </w:r>
      <w:r>
        <w:rPr>
          <w:rFonts w:ascii="Arial" w:cs="Arial" w:eastAsia="Arial" w:hAnsi="Arial"/>
          <w:sz w:val="22"/>
          <w:szCs w:val="22"/>
          <w:color w:val="auto"/>
        </w:rPr>
        <w:t xml:space="preserve"> </w:t>
      </w:r>
      <w:r>
        <w:rPr>
          <w:rFonts w:ascii="Arial" w:cs="Arial" w:eastAsia="Arial" w:hAnsi="Arial"/>
          <w:sz w:val="22"/>
          <w:szCs w:val="22"/>
          <w:b w:val="1"/>
          <w:bCs w:val="1"/>
          <w:color w:val="auto"/>
        </w:rPr>
        <w:t>Distribution</w:t>
      </w:r>
      <w:r>
        <w:rPr>
          <w:rFonts w:ascii="Arial" w:cs="Arial" w:eastAsia="Arial" w:hAnsi="Arial"/>
          <w:sz w:val="22"/>
          <w:szCs w:val="22"/>
          <w:color w:val="auto"/>
        </w:rPr>
        <w:t>”); or</w:t>
      </w:r>
    </w:p>
    <w:p>
      <w:pPr>
        <w:spacing w:after="0" w:line="148" w:lineRule="exact"/>
        <w:rPr>
          <w:rFonts w:ascii="Arial" w:cs="Arial" w:eastAsia="Arial" w:hAnsi="Arial"/>
          <w:sz w:val="22"/>
          <w:szCs w:val="22"/>
          <w:color w:val="auto"/>
        </w:rPr>
      </w:pPr>
    </w:p>
    <w:p>
      <w:pPr>
        <w:ind w:left="500" w:right="120" w:firstLine="805"/>
        <w:spacing w:after="0" w:line="282" w:lineRule="auto"/>
        <w:tabs>
          <w:tab w:leader="none" w:pos="175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 dividend or distribution of rights, options or warrants to which Section 14.04(b) is applicable (the “</w:t>
      </w:r>
      <w:r>
        <w:rPr>
          <w:rFonts w:ascii="Arial" w:cs="Arial" w:eastAsia="Arial" w:hAnsi="Arial"/>
          <w:sz w:val="22"/>
          <w:szCs w:val="22"/>
          <w:b w:val="1"/>
          <w:bCs w:val="1"/>
          <w:color w:val="auto"/>
        </w:rPr>
        <w:t>Clause B</w:t>
      </w:r>
      <w:r>
        <w:rPr>
          <w:rFonts w:ascii="Arial" w:cs="Arial" w:eastAsia="Arial" w:hAnsi="Arial"/>
          <w:sz w:val="22"/>
          <w:szCs w:val="22"/>
          <w:color w:val="auto"/>
        </w:rPr>
        <w:t xml:space="preserve"> </w:t>
      </w:r>
      <w:r>
        <w:rPr>
          <w:rFonts w:ascii="Arial" w:cs="Arial" w:eastAsia="Arial" w:hAnsi="Arial"/>
          <w:sz w:val="22"/>
          <w:szCs w:val="22"/>
          <w:b w:val="1"/>
          <w:bCs w:val="1"/>
          <w:color w:val="auto"/>
        </w:rPr>
        <w:t>Distribution</w:t>
      </w:r>
      <w:r>
        <w:rPr>
          <w:rFonts w:ascii="Arial" w:cs="Arial" w:eastAsia="Arial" w:hAnsi="Arial"/>
          <w:sz w:val="22"/>
          <w:szCs w:val="22"/>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then:</w:t>
      </w:r>
    </w:p>
    <w:p>
      <w:pPr>
        <w:spacing w:after="0" w:line="58" w:lineRule="exact"/>
        <w:rPr>
          <w:sz w:val="20"/>
          <w:szCs w:val="20"/>
          <w:color w:val="auto"/>
        </w:rPr>
      </w:pPr>
    </w:p>
    <w:p>
      <w:pPr>
        <w:ind w:left="1380" w:firstLine="802"/>
        <w:spacing w:after="0" w:line="254" w:lineRule="auto"/>
        <w:tabs>
          <w:tab w:leader="none" w:pos="267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such dividend or distribution, other than the Clause A Distribution and the Clause B Distribution, shall be deemed to be a dividend or distribution to which this Section 14.04(c) is applicable (the “</w:t>
      </w:r>
      <w:r>
        <w:rPr>
          <w:rFonts w:ascii="Arial" w:cs="Arial" w:eastAsia="Arial" w:hAnsi="Arial"/>
          <w:sz w:val="22"/>
          <w:szCs w:val="22"/>
          <w:b w:val="1"/>
          <w:bCs w:val="1"/>
          <w:color w:val="auto"/>
        </w:rPr>
        <w:t>Clause C</w:t>
      </w:r>
      <w:r>
        <w:rPr>
          <w:rFonts w:ascii="Arial" w:cs="Arial" w:eastAsia="Arial" w:hAnsi="Arial"/>
          <w:sz w:val="22"/>
          <w:szCs w:val="22"/>
          <w:color w:val="auto"/>
        </w:rPr>
        <w:t xml:space="preserve"> </w:t>
      </w:r>
      <w:r>
        <w:rPr>
          <w:rFonts w:ascii="Arial" w:cs="Arial" w:eastAsia="Arial" w:hAnsi="Arial"/>
          <w:sz w:val="22"/>
          <w:szCs w:val="22"/>
          <w:b w:val="1"/>
          <w:bCs w:val="1"/>
          <w:color w:val="auto"/>
        </w:rPr>
        <w:t>Distribution</w:t>
      </w:r>
      <w:r>
        <w:rPr>
          <w:rFonts w:ascii="Arial" w:cs="Arial" w:eastAsia="Arial" w:hAnsi="Arial"/>
          <w:sz w:val="22"/>
          <w:szCs w:val="22"/>
          <w:color w:val="auto"/>
        </w:rPr>
        <w:t>”) and any Conversion Rate adjustment required by this Section 14.04(c) with respect to such Clause C</w:t>
      </w:r>
      <w:r>
        <w:rPr>
          <w:rFonts w:ascii="Arial" w:cs="Arial" w:eastAsia="Arial" w:hAnsi="Arial"/>
          <w:sz w:val="22"/>
          <w:szCs w:val="22"/>
          <w:b w:val="1"/>
          <w:bCs w:val="1"/>
          <w:color w:val="auto"/>
        </w:rPr>
        <w:t xml:space="preserve"> </w:t>
      </w:r>
      <w:r>
        <w:rPr>
          <w:rFonts w:ascii="Arial" w:cs="Arial" w:eastAsia="Arial" w:hAnsi="Arial"/>
          <w:sz w:val="22"/>
          <w:szCs w:val="22"/>
          <w:color w:val="auto"/>
        </w:rPr>
        <w:t>Distribution shall then be made; and</w:t>
      </w:r>
    </w:p>
    <w:p>
      <w:pPr>
        <w:spacing w:after="0" w:line="185" w:lineRule="exact"/>
        <w:rPr>
          <w:rFonts w:ascii="Arial" w:cs="Arial" w:eastAsia="Arial" w:hAnsi="Arial"/>
          <w:sz w:val="22"/>
          <w:szCs w:val="22"/>
          <w:color w:val="auto"/>
        </w:rPr>
      </w:pPr>
    </w:p>
    <w:p>
      <w:pPr>
        <w:ind w:left="1380" w:right="40" w:firstLine="802"/>
        <w:spacing w:after="0" w:line="292" w:lineRule="auto"/>
        <w:tabs>
          <w:tab w:leader="none" w:pos="2658" w:val="left"/>
        </w:tabs>
        <w:numPr>
          <w:ilvl w:val="1"/>
          <w:numId w:val="129"/>
        </w:numPr>
        <w:rPr>
          <w:rFonts w:ascii="Arial" w:cs="Arial" w:eastAsia="Arial" w:hAnsi="Arial"/>
          <w:sz w:val="19"/>
          <w:szCs w:val="19"/>
          <w:color w:val="auto"/>
        </w:rPr>
      </w:pPr>
      <w:r>
        <w:rPr>
          <w:rFonts w:ascii="Arial" w:cs="Arial" w:eastAsia="Arial" w:hAnsi="Arial"/>
          <w:sz w:val="19"/>
          <w:szCs w:val="19"/>
          <w:color w:val="auto"/>
        </w:rPr>
        <w:t>the Clause A Distribution and Clause B Distribution shall be deemed to immediately follow the Clause C Distribution and any Conversion Rate adjustment required by Section 14.04(a) and Section 14.04(b) with respect thereto shall then be made, except that, if determined by the Company (I) the “Ex-Dividend Date” of the Clause A Distribution and the Clause B Distribution shall be deemed to be the Ex-Dividend Date of the Clause C Distribution and (II) any shares of Common Stock included in the Clause A Distribution or Clause B Distribution shall be deemed not to be “outstanding immediately prior to the open of business on such Ex-Dividend Date or effective date” within the meaning of Section 14.04(a) or “outstanding immediately prior to the open of business on such Ex-Dividend Date” within the meaning of Section 14.04(b).</w:t>
      </w:r>
    </w:p>
    <w:p>
      <w:pPr>
        <w:spacing w:after="0" w:line="155" w:lineRule="exact"/>
        <w:rPr>
          <w:rFonts w:ascii="Arial" w:cs="Arial" w:eastAsia="Arial" w:hAnsi="Arial"/>
          <w:sz w:val="19"/>
          <w:szCs w:val="19"/>
          <w:color w:val="auto"/>
        </w:rPr>
      </w:pPr>
    </w:p>
    <w:p>
      <w:pPr>
        <w:ind w:left="120" w:right="240" w:firstLine="658"/>
        <w:spacing w:after="0" w:line="260" w:lineRule="auto"/>
        <w:tabs>
          <w:tab w:leader="none" w:pos="120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If any cash dividend or distribution is made to all or substantially all holders of the Common Stock (other than a regular, quarterly cash dividend that does not exceed $0.35 per share (the “</w:t>
      </w:r>
      <w:r>
        <w:rPr>
          <w:rFonts w:ascii="Arial" w:cs="Arial" w:eastAsia="Arial" w:hAnsi="Arial"/>
          <w:sz w:val="22"/>
          <w:szCs w:val="22"/>
          <w:b w:val="1"/>
          <w:bCs w:val="1"/>
          <w:color w:val="auto"/>
        </w:rPr>
        <w:t>Initial Dividend Threshold</w:t>
      </w:r>
      <w:r>
        <w:rPr>
          <w:rFonts w:ascii="Arial" w:cs="Arial" w:eastAsia="Arial" w:hAnsi="Arial"/>
          <w:sz w:val="22"/>
          <w:szCs w:val="22"/>
          <w:color w:val="auto"/>
        </w:rPr>
        <w:t>”)),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48895</wp:posOffset>
            </wp:positionV>
            <wp:extent cx="1697990" cy="386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169799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420"/>
          </w:cols>
          <w:pgMar w:left="240" w:top="375" w:right="239" w:bottom="1440" w:gutter="0" w:footer="0" w:header="0"/>
        </w:sectPr>
      </w:pPr>
    </w:p>
    <w:bookmarkStart w:id="147" w:name="page148"/>
    <w:bookmarkEnd w:id="147"/>
    <w:p>
      <w:pPr>
        <w:spacing w:after="0"/>
        <w:rPr>
          <w:sz w:val="20"/>
          <w:szCs w:val="20"/>
          <w:color w:val="auto"/>
        </w:rPr>
      </w:pPr>
      <w:r>
        <w:rPr>
          <w:rFonts w:ascii="Arial" w:cs="Arial" w:eastAsia="Arial" w:hAnsi="Arial"/>
          <w:sz w:val="19"/>
          <w:szCs w:val="19"/>
          <w:color w:val="auto"/>
        </w:rPr>
        <w:t>where,</w:t>
      </w:r>
    </w:p>
    <w:p>
      <w:pPr>
        <w:sectPr>
          <w:pgSz w:w="11900" w:h="16838" w:orient="portrait"/>
          <w:cols w:equalWidth="0" w:num="1">
            <w:col w:w="11420"/>
          </w:cols>
          <w:pgMar w:left="240" w:top="374" w:right="239"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right="180" w:hanging="485"/>
        <w:spacing w:after="0" w:line="26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Conversion Rate in effect immediately prior to the open of business on the Ex-Dividend Date for such dividend or distribution;</w:t>
      </w:r>
    </w:p>
    <w:p>
      <w:pPr>
        <w:spacing w:after="0" w:line="175" w:lineRule="exact"/>
        <w:rPr>
          <w:sz w:val="20"/>
          <w:szCs w:val="20"/>
          <w:color w:val="auto"/>
        </w:rPr>
      </w:pPr>
    </w:p>
    <w:p>
      <w:pPr>
        <w:sectPr>
          <w:pgSz w:w="11900" w:h="16838" w:orient="portrait"/>
          <w:cols w:equalWidth="0" w:num="2">
            <w:col w:w="360" w:space="680"/>
            <w:col w:w="10380"/>
          </w:cols>
          <w:pgMar w:left="240" w:top="374" w:right="239" w:bottom="1440" w:gutter="0" w:footer="0" w:header="0"/>
          <w:type w:val="continuous"/>
        </w:sect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ind w:right="420" w:hanging="485"/>
        <w:spacing w:after="0" w:line="26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Conversion Rate in effect immediately after the open of business on the Ex-Dividend Date for such dividend or distribution;</w:t>
      </w:r>
    </w:p>
    <w:p>
      <w:pPr>
        <w:spacing w:after="0" w:line="175" w:lineRule="exact"/>
        <w:rPr>
          <w:sz w:val="20"/>
          <w:szCs w:val="20"/>
          <w:color w:val="auto"/>
        </w:rPr>
      </w:pPr>
    </w:p>
    <w:p>
      <w:pPr>
        <w:sectPr>
          <w:pgSz w:w="11900" w:h="16838" w:orient="portrait"/>
          <w:cols w:equalWidth="0" w:num="2">
            <w:col w:w="360" w:space="680"/>
            <w:col w:w="10380"/>
          </w:cols>
          <w:pgMar w:left="240" w:top="374" w:right="239" w:bottom="1440" w:gutter="0" w:footer="0" w:header="0"/>
          <w:type w:val="continuous"/>
        </w:sectPr>
      </w:pPr>
    </w:p>
    <w:p>
      <w:pPr>
        <w:spacing w:after="0"/>
        <w:rPr>
          <w:sz w:val="20"/>
          <w:szCs w:val="20"/>
          <w:color w:val="auto"/>
        </w:rPr>
      </w:pPr>
      <w:r>
        <w:rPr>
          <w:rFonts w:ascii="Arial" w:cs="Arial" w:eastAsia="Arial" w:hAnsi="Arial"/>
          <w:sz w:val="18"/>
          <w:szCs w:val="18"/>
          <w:color w:val="auto"/>
        </w:rPr>
        <w:t>SP</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ind w:right="240" w:hanging="485"/>
        <w:spacing w:after="0" w:line="26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Last Reported Sale Price of the Common Stock on the Trading Day immediately preceding the Ex-Dividend Date for such dividend or distribution;</w:t>
      </w:r>
    </w:p>
    <w:p>
      <w:pPr>
        <w:spacing w:after="0" w:line="175" w:lineRule="exact"/>
        <w:rPr>
          <w:sz w:val="20"/>
          <w:szCs w:val="20"/>
          <w:color w:val="auto"/>
        </w:rPr>
      </w:pPr>
    </w:p>
    <w:p>
      <w:pPr>
        <w:sectPr>
          <w:pgSz w:w="11900" w:h="16838" w:orient="portrait"/>
          <w:cols w:equalWidth="0" w:num="2">
            <w:col w:w="320" w:space="720"/>
            <w:col w:w="10380"/>
          </w:cols>
          <w:pgMar w:left="240" w:top="374" w:right="239" w:bottom="1440" w:gutter="0" w:footer="0" w:header="0"/>
          <w:type w:val="continuous"/>
        </w:sectPr>
      </w:pPr>
    </w:p>
    <w:p>
      <w:pPr>
        <w:ind w:left="1200" w:right="100" w:hanging="1192"/>
        <w:spacing w:after="0" w:line="263" w:lineRule="auto"/>
        <w:tabs>
          <w:tab w:leader="none" w:pos="714" w:val="left"/>
        </w:tabs>
        <w:numPr>
          <w:ilvl w:val="0"/>
          <w:numId w:val="131"/>
        </w:numPr>
        <w:rPr>
          <w:rFonts w:ascii="Arial" w:cs="Arial" w:eastAsia="Arial" w:hAnsi="Arial"/>
          <w:sz w:val="22"/>
          <w:szCs w:val="22"/>
          <w:color w:val="auto"/>
        </w:rPr>
      </w:pPr>
      <w:r>
        <w:rPr>
          <w:rFonts w:ascii="Arial" w:cs="Arial" w:eastAsia="Arial" w:hAnsi="Arial"/>
          <w:sz w:val="22"/>
          <w:szCs w:val="22"/>
          <w:color w:val="auto"/>
        </w:rPr>
        <w:t xml:space="preserve">= the Initial Dividend Threshold;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the dividend or distribution is not a regular quarterly cash dividend, the Initial Dividend Threshold shall be deemed to be zero; and</w:t>
      </w:r>
    </w:p>
    <w:p>
      <w:pPr>
        <w:spacing w:after="0" w:line="175" w:lineRule="exact"/>
        <w:rPr>
          <w:sz w:val="20"/>
          <w:szCs w:val="20"/>
          <w:color w:val="auto"/>
        </w:rPr>
      </w:pPr>
    </w:p>
    <w:p>
      <w:pPr>
        <w:ind w:left="720" w:hanging="712"/>
        <w:spacing w:after="0"/>
        <w:tabs>
          <w:tab w:leader="none" w:pos="72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  the amount in cash per share the Company distributes to all or substantially all holders of the Common Stock.</w:t>
      </w:r>
    </w:p>
    <w:p>
      <w:pPr>
        <w:spacing w:after="0" w:line="231"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 xml:space="preserve">The Initial Dividend Threshold is subject to adjustment in a manner inversely proportional to adjustments to the Conversion Rate;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 adjustment will be made to the Initial Dividend Threshold for any adjustment to the Conversion Rate under this clause (d).</w:t>
      </w:r>
    </w:p>
    <w:p>
      <w:pPr>
        <w:spacing w:after="0" w:line="226" w:lineRule="exact"/>
        <w:rPr>
          <w:sz w:val="20"/>
          <w:szCs w:val="20"/>
          <w:color w:val="auto"/>
        </w:rPr>
      </w:pPr>
    </w:p>
    <w:p>
      <w:pPr>
        <w:ind w:right="240" w:firstLine="648"/>
        <w:spacing w:after="0" w:line="302" w:lineRule="auto"/>
        <w:rPr>
          <w:sz w:val="20"/>
          <w:szCs w:val="20"/>
          <w:color w:val="auto"/>
        </w:rPr>
      </w:pPr>
      <w:r>
        <w:rPr>
          <w:rFonts w:ascii="Arial" w:cs="Arial" w:eastAsia="Arial" w:hAnsi="Arial"/>
          <w:sz w:val="19"/>
          <w:szCs w:val="19"/>
          <w:color w:val="auto"/>
        </w:rPr>
        <w:t>Any increase made pursuant to this Section 14.04(d)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the Conversion Rate that would then be in effect if such dividend or distribution had not been declared.</w:t>
      </w:r>
    </w:p>
    <w:p>
      <w:pPr>
        <w:spacing w:after="0" w:line="143" w:lineRule="exact"/>
        <w:rPr>
          <w:sz w:val="20"/>
          <w:szCs w:val="20"/>
          <w:color w:val="auto"/>
        </w:rPr>
      </w:pPr>
    </w:p>
    <w:p>
      <w:pPr>
        <w:ind w:right="160" w:firstLine="648"/>
        <w:spacing w:after="0" w:line="263" w:lineRule="auto"/>
        <w:rPr>
          <w:sz w:val="20"/>
          <w:szCs w:val="20"/>
          <w:color w:val="auto"/>
        </w:rPr>
      </w:pPr>
      <w:r>
        <w:rPr>
          <w:rFonts w:ascii="Arial" w:cs="Arial" w:eastAsia="Arial" w:hAnsi="Arial"/>
          <w:sz w:val="21"/>
          <w:szCs w:val="21"/>
          <w:color w:val="auto"/>
        </w:rPr>
        <w:t>Notwithstanding the foregoing, if “C” (as defined above) is equal to or greater than “SP</w:t>
      </w:r>
      <w:r>
        <w:rPr>
          <w:rFonts w:ascii="Arial" w:cs="Arial" w:eastAsia="Arial" w:hAnsi="Arial"/>
          <w:sz w:val="13"/>
          <w:szCs w:val="13"/>
          <w:color w:val="auto"/>
        </w:rPr>
        <w:t>0</w:t>
      </w:r>
      <w:r>
        <w:rPr>
          <w:rFonts w:ascii="Arial" w:cs="Arial" w:eastAsia="Arial" w:hAnsi="Arial"/>
          <w:sz w:val="21"/>
          <w:szCs w:val="21"/>
          <w:color w:val="auto"/>
        </w:rPr>
        <w:t>” (as defined above), in lieu of the foregoing increase, each Holder of a Note shall receive, for each $1,000 principal amount of Notes, at the same time and upon the same terms as holders of shares of the Common Stock, the amount of cash that such Holder would have received if such Holder owned a number of shares of Common Stock equal to the Conversion Rate in effect immediately prior to the open of business on the Ex-Dividend Date for such cash dividend or distribution.</w:t>
      </w:r>
    </w:p>
    <w:p>
      <w:pPr>
        <w:spacing w:after="0" w:line="176" w:lineRule="exact"/>
        <w:rPr>
          <w:sz w:val="20"/>
          <w:szCs w:val="20"/>
          <w:color w:val="auto"/>
        </w:rPr>
      </w:pPr>
    </w:p>
    <w:p>
      <w:pPr>
        <w:ind w:left="120" w:firstLine="658"/>
        <w:spacing w:after="0" w:line="250" w:lineRule="auto"/>
        <w:tabs>
          <w:tab w:leader="none" w:pos="1188" w:val="left"/>
        </w:tabs>
        <w:numPr>
          <w:ilvl w:val="0"/>
          <w:numId w:val="133"/>
        </w:numPr>
        <w:rPr>
          <w:rFonts w:ascii="Arial" w:cs="Arial" w:eastAsia="Arial" w:hAnsi="Arial"/>
          <w:sz w:val="22"/>
          <w:szCs w:val="22"/>
          <w:color w:val="auto"/>
        </w:rPr>
      </w:pPr>
      <w:r>
        <w:rPr>
          <w:rFonts w:ascii="Arial" w:cs="Arial" w:eastAsia="Arial" w:hAnsi="Arial"/>
          <w:sz w:val="22"/>
          <w:szCs w:val="22"/>
          <w:color w:val="auto"/>
        </w:rPr>
        <w:t>If the Company or any of its Subsidiaries makes a payment in respect of a tender or exchange offer for the Common Stock,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(such date, the “</w:t>
      </w:r>
      <w:r>
        <w:rPr>
          <w:rFonts w:ascii="Arial" w:cs="Arial" w:eastAsia="Arial" w:hAnsi="Arial"/>
          <w:sz w:val="22"/>
          <w:szCs w:val="22"/>
          <w:b w:val="1"/>
          <w:bCs w:val="1"/>
          <w:color w:val="auto"/>
        </w:rPr>
        <w:t>Expiration Date</w:t>
      </w:r>
      <w:r>
        <w:rPr>
          <w:rFonts w:ascii="Arial" w:cs="Arial" w:eastAsia="Arial" w:hAnsi="Arial"/>
          <w:sz w:val="22"/>
          <w:szCs w:val="22"/>
          <w:color w:val="auto"/>
        </w:rPr>
        <w:t>”), the Conversion Rate shall be increased based on the following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420"/>
          </w:cols>
          <w:pgMar w:left="240" w:top="374" w:right="239" w:bottom="1440" w:gutter="0" w:footer="0" w:header="0"/>
          <w:type w:val="continuous"/>
        </w:sectPr>
      </w:pPr>
    </w:p>
    <w:bookmarkStart w:id="148" w:name="page149"/>
    <w:bookmarkEnd w:id="148"/>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2884805</wp:posOffset>
            </wp:positionH>
            <wp:positionV relativeFrom="page">
              <wp:posOffset>243205</wp:posOffset>
            </wp:positionV>
            <wp:extent cx="1792605" cy="531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792605" cy="531495"/>
                    </a:xfrm>
                    <a:prstGeom prst="rect">
                      <a:avLst/>
                    </a:prstGeom>
                    <a:noFill/>
                  </pic:spPr>
                </pic:pic>
              </a:graphicData>
            </a:graphic>
          </wp:anchor>
        </w:drawing>
        <w:t>where,</w:t>
      </w:r>
    </w:p>
    <w:p>
      <w:pPr>
        <w:sectPr>
          <w:pgSz w:w="11900" w:h="16838" w:orient="portrait"/>
          <w:cols w:equalWidth="0" w:num="1">
            <w:col w:w="11400"/>
          </w:cols>
          <w:pgMar w:left="240" w:top="1374" w:right="25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860" w:hanging="485"/>
        <w:spacing w:after="0" w:line="26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Conversion Rate in effect immediately prior to the close of business on the 10th Trading Day immediately following, and including, the Trading Day next succeeding the Expiration Date;</w:t>
      </w:r>
    </w:p>
    <w:p>
      <w:pPr>
        <w:spacing w:after="0" w:line="121" w:lineRule="exact"/>
        <w:rPr>
          <w:sz w:val="20"/>
          <w:szCs w:val="20"/>
          <w:color w:val="auto"/>
        </w:rPr>
      </w:pPr>
    </w:p>
    <w:p>
      <w:pPr>
        <w:sectPr>
          <w:pgSz w:w="11900" w:h="16838" w:orient="portrait"/>
          <w:cols w:equalWidth="0" w:num="2">
            <w:col w:w="360" w:space="680"/>
            <w:col w:w="10360"/>
          </w:cols>
          <w:pgMar w:left="240" w:top="1374" w:right="259" w:bottom="1440" w:gutter="0" w:footer="0" w:header="0"/>
          <w:type w:val="continuous"/>
        </w:sect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ind w:right="140" w:hanging="485"/>
        <w:spacing w:after="0" w:line="26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Conversion Rate in effect immediately after the close of business on the 10th Trading Day immediately following, and including, the Trading Day next succeeding the Expiration Date;</w:t>
      </w:r>
    </w:p>
    <w:p>
      <w:pPr>
        <w:spacing w:after="0" w:line="121" w:lineRule="exact"/>
        <w:rPr>
          <w:sz w:val="20"/>
          <w:szCs w:val="20"/>
          <w:color w:val="auto"/>
        </w:rPr>
      </w:pPr>
    </w:p>
    <w:p>
      <w:pPr>
        <w:sectPr>
          <w:pgSz w:w="11900" w:h="16838" w:orient="portrait"/>
          <w:cols w:equalWidth="0" w:num="2">
            <w:col w:w="360" w:space="680"/>
            <w:col w:w="10360"/>
          </w:cols>
          <w:pgMar w:left="240" w:top="1374" w:right="259" w:bottom="1440" w:gutter="0" w:footer="0" w:header="0"/>
          <w:type w:val="continuous"/>
        </w:sectPr>
      </w:pPr>
    </w:p>
    <w:p>
      <w:pPr>
        <w:spacing w:after="0"/>
        <w:rPr>
          <w:sz w:val="20"/>
          <w:szCs w:val="20"/>
          <w:color w:val="auto"/>
        </w:rPr>
      </w:pPr>
      <w:r>
        <w:rPr>
          <w:rFonts w:ascii="Arial" w:cs="Arial" w:eastAsia="Arial" w:hAnsi="Arial"/>
          <w:sz w:val="21"/>
          <w:szCs w:val="21"/>
          <w:color w:val="auto"/>
        </w:rPr>
        <w:t>AC</w:t>
      </w:r>
    </w:p>
    <w:p>
      <w:pPr>
        <w:spacing w:after="0" w:line="20" w:lineRule="exact"/>
        <w:rPr>
          <w:sz w:val="20"/>
          <w:szCs w:val="20"/>
          <w:color w:val="auto"/>
        </w:rPr>
      </w:pPr>
      <w:r>
        <w:rPr>
          <w:sz w:val="20"/>
          <w:szCs w:val="20"/>
          <w:color w:val="auto"/>
        </w:rPr>
        <w:br w:type="column"/>
      </w:r>
    </w:p>
    <w:p>
      <w:pPr>
        <w:ind w:right="220" w:hanging="485"/>
        <w:spacing w:after="0" w:line="26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aggregate value of all cash and any other consideration (as determined by the Board of Directors) paid or payable for shares of Common Stock purchased in such tender or exchange offer;</w:t>
      </w:r>
    </w:p>
    <w:p>
      <w:pPr>
        <w:spacing w:after="0" w:line="115" w:lineRule="exact"/>
        <w:rPr>
          <w:sz w:val="20"/>
          <w:szCs w:val="20"/>
          <w:color w:val="auto"/>
        </w:rPr>
      </w:pPr>
    </w:p>
    <w:p>
      <w:pPr>
        <w:sectPr>
          <w:pgSz w:w="11900" w:h="16838" w:orient="portrait"/>
          <w:cols w:equalWidth="0" w:num="2">
            <w:col w:w="320" w:space="720"/>
            <w:col w:w="10360"/>
          </w:cols>
          <w:pgMar w:left="240" w:top="1374" w:right="25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OS</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ind w:right="280" w:hanging="485"/>
        <w:spacing w:after="0" w:line="256"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number of shares of Common Stock outstanding immediately prior to the time (the “</w:t>
      </w:r>
      <w:r>
        <w:rPr>
          <w:rFonts w:ascii="Arial" w:cs="Arial" w:eastAsia="Arial" w:hAnsi="Arial"/>
          <w:sz w:val="22"/>
          <w:szCs w:val="22"/>
          <w:b w:val="1"/>
          <w:bCs w:val="1"/>
          <w:color w:val="auto"/>
        </w:rPr>
        <w:t>Expiration Time</w:t>
      </w:r>
      <w:r>
        <w:rPr>
          <w:rFonts w:ascii="Arial" w:cs="Arial" w:eastAsia="Arial" w:hAnsi="Arial"/>
          <w:sz w:val="22"/>
          <w:szCs w:val="22"/>
          <w:color w:val="auto"/>
        </w:rPr>
        <w:t>”) such tender or exchange offer expires (prior to giving effect to the purchase of all shares of Common Stock accepted for purchase or exchange in such tender or exchange offer);</w:t>
      </w:r>
    </w:p>
    <w:p>
      <w:pPr>
        <w:spacing w:after="0" w:line="128" w:lineRule="exact"/>
        <w:rPr>
          <w:sz w:val="20"/>
          <w:szCs w:val="20"/>
          <w:color w:val="auto"/>
        </w:rPr>
      </w:pPr>
    </w:p>
    <w:p>
      <w:pPr>
        <w:sectPr>
          <w:pgSz w:w="11900" w:h="16838" w:orient="portrait"/>
          <w:cols w:equalWidth="0" w:num="2">
            <w:col w:w="360" w:space="680"/>
            <w:col w:w="10360"/>
          </w:cols>
          <w:pgMar w:left="240" w:top="1374" w:right="259" w:bottom="1440" w:gutter="0" w:footer="0" w:header="0"/>
          <w:type w:val="continuous"/>
        </w:sectPr>
      </w:pPr>
    </w:p>
    <w:p>
      <w:pPr>
        <w:spacing w:after="0"/>
        <w:rPr>
          <w:sz w:val="20"/>
          <w:szCs w:val="20"/>
          <w:color w:val="auto"/>
        </w:rPr>
      </w:pPr>
      <w:r>
        <w:rPr>
          <w:rFonts w:ascii="Arial" w:cs="Arial" w:eastAsia="Arial" w:hAnsi="Arial"/>
          <w:sz w:val="19"/>
          <w:szCs w:val="19"/>
          <w:color w:val="auto"/>
        </w:rPr>
        <w:t>OS</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jc w:val="right"/>
        <w:ind w:right="260"/>
        <w:spacing w:after="0" w:line="343" w:lineRule="auto"/>
        <w:rPr>
          <w:sz w:val="20"/>
          <w:szCs w:val="20"/>
          <w:color w:val="auto"/>
        </w:rPr>
      </w:pPr>
      <w:r>
        <w:rPr>
          <w:rFonts w:ascii="Arial" w:cs="Arial" w:eastAsia="Arial" w:hAnsi="Arial"/>
          <w:sz w:val="19"/>
          <w:szCs w:val="19"/>
          <w:color w:val="auto"/>
        </w:rPr>
        <w:t>=  the number of shares of Common Stock outstanding immediately after the Expiration Time (after giving effect to the purchase of all shares of Common Stock accepted for purchase or exchange in such tender or exchange offer); and</w:t>
      </w:r>
    </w:p>
    <w:p>
      <w:pPr>
        <w:spacing w:after="0" w:line="51" w:lineRule="exact"/>
        <w:rPr>
          <w:sz w:val="20"/>
          <w:szCs w:val="20"/>
          <w:color w:val="auto"/>
        </w:rPr>
      </w:pPr>
    </w:p>
    <w:p>
      <w:pPr>
        <w:sectPr>
          <w:pgSz w:w="11900" w:h="16838" w:orient="portrait"/>
          <w:cols w:equalWidth="0" w:num="2">
            <w:col w:w="360" w:space="360"/>
            <w:col w:w="10680"/>
          </w:cols>
          <w:pgMar w:left="240" w:top="13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SP</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br w:type="column"/>
      </w:r>
    </w:p>
    <w:p>
      <w:pPr>
        <w:ind w:right="720" w:hanging="485"/>
        <w:spacing w:after="0" w:line="287"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1"/>
          <w:szCs w:val="21"/>
          <w:color w:val="auto"/>
        </w:rPr>
        <w:t>the average of the Last Reported Sale Prices of the Common Stock over the 10 consecutive Trading Day period commencing on, and including, the Trading Day next succeeding the Expiration Date.</w:t>
      </w:r>
    </w:p>
    <w:p>
      <w:pPr>
        <w:spacing w:after="0" w:line="98" w:lineRule="exact"/>
        <w:rPr>
          <w:sz w:val="20"/>
          <w:szCs w:val="20"/>
          <w:color w:val="auto"/>
        </w:rPr>
      </w:pPr>
    </w:p>
    <w:p>
      <w:pPr>
        <w:sectPr>
          <w:pgSz w:w="11900" w:h="16838" w:orient="portrait"/>
          <w:cols w:equalWidth="0" w:num="2">
            <w:col w:w="320" w:space="720"/>
            <w:col w:w="10360"/>
          </w:cols>
          <w:pgMar w:left="240" w:top="1374" w:right="259" w:bottom="1440" w:gutter="0" w:footer="0" w:header="0"/>
          <w:type w:val="continuous"/>
        </w:sectPr>
      </w:pPr>
    </w:p>
    <w:p>
      <w:pPr>
        <w:ind w:firstLine="648"/>
        <w:spacing w:after="0" w:line="287" w:lineRule="auto"/>
        <w:rPr>
          <w:sz w:val="20"/>
          <w:szCs w:val="20"/>
          <w:color w:val="auto"/>
        </w:rPr>
      </w:pPr>
      <w:r>
        <w:rPr>
          <w:rFonts w:ascii="Arial" w:cs="Arial" w:eastAsia="Arial" w:hAnsi="Arial"/>
          <w:sz w:val="19"/>
          <w:szCs w:val="19"/>
          <w:color w:val="auto"/>
        </w:rPr>
        <w:t xml:space="preserve">The increase to the Conversion Rate under this Section 14.04(e) shall occur at the close of business on the 10th Trading Day immediately following, and including, the Trading Day next succeeding the date such tender or exchange offer expires;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 in respect of any conversion of Notes for which Physical Settlement is applicable, if the relevant Conversion Date occurs during the 10 Trading Days immediately following, and including, the Trading Day next succeeding the Expiration Date, references to “10” or “10th” in the preceding paragraph shall be deemed replaced with such lesser number of Trading Days as have elapsed between such Expiration Date and the Conversion Date in determining the Conversion Rate and (y) in respect of any conversion of Notes for which Cash Settlement or Combination Settlement is applicable, subject to the immediately succeeding sentence, for any Trading Day that falls within the Observation Period for such conversion and within the 10 Trading Days immediately following, and including, the Trading Day next succeeding the Expiration Date, references to “10” or “10th” in the preceding paragraph shall be deemed replaced with such lesser number of Trading Days as have elapsed between the Expiration Date of such tender or exchange offer and such Trading Day in determining the Conversion Rate as of such Trading Day. In addition, if the Trading Day next succeeding the Expiration Date is after the 10th Trading Day immediately preceding, and including, the end of any Observation Period in respect of a conversion of Notes,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400"/>
          </w:cols>
          <w:pgMar w:left="240" w:top="1374" w:right="259" w:bottom="1440" w:gutter="0" w:footer="0" w:header="0"/>
          <w:type w:val="continuous"/>
        </w:sectPr>
      </w:pPr>
    </w:p>
    <w:bookmarkStart w:id="149" w:name="page150"/>
    <w:bookmarkEnd w:id="149"/>
    <w:p>
      <w:pPr>
        <w:ind w:right="120"/>
        <w:spacing w:after="0" w:line="253" w:lineRule="auto"/>
        <w:rPr>
          <w:sz w:val="20"/>
          <w:szCs w:val="20"/>
          <w:color w:val="auto"/>
        </w:rPr>
      </w:pPr>
      <w:r>
        <w:rPr>
          <w:rFonts w:ascii="Arial" w:cs="Arial" w:eastAsia="Arial" w:hAnsi="Arial"/>
          <w:sz w:val="22"/>
          <w:szCs w:val="22"/>
          <w:color w:val="auto"/>
        </w:rPr>
        <w:t>references to “10” or “10th” in the preceding paragraph and this paragraph shall be deemed to be replaced, solely in respect of that conversion, with such lesser number of Trading Days as have elapsed from, and including, the Trading Day next succeeding the Expiration Date to, and including, last Trading Day of such Observation Period.</w:t>
      </w:r>
    </w:p>
    <w:p>
      <w:pPr>
        <w:spacing w:after="0" w:line="132"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In the event that the Company or one of its Subsidiaries is obligated to purchase shares of Common Stock pursuant to any such tender or exchange offer, but the Company or such Subsidiary is permanently prevented by applicable law from effecting any such purchases, or all such purchases are rescinded, then the Conversion Rate shall again be adjusted to be the Conversion Rate that would then be in effect if such tender or exchange offer had not been made or had been made only in respect of the purchases that have been effected.</w:t>
      </w:r>
    </w:p>
    <w:p>
      <w:pPr>
        <w:spacing w:after="0" w:line="233" w:lineRule="exact"/>
        <w:rPr>
          <w:sz w:val="20"/>
          <w:szCs w:val="20"/>
          <w:color w:val="auto"/>
        </w:rPr>
      </w:pPr>
    </w:p>
    <w:p>
      <w:pPr>
        <w:ind w:left="120" w:right="40" w:firstLine="658"/>
        <w:spacing w:after="0" w:line="292" w:lineRule="auto"/>
        <w:tabs>
          <w:tab w:leader="none" w:pos="1164" w:val="left"/>
        </w:tabs>
        <w:numPr>
          <w:ilvl w:val="0"/>
          <w:numId w:val="134"/>
        </w:numPr>
        <w:rPr>
          <w:rFonts w:ascii="Arial" w:cs="Arial" w:eastAsia="Arial" w:hAnsi="Arial"/>
          <w:sz w:val="19"/>
          <w:szCs w:val="19"/>
          <w:color w:val="auto"/>
        </w:rPr>
      </w:pPr>
      <w:r>
        <w:rPr>
          <w:rFonts w:ascii="Arial" w:cs="Arial" w:eastAsia="Arial" w:hAnsi="Arial"/>
          <w:sz w:val="19"/>
          <w:szCs w:val="19"/>
          <w:color w:val="auto"/>
        </w:rPr>
        <w:t>Notwithstanding anything to the contrary in this Section 14.04 or any other provision of this Indenture or the Notes, if a Conversion Rate adjustment becomes effective on any Ex-Dividend Date and a Holder that has converted its Notes on or after such Ex-Dividend Date and on or prior to the related Record Date would be treated as the record holder of the shares of Common Stock as of the related Conversion Date as described under Section 14.02(h) based on an adjusted Conversion Rate for such Ex-Dividend Date, then, notwithstanding the Conversion Rate adjustment provisions in this Section 14.04, the Conversion Rate adjustment relating to such Ex-Dividend Date shall not be made for such converting Holder. Instead, such Holder shall be treated as if such Holder were the record owner of the shares of Common Stock on an unadjusted basis and participate in the related dividend, distribution or other event giving rise to such adjustment.</w:t>
      </w:r>
    </w:p>
    <w:p>
      <w:pPr>
        <w:spacing w:after="0" w:line="101" w:lineRule="exact"/>
        <w:rPr>
          <w:rFonts w:ascii="Arial" w:cs="Arial" w:eastAsia="Arial" w:hAnsi="Arial"/>
          <w:sz w:val="19"/>
          <w:szCs w:val="19"/>
          <w:color w:val="auto"/>
        </w:rPr>
      </w:pPr>
    </w:p>
    <w:p>
      <w:pPr>
        <w:ind w:left="120" w:right="60" w:firstLine="658"/>
        <w:spacing w:after="0" w:line="290" w:lineRule="auto"/>
        <w:tabs>
          <w:tab w:leader="none" w:pos="120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All calculations and other determinations under this Article 14 shall be made by the Company and all adjustments to the Conversion Rate shall be made to the nearest one-ten thousandth (1/10,000th) of a share. In no event will the Conversion Rate be adjusted such that the Conversion Price shall be less than the par value per share of Common Stock. Notwithstanding anything in this Article 14 to the contrary, the Company shall not be required to adjust the Conversion Rate unless the adjustment would result in an increase or decrease of at least 1.0% of the applicable Conversion Rate. However, the Company shall carry forward any adjustments that are less than 1% of the Conversion Rate, take such carried-forward adjustments into account in any subsequent adjustment, and make such carried-forward adjustments regardless of whether the aggregate amount of such adjustments is less than 1% (a) on the Conversion Date for any Notes (in the case of Physical Settlement), (b) on each VWAP Trading Day of any Observation Period (in the case of cash settlement or combination settlement) and (c) on the effective date of any Fundamental Change or the Effective Date of a Make-Whole Fundamental Change.</w:t>
      </w:r>
    </w:p>
    <w:p>
      <w:pPr>
        <w:spacing w:after="0" w:line="101" w:lineRule="exact"/>
        <w:rPr>
          <w:rFonts w:ascii="Arial" w:cs="Arial" w:eastAsia="Arial" w:hAnsi="Arial"/>
          <w:sz w:val="19"/>
          <w:szCs w:val="19"/>
          <w:color w:val="auto"/>
        </w:rPr>
      </w:pPr>
    </w:p>
    <w:p>
      <w:pPr>
        <w:ind w:left="120" w:right="40" w:firstLine="658"/>
        <w:spacing w:after="0" w:line="297" w:lineRule="auto"/>
        <w:tabs>
          <w:tab w:leader="none" w:pos="120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In addition to those adjustments required by clauses (a), (b), (c), (d) and (e) of this Section 14.04, and to the extent permitted by applicable law and subject to the applicable rules of The New York Stock Exchange, the Company from time to time may increase the Conversion Rate by any amount for a period of at least 20 Business Days if the Board of Directors determines that such increase would be in the Company’s best interest. In addition, to the extent permitted by applicable law and subject to the applicable rules of The New York Stock Exchange, the Company may also (but is not required to) increase the Conversion Rate to avoid or diminish any income tax to holders of Common Stock or rights to purchase shares of</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420"/>
          </w:cols>
          <w:pgMar w:left="240" w:top="375" w:right="239" w:bottom="1440" w:gutter="0" w:footer="0" w:header="0"/>
        </w:sectPr>
      </w:pPr>
    </w:p>
    <w:bookmarkStart w:id="150" w:name="page151"/>
    <w:bookmarkEnd w:id="150"/>
    <w:p>
      <w:pPr>
        <w:ind w:right="20"/>
        <w:spacing w:after="0" w:line="248" w:lineRule="auto"/>
        <w:rPr>
          <w:sz w:val="20"/>
          <w:szCs w:val="20"/>
          <w:color w:val="auto"/>
        </w:rPr>
      </w:pPr>
      <w:r>
        <w:rPr>
          <w:rFonts w:ascii="Arial" w:cs="Arial" w:eastAsia="Arial" w:hAnsi="Arial"/>
          <w:sz w:val="22"/>
          <w:szCs w:val="22"/>
          <w:color w:val="auto"/>
        </w:rPr>
        <w:t>Common Stock in connection with a dividend or distribution of shares of Common Stock (or rights to acquire shares of Common Stock) or similar event. Whenever the Conversion Rate is increased pursuant to either of the preceding two sentences, the Company shall send to the Holder of each Note at its last address appearing on the Note Register a notice of the increase at least 15 days prior to the date the increased Conversion Rate takes effect, and such notice shall state the increased Conversion Rate and the period during which it will be in effect.</w:t>
      </w:r>
    </w:p>
    <w:p>
      <w:pPr>
        <w:spacing w:after="0" w:line="138" w:lineRule="exact"/>
        <w:rPr>
          <w:sz w:val="20"/>
          <w:szCs w:val="20"/>
          <w:color w:val="auto"/>
        </w:rPr>
      </w:pPr>
    </w:p>
    <w:p>
      <w:pPr>
        <w:ind w:firstLine="658"/>
        <w:spacing w:after="0" w:line="291" w:lineRule="auto"/>
        <w:tabs>
          <w:tab w:leader="none" w:pos="1032" w:val="left"/>
        </w:tabs>
        <w:numPr>
          <w:ilvl w:val="0"/>
          <w:numId w:val="135"/>
        </w:numPr>
        <w:rPr>
          <w:rFonts w:ascii="Arial" w:cs="Arial" w:eastAsia="Arial" w:hAnsi="Arial"/>
          <w:sz w:val="19"/>
          <w:szCs w:val="19"/>
          <w:color w:val="auto"/>
        </w:rPr>
      </w:pPr>
      <w:r>
        <w:rPr>
          <w:rFonts w:ascii="Arial" w:cs="Arial" w:eastAsia="Arial" w:hAnsi="Arial"/>
          <w:sz w:val="19"/>
          <w:szCs w:val="19"/>
          <w:color w:val="auto"/>
        </w:rPr>
        <w:t>Whenever the Conversion Rate is adjusted as herein provided, the Company shall promptly furnish to the Trustee (and the Conversion Agent if not the Trustee) an Officers’ Certificate setting forth the Conversion Rate after such adjustment and setting forth a brief statement of the facts requiring such adjustment.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send such notice of such adjustment of the Conversion Rate to each Holder at its last address appearing on the Note Register of this Indenture. Failure to deliver such notice shall not affect the legality or validity of any such adjustment.</w:t>
      </w:r>
    </w:p>
    <w:p>
      <w:pPr>
        <w:spacing w:after="0" w:line="154" w:lineRule="exact"/>
        <w:rPr>
          <w:rFonts w:ascii="Arial" w:cs="Arial" w:eastAsia="Arial" w:hAnsi="Arial"/>
          <w:sz w:val="19"/>
          <w:szCs w:val="19"/>
          <w:color w:val="auto"/>
        </w:rPr>
      </w:pPr>
    </w:p>
    <w:p>
      <w:pPr>
        <w:ind w:right="80" w:firstLine="658"/>
        <w:spacing w:after="0" w:line="254" w:lineRule="auto"/>
        <w:tabs>
          <w:tab w:leader="none" w:pos="1032" w:val="left"/>
        </w:tabs>
        <w:numPr>
          <w:ilvl w:val="0"/>
          <w:numId w:val="135"/>
        </w:numPr>
        <w:rPr>
          <w:rFonts w:ascii="Arial" w:cs="Arial" w:eastAsia="Arial" w:hAnsi="Arial"/>
          <w:sz w:val="22"/>
          <w:szCs w:val="22"/>
          <w:color w:val="auto"/>
        </w:rPr>
      </w:pPr>
      <w:r>
        <w:rPr>
          <w:rFonts w:ascii="Arial" w:cs="Arial" w:eastAsia="Arial" w:hAnsi="Arial"/>
          <w:sz w:val="22"/>
          <w:szCs w:val="22"/>
          <w:color w:val="auto"/>
        </w:rPr>
        <w:t>For purposes of this Section 14.04, the number of shares of Common Stock at any time outstanding shall not include shares held in the treasury of the Company so long as the Company does not pay any dividend or make any distribution on shares of Common Stock held in the treasury of the Company, but shall include shares issuable in respect of scrip certificates issued in lieu of fractions of shares of Common Stock.</w:t>
      </w:r>
    </w:p>
    <w:p>
      <w:pPr>
        <w:spacing w:after="0" w:line="185" w:lineRule="exact"/>
        <w:rPr>
          <w:rFonts w:ascii="Arial" w:cs="Arial" w:eastAsia="Arial" w:hAnsi="Arial"/>
          <w:sz w:val="22"/>
          <w:szCs w:val="22"/>
          <w:color w:val="auto"/>
        </w:rPr>
      </w:pPr>
    </w:p>
    <w:p>
      <w:pPr>
        <w:ind w:right="140" w:firstLine="658"/>
        <w:spacing w:after="0" w:line="251" w:lineRule="auto"/>
        <w:tabs>
          <w:tab w:leader="none" w:pos="108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Company shall not adjust the Conversion Rate except as stated in this Indenture, including, for the avoidance of doubt, for the issuance of shares of Common Stock or any securities convertible into or exchangeable for shares of Common Stock or the right to purchase shares of Common Stock or such convertible or exchangeable securities. In addition, notwithstanding anything to the contrary in this Article 14 and for the avoidance of doubt, the Conversion Rate shall not be adjusted:</w:t>
      </w:r>
    </w:p>
    <w:p>
      <w:pPr>
        <w:spacing w:after="0" w:line="189" w:lineRule="exact"/>
        <w:rPr>
          <w:rFonts w:ascii="Arial" w:cs="Arial" w:eastAsia="Arial" w:hAnsi="Arial"/>
          <w:sz w:val="22"/>
          <w:szCs w:val="22"/>
          <w:color w:val="auto"/>
        </w:rPr>
      </w:pPr>
    </w:p>
    <w:p>
      <w:pPr>
        <w:ind w:left="380" w:right="120" w:firstLine="805"/>
        <w:spacing w:after="0" w:line="260" w:lineRule="auto"/>
        <w:tabs>
          <w:tab w:leader="none" w:pos="1574" w:val="left"/>
        </w:tabs>
        <w:numPr>
          <w:ilvl w:val="1"/>
          <w:numId w:val="135"/>
        </w:numPr>
        <w:rPr>
          <w:rFonts w:ascii="Arial" w:cs="Arial" w:eastAsia="Arial" w:hAnsi="Arial"/>
          <w:sz w:val="22"/>
          <w:szCs w:val="22"/>
          <w:color w:val="auto"/>
        </w:rPr>
      </w:pPr>
      <w:r>
        <w:rPr>
          <w:rFonts w:ascii="Arial" w:cs="Arial" w:eastAsia="Arial" w:hAnsi="Arial"/>
          <w:sz w:val="22"/>
          <w:szCs w:val="22"/>
          <w:color w:val="auto"/>
        </w:rPr>
        <w:t>upon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spacing w:after="0" w:line="177" w:lineRule="exact"/>
        <w:rPr>
          <w:rFonts w:ascii="Arial" w:cs="Arial" w:eastAsia="Arial" w:hAnsi="Arial"/>
          <w:sz w:val="22"/>
          <w:szCs w:val="22"/>
          <w:color w:val="auto"/>
        </w:rPr>
      </w:pPr>
    </w:p>
    <w:p>
      <w:pPr>
        <w:ind w:left="380" w:right="40" w:firstLine="805"/>
        <w:spacing w:after="0" w:line="260" w:lineRule="auto"/>
        <w:tabs>
          <w:tab w:leader="none" w:pos="1634" w:val="left"/>
        </w:tabs>
        <w:numPr>
          <w:ilvl w:val="1"/>
          <w:numId w:val="135"/>
        </w:numPr>
        <w:rPr>
          <w:rFonts w:ascii="Arial" w:cs="Arial" w:eastAsia="Arial" w:hAnsi="Arial"/>
          <w:sz w:val="22"/>
          <w:szCs w:val="22"/>
          <w:color w:val="auto"/>
        </w:rPr>
      </w:pPr>
      <w:r>
        <w:rPr>
          <w:rFonts w:ascii="Arial" w:cs="Arial" w:eastAsia="Arial" w:hAnsi="Arial"/>
          <w:sz w:val="22"/>
          <w:szCs w:val="22"/>
          <w:color w:val="auto"/>
        </w:rPr>
        <w:t>upon the issuance of any shares of Common Stock or options or rights to purchase those shares pursuant to any present or future employee, director or consultant benefit plan or program of or assumed by the Company or any of the Company’s Subsidiaries;</w:t>
      </w:r>
    </w:p>
    <w:p>
      <w:pPr>
        <w:spacing w:after="0" w:line="177" w:lineRule="exact"/>
        <w:rPr>
          <w:rFonts w:ascii="Arial" w:cs="Arial" w:eastAsia="Arial" w:hAnsi="Arial"/>
          <w:sz w:val="22"/>
          <w:szCs w:val="22"/>
          <w:color w:val="auto"/>
        </w:rPr>
      </w:pPr>
    </w:p>
    <w:p>
      <w:pPr>
        <w:ind w:left="380" w:right="320" w:firstLine="805"/>
        <w:spacing w:after="0" w:line="358" w:lineRule="auto"/>
        <w:tabs>
          <w:tab w:leader="none" w:pos="1694" w:val="left"/>
        </w:tabs>
        <w:numPr>
          <w:ilvl w:val="1"/>
          <w:numId w:val="135"/>
        </w:numPr>
        <w:rPr>
          <w:rFonts w:ascii="Arial" w:cs="Arial" w:eastAsia="Arial" w:hAnsi="Arial"/>
          <w:sz w:val="19"/>
          <w:szCs w:val="19"/>
          <w:color w:val="auto"/>
        </w:rPr>
      </w:pPr>
      <w:r>
        <w:rPr>
          <w:rFonts w:ascii="Arial" w:cs="Arial" w:eastAsia="Arial" w:hAnsi="Arial"/>
          <w:sz w:val="19"/>
          <w:szCs w:val="19"/>
          <w:color w:val="auto"/>
        </w:rPr>
        <w:t>upon the issuance of any shares of the Common Stock pursuant to any option, warrant, right or exercisable, exchangeable or convertible security not described in clause (iii) of this subsection and outstanding as of the Issue Date;</w:t>
      </w:r>
    </w:p>
    <w:p>
      <w:pPr>
        <w:spacing w:after="0" w:line="334"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280"/>
          </w:cols>
          <w:pgMar w:left="360" w:top="375" w:right="259" w:bottom="1440" w:gutter="0" w:footer="0" w:header="0"/>
        </w:sectPr>
      </w:pPr>
    </w:p>
    <w:bookmarkStart w:id="151" w:name="page152"/>
    <w:bookmarkEnd w:id="151"/>
    <w:p>
      <w:pPr>
        <w:ind w:left="500" w:firstLine="805"/>
        <w:spacing w:after="0" w:line="260" w:lineRule="auto"/>
        <w:tabs>
          <w:tab w:leader="none" w:pos="1802" w:val="left"/>
        </w:tabs>
        <w:numPr>
          <w:ilvl w:val="0"/>
          <w:numId w:val="136"/>
        </w:numPr>
        <w:rPr>
          <w:rFonts w:ascii="Arial" w:cs="Arial" w:eastAsia="Arial" w:hAnsi="Arial"/>
          <w:sz w:val="22"/>
          <w:szCs w:val="22"/>
          <w:color w:val="auto"/>
        </w:rPr>
      </w:pPr>
      <w:r>
        <w:rPr>
          <w:rFonts w:ascii="Arial" w:cs="Arial" w:eastAsia="Arial" w:hAnsi="Arial"/>
          <w:sz w:val="22"/>
          <w:szCs w:val="22"/>
          <w:color w:val="auto"/>
        </w:rPr>
        <w:t>for ordinary course of business stock repurchases that are not tender offers referred to in Section 14.04(e) if the adjustments above, including structured or derivative transactions or pursuant to a stock repurchase program approved by the Company’s Board of Directors;</w:t>
      </w:r>
    </w:p>
    <w:p>
      <w:pPr>
        <w:spacing w:after="0" w:line="123" w:lineRule="exact"/>
        <w:rPr>
          <w:rFonts w:ascii="Arial" w:cs="Arial" w:eastAsia="Arial" w:hAnsi="Arial"/>
          <w:sz w:val="22"/>
          <w:szCs w:val="22"/>
          <w:color w:val="auto"/>
        </w:rPr>
      </w:pPr>
    </w:p>
    <w:p>
      <w:pPr>
        <w:ind w:left="1740" w:hanging="435"/>
        <w:spacing w:after="0"/>
        <w:tabs>
          <w:tab w:leader="none" w:pos="174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solely for a change in the par value of the Common Stock; or</w:t>
      </w:r>
    </w:p>
    <w:p>
      <w:pPr>
        <w:spacing w:after="0" w:line="179" w:lineRule="exact"/>
        <w:rPr>
          <w:rFonts w:ascii="Arial" w:cs="Arial" w:eastAsia="Arial" w:hAnsi="Arial"/>
          <w:sz w:val="22"/>
          <w:szCs w:val="22"/>
          <w:color w:val="auto"/>
        </w:rPr>
      </w:pPr>
    </w:p>
    <w:p>
      <w:pPr>
        <w:ind w:left="1800" w:hanging="495"/>
        <w:spacing w:after="0"/>
        <w:tabs>
          <w:tab w:leader="none" w:pos="180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for accrued and unpaid interest, if any.</w:t>
      </w:r>
    </w:p>
    <w:p>
      <w:pPr>
        <w:spacing w:after="0" w:line="179" w:lineRule="exact"/>
        <w:rPr>
          <w:sz w:val="20"/>
          <w:szCs w:val="20"/>
          <w:color w:val="auto"/>
        </w:rPr>
      </w:pPr>
    </w:p>
    <w:p>
      <w:pPr>
        <w:ind w:right="40"/>
        <w:spacing w:after="0" w:line="292" w:lineRule="auto"/>
        <w:rPr>
          <w:sz w:val="20"/>
          <w:szCs w:val="20"/>
          <w:color w:val="auto"/>
        </w:rPr>
      </w:pPr>
      <w:r>
        <w:rPr>
          <w:rFonts w:ascii="Arial" w:cs="Arial" w:eastAsia="Arial" w:hAnsi="Arial"/>
          <w:sz w:val="19"/>
          <w:szCs w:val="19"/>
          <w:color w:val="auto"/>
        </w:rPr>
        <w:t>Section 14.05</w:t>
      </w:r>
      <w:r>
        <w:rPr>
          <w:rFonts w:ascii="Arial" w:cs="Arial" w:eastAsia="Arial" w:hAnsi="Arial"/>
          <w:sz w:val="19"/>
          <w:szCs w:val="19"/>
          <w:i w:val="1"/>
          <w:iCs w:val="1"/>
          <w:color w:val="auto"/>
        </w:rPr>
        <w:t>. Adjustments of Prices.</w:t>
      </w:r>
      <w:r>
        <w:rPr>
          <w:rFonts w:ascii="Arial" w:cs="Arial" w:eastAsia="Arial" w:hAnsi="Arial"/>
          <w:sz w:val="19"/>
          <w:szCs w:val="19"/>
          <w:color w:val="auto"/>
        </w:rPr>
        <w:t xml:space="preserve"> Whenever any provision of this Indenture requires the Company to calculate the Last Reported Sale Prices, the Daily VWAPs, the Daily Conversion Values or the Daily Settlement Amounts over a span of multiple days (including, without limitation, an Observation Period and the period for determining the Stock Price for purposes of a Make-Whole Fundamental Change), the Board of Directors shall make appropriate adjustments, in good faith, to each to account for any adjustment to the Conversion Rate that becomes effective, or any event requiring an adjustment to the Conversion Rate where the Ex-Dividend Date, Effective Date or expiration date of the event occurs, at any time during the period when the Last Reported Sale Prices, the Daily VWAPs, the Daily Conversion Values or the Daily Settlement Amounts are to be calculated.</w:t>
      </w:r>
    </w:p>
    <w:p>
      <w:pPr>
        <w:spacing w:after="0" w:line="97"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Section 14.06</w:t>
      </w:r>
      <w:r>
        <w:rPr>
          <w:rFonts w:ascii="Arial" w:cs="Arial" w:eastAsia="Arial" w:hAnsi="Arial"/>
          <w:sz w:val="22"/>
          <w:szCs w:val="22"/>
          <w:i w:val="1"/>
          <w:iCs w:val="1"/>
          <w:color w:val="auto"/>
        </w:rPr>
        <w:t>. Shares to Be Fully Reserved.</w:t>
      </w:r>
      <w:r>
        <w:rPr>
          <w:rFonts w:ascii="Arial" w:cs="Arial" w:eastAsia="Arial" w:hAnsi="Arial"/>
          <w:sz w:val="22"/>
          <w:szCs w:val="22"/>
          <w:color w:val="auto"/>
        </w:rPr>
        <w:t xml:space="preserve"> The Company shall reserve, on or prior to the date of this Indenture, and from time to time as may be necessary, out of its authorized but unissued shares, sufficient shares of Common Stock to provide for conversion of the Notes from time to time as such Notes are presented for conversion (assuming that at the time of computation of such number of shares, all such Notes would be converted by a single Holder and that Physical Settlement is applicable, and including the maximum number of Additional Shares that could be included in the Conversion Rate for a conversion in connection with a Make-Whole Fundamental Change).</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color w:val="auto"/>
        </w:rPr>
        <w:t>Section 14.07</w:t>
      </w:r>
      <w:r>
        <w:rPr>
          <w:rFonts w:ascii="Arial" w:cs="Arial" w:eastAsia="Arial" w:hAnsi="Arial"/>
          <w:sz w:val="22"/>
          <w:szCs w:val="22"/>
          <w:i w:val="1"/>
          <w:iCs w:val="1"/>
          <w:color w:val="auto"/>
        </w:rPr>
        <w:t>. Effect of Recapitalizations, Reclassifications and Changes of the Common Stock.</w:t>
      </w:r>
    </w:p>
    <w:p>
      <w:pPr>
        <w:spacing w:after="0" w:line="220" w:lineRule="exact"/>
        <w:rPr>
          <w:sz w:val="20"/>
          <w:szCs w:val="20"/>
          <w:color w:val="auto"/>
        </w:rPr>
      </w:pPr>
    </w:p>
    <w:p>
      <w:pPr>
        <w:ind w:left="1240" w:hanging="503"/>
        <w:spacing w:after="0"/>
        <w:tabs>
          <w:tab w:leader="none" w:pos="124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In the case of:</w:t>
      </w:r>
    </w:p>
    <w:p>
      <w:pPr>
        <w:spacing w:after="0" w:line="165" w:lineRule="exact"/>
        <w:rPr>
          <w:rFonts w:ascii="Arial" w:cs="Arial" w:eastAsia="Arial" w:hAnsi="Arial"/>
          <w:sz w:val="22"/>
          <w:szCs w:val="22"/>
          <w:color w:val="auto"/>
        </w:rPr>
      </w:pPr>
    </w:p>
    <w:p>
      <w:pPr>
        <w:ind w:left="500" w:right="60" w:firstLine="805"/>
        <w:spacing w:after="0" w:line="263" w:lineRule="auto"/>
        <w:tabs>
          <w:tab w:leader="none" w:pos="1730" w:val="left"/>
        </w:tabs>
        <w:numPr>
          <w:ilvl w:val="1"/>
          <w:numId w:val="137"/>
        </w:numPr>
        <w:rPr>
          <w:rFonts w:ascii="Arial" w:cs="Arial" w:eastAsia="Arial" w:hAnsi="Arial"/>
          <w:sz w:val="22"/>
          <w:szCs w:val="22"/>
          <w:color w:val="auto"/>
        </w:rPr>
      </w:pPr>
      <w:r>
        <w:rPr>
          <w:rFonts w:ascii="Arial" w:cs="Arial" w:eastAsia="Arial" w:hAnsi="Arial"/>
          <w:sz w:val="22"/>
          <w:szCs w:val="22"/>
          <w:color w:val="auto"/>
        </w:rPr>
        <w:t>any recapitalization, reclassification or change of the Common Stock (other than a change to par value, or from par value to no par value, or changes resulting from a subdivision or combination);</w:t>
      </w:r>
    </w:p>
    <w:p>
      <w:pPr>
        <w:spacing w:after="0" w:line="120" w:lineRule="exact"/>
        <w:rPr>
          <w:rFonts w:ascii="Arial" w:cs="Arial" w:eastAsia="Arial" w:hAnsi="Arial"/>
          <w:sz w:val="22"/>
          <w:szCs w:val="22"/>
          <w:color w:val="auto"/>
        </w:rPr>
      </w:pPr>
    </w:p>
    <w:p>
      <w:pPr>
        <w:ind w:left="1780" w:hanging="475"/>
        <w:spacing w:after="0"/>
        <w:tabs>
          <w:tab w:leader="none" w:pos="1780" w:val="left"/>
        </w:tabs>
        <w:numPr>
          <w:ilvl w:val="1"/>
          <w:numId w:val="137"/>
        </w:numPr>
        <w:rPr>
          <w:rFonts w:ascii="Arial" w:cs="Arial" w:eastAsia="Arial" w:hAnsi="Arial"/>
          <w:sz w:val="22"/>
          <w:szCs w:val="22"/>
          <w:color w:val="auto"/>
        </w:rPr>
      </w:pPr>
      <w:r>
        <w:rPr>
          <w:rFonts w:ascii="Arial" w:cs="Arial" w:eastAsia="Arial" w:hAnsi="Arial"/>
          <w:sz w:val="22"/>
          <w:szCs w:val="22"/>
          <w:color w:val="auto"/>
        </w:rPr>
        <w:t>any consolidation, merger or other combination involving the Company; or</w:t>
      </w:r>
    </w:p>
    <w:p>
      <w:pPr>
        <w:spacing w:after="0" w:line="165" w:lineRule="exact"/>
        <w:rPr>
          <w:rFonts w:ascii="Arial" w:cs="Arial" w:eastAsia="Arial" w:hAnsi="Arial"/>
          <w:sz w:val="22"/>
          <w:szCs w:val="22"/>
          <w:color w:val="auto"/>
        </w:rPr>
      </w:pPr>
    </w:p>
    <w:p>
      <w:pPr>
        <w:ind w:left="500" w:right="180" w:firstLine="805"/>
        <w:spacing w:after="0" w:line="263" w:lineRule="auto"/>
        <w:tabs>
          <w:tab w:leader="none" w:pos="1851" w:val="left"/>
        </w:tabs>
        <w:numPr>
          <w:ilvl w:val="1"/>
          <w:numId w:val="137"/>
        </w:numPr>
        <w:rPr>
          <w:rFonts w:ascii="Arial" w:cs="Arial" w:eastAsia="Arial" w:hAnsi="Arial"/>
          <w:sz w:val="22"/>
          <w:szCs w:val="22"/>
          <w:color w:val="auto"/>
        </w:rPr>
      </w:pPr>
      <w:r>
        <w:rPr>
          <w:rFonts w:ascii="Arial" w:cs="Arial" w:eastAsia="Arial" w:hAnsi="Arial"/>
          <w:sz w:val="22"/>
          <w:szCs w:val="22"/>
          <w:color w:val="auto"/>
        </w:rPr>
        <w:t>any sale, lease or other transfer or disposition to a third party of all or substantially all of the Company’s and its Subsidiaries’ consolidated assets, taken as a whole; or</w:t>
      </w:r>
    </w:p>
    <w:p>
      <w:pPr>
        <w:spacing w:after="0" w:line="120" w:lineRule="exact"/>
        <w:rPr>
          <w:rFonts w:ascii="Arial" w:cs="Arial" w:eastAsia="Arial" w:hAnsi="Arial"/>
          <w:sz w:val="22"/>
          <w:szCs w:val="22"/>
          <w:color w:val="auto"/>
        </w:rPr>
      </w:pPr>
    </w:p>
    <w:p>
      <w:pPr>
        <w:ind w:left="1840" w:hanging="535"/>
        <w:spacing w:after="0"/>
        <w:tabs>
          <w:tab w:leader="none" w:pos="1840" w:val="left"/>
        </w:tabs>
        <w:numPr>
          <w:ilvl w:val="1"/>
          <w:numId w:val="137"/>
        </w:numPr>
        <w:rPr>
          <w:rFonts w:ascii="Arial" w:cs="Arial" w:eastAsia="Arial" w:hAnsi="Arial"/>
          <w:sz w:val="22"/>
          <w:szCs w:val="22"/>
          <w:color w:val="auto"/>
        </w:rPr>
      </w:pPr>
      <w:r>
        <w:rPr>
          <w:rFonts w:ascii="Arial" w:cs="Arial" w:eastAsia="Arial" w:hAnsi="Arial"/>
          <w:sz w:val="22"/>
          <w:szCs w:val="22"/>
          <w:color w:val="auto"/>
        </w:rPr>
        <w:t>any statutory share exchange,</w:t>
      </w:r>
    </w:p>
    <w:p>
      <w:pPr>
        <w:spacing w:after="0" w:line="166" w:lineRule="exact"/>
        <w:rPr>
          <w:sz w:val="20"/>
          <w:szCs w:val="20"/>
          <w:color w:val="auto"/>
        </w:rPr>
      </w:pPr>
    </w:p>
    <w:p>
      <w:pPr>
        <w:jc w:val="both"/>
        <w:ind w:right="520"/>
        <w:spacing w:after="0" w:line="260" w:lineRule="auto"/>
        <w:rPr>
          <w:sz w:val="20"/>
          <w:szCs w:val="20"/>
          <w:color w:val="auto"/>
        </w:rPr>
      </w:pPr>
      <w:r>
        <w:rPr>
          <w:rFonts w:ascii="Arial" w:cs="Arial" w:eastAsia="Arial" w:hAnsi="Arial"/>
          <w:sz w:val="22"/>
          <w:szCs w:val="22"/>
          <w:color w:val="auto"/>
        </w:rPr>
        <w:t>in each case, as a result of which the Common Stock would be converted into, or exchanged for stock, other securities, other property or assets (including cash or any combination thereof) (any such event, a “</w:t>
      </w:r>
      <w:r>
        <w:rPr>
          <w:rFonts w:ascii="Arial" w:cs="Arial" w:eastAsia="Arial" w:hAnsi="Arial"/>
          <w:sz w:val="22"/>
          <w:szCs w:val="22"/>
          <w:b w:val="1"/>
          <w:bCs w:val="1"/>
          <w:color w:val="auto"/>
        </w:rPr>
        <w:t>Specified Corporate Event</w:t>
      </w:r>
      <w:r>
        <w:rPr>
          <w:rFonts w:ascii="Arial" w:cs="Arial" w:eastAsia="Arial" w:hAnsi="Arial"/>
          <w:sz w:val="22"/>
          <w:szCs w:val="22"/>
          <w:color w:val="auto"/>
        </w:rPr>
        <w:t>” and any such stock, other securities, other property</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400"/>
          </w:cols>
          <w:pgMar w:left="240" w:top="374" w:right="259" w:bottom="1440" w:gutter="0" w:footer="0" w:header="0"/>
        </w:sectPr>
      </w:pPr>
    </w:p>
    <w:bookmarkStart w:id="152" w:name="page153"/>
    <w:bookmarkEnd w:id="152"/>
    <w:p>
      <w:pPr>
        <w:spacing w:after="0" w:line="259" w:lineRule="auto"/>
        <w:rPr>
          <w:sz w:val="20"/>
          <w:szCs w:val="20"/>
          <w:color w:val="auto"/>
        </w:rPr>
      </w:pPr>
      <w:r>
        <w:rPr>
          <w:rFonts w:ascii="Arial" w:cs="Arial" w:eastAsia="Arial" w:hAnsi="Arial"/>
          <w:sz w:val="21"/>
          <w:szCs w:val="21"/>
          <w:color w:val="auto"/>
        </w:rPr>
        <w:t>or assets (including cash or any combination thereof), “</w:t>
      </w:r>
      <w:r>
        <w:rPr>
          <w:rFonts w:ascii="Arial" w:cs="Arial" w:eastAsia="Arial" w:hAnsi="Arial"/>
          <w:sz w:val="21"/>
          <w:szCs w:val="21"/>
          <w:b w:val="1"/>
          <w:bCs w:val="1"/>
          <w:color w:val="auto"/>
        </w:rPr>
        <w:t>Reference Property</w:t>
      </w:r>
      <w:r>
        <w:rPr>
          <w:rFonts w:ascii="Arial" w:cs="Arial" w:eastAsia="Arial" w:hAnsi="Arial"/>
          <w:sz w:val="21"/>
          <w:szCs w:val="21"/>
          <w:color w:val="auto"/>
        </w:rPr>
        <w:t>” and the amount of Reference Property that a holder of one share of the Common Stock immediately prior to such Specified Corporate Event would have been entitled to receive upon the occurrence of such Specified Corporate Event, a “</w:t>
      </w:r>
      <w:r>
        <w:rPr>
          <w:rFonts w:ascii="Arial" w:cs="Arial" w:eastAsia="Arial" w:hAnsi="Arial"/>
          <w:sz w:val="21"/>
          <w:szCs w:val="21"/>
          <w:b w:val="1"/>
          <w:bCs w:val="1"/>
          <w:color w:val="auto"/>
        </w:rPr>
        <w:t>Unit of Reference Property</w:t>
      </w:r>
      <w:r>
        <w:rPr>
          <w:rFonts w:ascii="Arial" w:cs="Arial" w:eastAsia="Arial" w:hAnsi="Arial"/>
          <w:sz w:val="21"/>
          <w:szCs w:val="21"/>
          <w:color w:val="auto"/>
        </w:rPr>
        <w:t xml:space="preserve">”), then the Company, or the successor or purchasing corporation, as the case may be, will execute with the Trustee, without the consent of the Holders, a supplemental indenture providing that, at and after the effective time of the Specified Corporate Event, the right to convert each $1,000 principal amount of Notes will be changed into a right to convert such principal amount of Notes into the kind and amount of Reference Property that a holder of a number of shares of the Common Stock equal to the Conversion Rate immediately prior to such Specified Corporate Event would have been entitled to receive upon such Specified Corporate Event;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at and after the effective time of such Specified Corporate Event:</w:t>
      </w:r>
    </w:p>
    <w:p>
      <w:pPr>
        <w:spacing w:after="0" w:line="132" w:lineRule="exact"/>
        <w:rPr>
          <w:sz w:val="20"/>
          <w:szCs w:val="20"/>
          <w:color w:val="auto"/>
        </w:rPr>
      </w:pPr>
    </w:p>
    <w:p>
      <w:pPr>
        <w:ind w:left="1380" w:right="340" w:firstLine="802"/>
        <w:spacing w:after="0" w:line="301" w:lineRule="auto"/>
        <w:tabs>
          <w:tab w:leader="none" w:pos="2670" w:val="left"/>
        </w:tabs>
        <w:numPr>
          <w:ilvl w:val="0"/>
          <w:numId w:val="138"/>
        </w:numPr>
        <w:rPr>
          <w:rFonts w:ascii="Arial" w:cs="Arial" w:eastAsia="Arial" w:hAnsi="Arial"/>
          <w:sz w:val="21"/>
          <w:szCs w:val="21"/>
          <w:color w:val="auto"/>
        </w:rPr>
      </w:pPr>
      <w:r>
        <w:rPr>
          <w:rFonts w:ascii="Arial" w:cs="Arial" w:eastAsia="Arial" w:hAnsi="Arial"/>
          <w:sz w:val="21"/>
          <w:szCs w:val="21"/>
          <w:color w:val="auto"/>
        </w:rPr>
        <w:t>the Company shall continue to have the right to determine the form of consideration to be paid or delivered, as the case may be, upon conversion of Notes in accordance with Section 14.02; and</w:t>
      </w:r>
    </w:p>
    <w:p>
      <w:pPr>
        <w:spacing w:after="0" w:line="83" w:lineRule="exact"/>
        <w:rPr>
          <w:rFonts w:ascii="Arial" w:cs="Arial" w:eastAsia="Arial" w:hAnsi="Arial"/>
          <w:sz w:val="21"/>
          <w:szCs w:val="21"/>
          <w:color w:val="auto"/>
        </w:rPr>
      </w:pPr>
    </w:p>
    <w:p>
      <w:pPr>
        <w:ind w:left="1380" w:right="60" w:firstLine="802"/>
        <w:spacing w:after="0" w:line="288" w:lineRule="auto"/>
        <w:tabs>
          <w:tab w:leader="none" w:pos="2658"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(I) any amount payable in cash upon conversion of the Notes in accordance with Section 14.02 shall continue to be payable in cash, (II) any shares of Common Stock that the Company would have been required to deliver upon conversion of the Notes in accordance with Section 14.02 shall instead be deliverable in the Units of Reference Property that a holder of that number of shares of Common Stock would have received in such Specified Corporate Event and (III) the Daily VWAP shall be calculated based on the value of a Unit of Reference Property; </w:t>
      </w:r>
      <w:r>
        <w:rPr>
          <w:rFonts w:ascii="Arial" w:cs="Arial" w:eastAsia="Arial" w:hAnsi="Arial"/>
          <w:sz w:val="19"/>
          <w:szCs w:val="19"/>
          <w:i w:val="1"/>
          <w:iCs w:val="1"/>
          <w:color w:val="auto"/>
        </w:rPr>
        <w:t>provided</w:t>
      </w:r>
      <w:r>
        <w:rPr>
          <w:rFonts w:ascii="Arial" w:cs="Arial" w:eastAsia="Arial" w:hAnsi="Arial"/>
          <w:sz w:val="19"/>
          <w:szCs w:val="19"/>
          <w:color w:val="auto"/>
        </w:rPr>
        <w:t>, however, that if the holders of Common Stock receive only cash in such Specified Corporate Event, then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for all conversions that occur after the effective date of such Specified Corporate Event (x) the consideration due upon conversion of each $1,000 principal aggregate amount of Notes shall be solely cash in an amount equal to the Conversion Rate in effect on the Conversion Date (as may be increased by any Additional Shares pursuant to Section 14.03),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the price paid per share of Common Stock in such Specified Corporate Event and (y) the Company shall satisfy the Conversion Obligation by paying such cash to the converting Holder on the third Business Day immediately following the Conversion Date.</w:t>
      </w:r>
    </w:p>
    <w:p>
      <w:pPr>
        <w:spacing w:after="0" w:line="109"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If the Specified Corporate Event causes the Common Stock to be converted into, or exchanged for, the right to receive more than a single type of consideration (determined based in part upon any form of holder election), then the Reference Property used to calculate the Daily VWAP shall be deemed to be based on: (A) the weighted average of the types and amounts of consideration received by the holders of Common Stock that affirmatively make such an election; and (B) if no holder of Common Stock affirmatively make such an election, the types and amounts of consideration actually received by the holder of Common Stock. The Company shall notify, in writing, the Holders, the Trustee and the Conversion Agent (if other than the Trustee) of the weighted average of the types and amounts of consideration received by the holders of Common Stock that affirmatively make such an election as soon as practicable after such determination is made.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420"/>
          </w:cols>
          <w:pgMar w:left="240" w:top="369" w:right="239" w:bottom="1440" w:gutter="0" w:footer="0" w:header="0"/>
        </w:sectPr>
      </w:pPr>
    </w:p>
    <w:bookmarkStart w:id="153" w:name="page154"/>
    <w:bookmarkEnd w:id="153"/>
    <w:p>
      <w:pPr>
        <w:ind w:right="40" w:firstLine="648"/>
        <w:spacing w:after="0" w:line="290" w:lineRule="auto"/>
        <w:rPr>
          <w:sz w:val="20"/>
          <w:szCs w:val="20"/>
          <w:color w:val="auto"/>
        </w:rPr>
      </w:pPr>
      <w:r>
        <w:rPr>
          <w:rFonts w:ascii="Arial" w:cs="Arial" w:eastAsia="Arial" w:hAnsi="Arial"/>
          <w:sz w:val="19"/>
          <w:szCs w:val="19"/>
          <w:color w:val="auto"/>
        </w:rPr>
        <w:t>Such supplemental indenture described in the second immediately preceding paragraph shall provide for anti-dilution and other adjustments that shall be as nearly equivalent as is possible to the adjustments provided for in this Article 14. If the Reference Property in respect of any such Specified Corporate Event includes shares of stock, other securities or other property or assets (including any combination thereof) of an entity other than the Company or the successor or purchasing corporation, as the case may be, in such Specified Corporate Event, then such other entity, if it is a party to such Specified Corporate Event, shall also execute such supplemental indenture, and such supplemental indenture shall contain such additional provisions to protect the interests of the Holders, including the right of Holders to require the Company to repurchase their Notes upon a Fundamental Change in accordance with Article 15, as the Board of Directors shall reasonably consider necessary by reason of the foregoing.</w:t>
      </w:r>
    </w:p>
    <w:p>
      <w:pPr>
        <w:spacing w:after="0" w:line="103" w:lineRule="exact"/>
        <w:rPr>
          <w:sz w:val="20"/>
          <w:szCs w:val="20"/>
          <w:color w:val="auto"/>
        </w:rPr>
      </w:pPr>
    </w:p>
    <w:p>
      <w:pPr>
        <w:ind w:left="120" w:right="180" w:firstLine="658"/>
        <w:spacing w:after="0" w:line="294" w:lineRule="auto"/>
        <w:tabs>
          <w:tab w:leader="none" w:pos="120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In the event the Company shall execute a supplemental indenture pursuant to Section 14.07(a), the Company shall furnish to the Trustee an Officers’ Certificate briefly stating the reasons therefor, the kind or amount of cash, securities or other assets (including any combination thereof) that will comprise the Reference Property after any such Specified Corporate Event, any adjustment to be made with respect thereto and that all conditions precedent have been complied with, and shall promptly send notice thereof to all Holders. The Company shall cause notice of the execution of such supplemental indenture to be sent to each Holder, at its address appearing on the Note Register provided for in this Indenture, within 20 days after execution thereof. Failure to deliver such notice shall not affect the legality or validity of such supplemental indenture.</w:t>
      </w:r>
    </w:p>
    <w:p>
      <w:pPr>
        <w:spacing w:after="0" w:line="98" w:lineRule="exact"/>
        <w:rPr>
          <w:rFonts w:ascii="Arial" w:cs="Arial" w:eastAsia="Arial" w:hAnsi="Arial"/>
          <w:sz w:val="19"/>
          <w:szCs w:val="19"/>
          <w:color w:val="auto"/>
        </w:rPr>
      </w:pPr>
    </w:p>
    <w:p>
      <w:pPr>
        <w:ind w:left="120" w:right="540" w:firstLine="658"/>
        <w:spacing w:after="0" w:line="276" w:lineRule="auto"/>
        <w:tabs>
          <w:tab w:leader="none" w:pos="1188" w:val="left"/>
        </w:tabs>
        <w:numPr>
          <w:ilvl w:val="0"/>
          <w:numId w:val="139"/>
        </w:numPr>
        <w:rPr>
          <w:rFonts w:ascii="Arial" w:cs="Arial" w:eastAsia="Arial" w:hAnsi="Arial"/>
          <w:sz w:val="22"/>
          <w:szCs w:val="22"/>
          <w:color w:val="auto"/>
        </w:rPr>
      </w:pPr>
      <w:r>
        <w:rPr>
          <w:rFonts w:ascii="Arial" w:cs="Arial" w:eastAsia="Arial" w:hAnsi="Arial"/>
          <w:sz w:val="22"/>
          <w:szCs w:val="22"/>
          <w:color w:val="auto"/>
        </w:rPr>
        <w:t>If the Notes become convertible into Reference Property, the Company shall notify the Trustee and issue a press release or publish the information on a Current Report on Form 8-K.</w:t>
      </w:r>
    </w:p>
    <w:p>
      <w:pPr>
        <w:spacing w:after="0" w:line="106" w:lineRule="exact"/>
        <w:rPr>
          <w:rFonts w:ascii="Arial" w:cs="Arial" w:eastAsia="Arial" w:hAnsi="Arial"/>
          <w:sz w:val="22"/>
          <w:szCs w:val="22"/>
          <w:color w:val="auto"/>
        </w:rPr>
      </w:pPr>
    </w:p>
    <w:p>
      <w:pPr>
        <w:ind w:left="120" w:right="340" w:firstLine="658"/>
        <w:spacing w:after="0" w:line="270" w:lineRule="auto"/>
        <w:tabs>
          <w:tab w:leader="none" w:pos="1200" w:val="left"/>
        </w:tabs>
        <w:numPr>
          <w:ilvl w:val="0"/>
          <w:numId w:val="139"/>
        </w:numPr>
        <w:rPr>
          <w:rFonts w:ascii="Arial" w:cs="Arial" w:eastAsia="Arial" w:hAnsi="Arial"/>
          <w:sz w:val="21"/>
          <w:szCs w:val="21"/>
          <w:color w:val="auto"/>
        </w:rPr>
      </w:pPr>
      <w:r>
        <w:rPr>
          <w:rFonts w:ascii="Arial" w:cs="Arial" w:eastAsia="Arial" w:hAnsi="Arial"/>
          <w:sz w:val="21"/>
          <w:szCs w:val="21"/>
          <w:color w:val="auto"/>
        </w:rPr>
        <w:t>The Company shall not become a party to any Specified Corporate Event unless its terms are consistent with this Section 14.07. None of the foregoing provisions shall affect the right of a Holder to convert its Notes into cash, shares of Common Stock or a combination of cash and shares of Common Stock, as applicable, as set forth in Section 14.01 and Section 14.02 prior to the effective date of such Specified Corporate Event.</w:t>
      </w:r>
    </w:p>
    <w:p>
      <w:pPr>
        <w:spacing w:after="0" w:line="115" w:lineRule="exact"/>
        <w:rPr>
          <w:rFonts w:ascii="Arial" w:cs="Arial" w:eastAsia="Arial" w:hAnsi="Arial"/>
          <w:sz w:val="21"/>
          <w:szCs w:val="21"/>
          <w:color w:val="auto"/>
        </w:rPr>
      </w:pPr>
    </w:p>
    <w:p>
      <w:pPr>
        <w:ind w:left="120" w:firstLine="658"/>
        <w:spacing w:after="0" w:line="270" w:lineRule="auto"/>
        <w:tabs>
          <w:tab w:leader="none" w:pos="1188" w:val="left"/>
        </w:tabs>
        <w:numPr>
          <w:ilvl w:val="0"/>
          <w:numId w:val="139"/>
        </w:numPr>
        <w:rPr>
          <w:rFonts w:ascii="Arial" w:cs="Arial" w:eastAsia="Arial" w:hAnsi="Arial"/>
          <w:sz w:val="21"/>
          <w:szCs w:val="21"/>
          <w:color w:val="auto"/>
        </w:rPr>
      </w:pPr>
      <w:r>
        <w:rPr>
          <w:rFonts w:ascii="Arial" w:cs="Arial" w:eastAsia="Arial" w:hAnsi="Arial"/>
          <w:sz w:val="21"/>
          <w:szCs w:val="21"/>
          <w:color w:val="auto"/>
        </w:rPr>
        <w:t>In connection with any adjustment to the Conversion Rate described this Section 14.07, the Company shall also adjust the Initial Dividend Threshold based on the number of shares of Common Stock comprising the Reference Property and (if applicable) the value of any non-stock consideration comprising the Reference Property. If the Reference Property is composed solely of non-stock consideration, the Initial Dividend Threshold shall be zero.</w:t>
      </w:r>
    </w:p>
    <w:p>
      <w:pPr>
        <w:spacing w:after="0" w:line="115" w:lineRule="exact"/>
        <w:rPr>
          <w:rFonts w:ascii="Arial" w:cs="Arial" w:eastAsia="Arial" w:hAnsi="Arial"/>
          <w:sz w:val="21"/>
          <w:szCs w:val="21"/>
          <w:color w:val="auto"/>
        </w:rPr>
      </w:pPr>
    </w:p>
    <w:p>
      <w:pPr>
        <w:ind w:left="1180" w:hanging="402"/>
        <w:spacing w:after="0"/>
        <w:tabs>
          <w:tab w:leader="none" w:pos="118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above provisions of this Section shall similarly apply to successive Specified Corporate Events.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Section 14.08</w:t>
      </w:r>
      <w:r>
        <w:rPr>
          <w:rFonts w:ascii="Arial" w:cs="Arial" w:eastAsia="Arial" w:hAnsi="Arial"/>
          <w:sz w:val="22"/>
          <w:szCs w:val="22"/>
          <w:i w:val="1"/>
          <w:iCs w:val="1"/>
          <w:color w:val="auto"/>
        </w:rPr>
        <w:t>. Certain Covenants.</w:t>
      </w:r>
    </w:p>
    <w:p>
      <w:pPr>
        <w:spacing w:after="0" w:line="220" w:lineRule="exact"/>
        <w:rPr>
          <w:sz w:val="20"/>
          <w:szCs w:val="20"/>
          <w:color w:val="auto"/>
        </w:rPr>
      </w:pPr>
    </w:p>
    <w:p>
      <w:pPr>
        <w:jc w:val="both"/>
        <w:ind w:left="120" w:right="120" w:firstLine="658"/>
        <w:spacing w:after="0" w:line="260" w:lineRule="auto"/>
        <w:tabs>
          <w:tab w:leader="none" w:pos="1188"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Company covenants that all shares of Common Stock issued upon conversion of Notes shall be duly authorized, fully paid and non-assessable and free from all preemptive or similar rights of any securityholder of the Company and, except for any transfer taxes payable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420"/>
          </w:cols>
          <w:pgMar w:left="240" w:top="375" w:right="239" w:bottom="1440" w:gutter="0" w:footer="0" w:header="0"/>
        </w:sectPr>
      </w:pPr>
    </w:p>
    <w:bookmarkStart w:id="154" w:name="page155"/>
    <w:bookmarkEnd w:id="154"/>
    <w:p>
      <w:pPr>
        <w:ind w:left="120" w:right="80"/>
        <w:spacing w:after="0" w:line="287" w:lineRule="auto"/>
        <w:rPr>
          <w:sz w:val="20"/>
          <w:szCs w:val="20"/>
          <w:color w:val="auto"/>
        </w:rPr>
      </w:pPr>
      <w:r>
        <w:rPr>
          <w:rFonts w:ascii="Arial" w:cs="Arial" w:eastAsia="Arial" w:hAnsi="Arial"/>
          <w:sz w:val="21"/>
          <w:szCs w:val="21"/>
          <w:color w:val="auto"/>
        </w:rPr>
        <w:t>by the Company or a Holder, as the case may be, pursuant to Sections 14.02(d) and 14.02(e), free from all documentary, stamp or similar issue or transfer taxes, liens and charges as the result of any action by the Company.</w:t>
      </w:r>
    </w:p>
    <w:p>
      <w:pPr>
        <w:spacing w:after="0" w:line="98" w:lineRule="exact"/>
        <w:rPr>
          <w:sz w:val="20"/>
          <w:szCs w:val="20"/>
          <w:color w:val="auto"/>
        </w:rPr>
      </w:pPr>
    </w:p>
    <w:p>
      <w:pPr>
        <w:ind w:left="120" w:right="180" w:firstLine="658"/>
        <w:spacing w:after="0" w:line="270" w:lineRule="auto"/>
        <w:tabs>
          <w:tab w:leader="none" w:pos="1200" w:val="left"/>
        </w:tabs>
        <w:numPr>
          <w:ilvl w:val="0"/>
          <w:numId w:val="141"/>
        </w:numPr>
        <w:rPr>
          <w:rFonts w:ascii="Arial" w:cs="Arial" w:eastAsia="Arial" w:hAnsi="Arial"/>
          <w:sz w:val="21"/>
          <w:szCs w:val="21"/>
          <w:color w:val="auto"/>
        </w:rPr>
      </w:pPr>
      <w:r>
        <w:rPr>
          <w:rFonts w:ascii="Arial" w:cs="Arial" w:eastAsia="Arial" w:hAnsi="Arial"/>
          <w:sz w:val="21"/>
          <w:szCs w:val="21"/>
          <w:color w:val="auto"/>
        </w:rPr>
        <w:t>The Company covenants that if any shares of Common Stock to be provided for the purpose of conversion of Notes hereunder require registration with or approval of any governmental authority under any federal or state law before such shares may be validly issued upon conversion, the Company shall, to the extent then permitted by the rules and interpretations of the Commission, secure such registration or approval, as the case may be.</w:t>
      </w:r>
    </w:p>
    <w:p>
      <w:pPr>
        <w:spacing w:after="0" w:line="115" w:lineRule="exact"/>
        <w:rPr>
          <w:rFonts w:ascii="Arial" w:cs="Arial" w:eastAsia="Arial" w:hAnsi="Arial"/>
          <w:sz w:val="21"/>
          <w:szCs w:val="21"/>
          <w:color w:val="auto"/>
        </w:rPr>
      </w:pPr>
    </w:p>
    <w:p>
      <w:pPr>
        <w:ind w:left="120" w:right="160" w:firstLine="658"/>
        <w:spacing w:after="0" w:line="320" w:lineRule="auto"/>
        <w:tabs>
          <w:tab w:leader="none" w:pos="1188"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The Company further covenants that if at any time the Common Stock shall be listed on any national securities exchange or automated quotation system, the Company shall list and keep listed, so long as the Common Stock shall be so listed on such exchange or automated quotation system, any Common Stock issuable upon conversion of the Notes.</w:t>
      </w:r>
    </w:p>
    <w:p>
      <w:pPr>
        <w:spacing w:after="0" w:line="71"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Section 14.09</w:t>
      </w:r>
      <w:r>
        <w:rPr>
          <w:rFonts w:ascii="Arial" w:cs="Arial" w:eastAsia="Arial" w:hAnsi="Arial"/>
          <w:sz w:val="19"/>
          <w:szCs w:val="19"/>
          <w:i w:val="1"/>
          <w:iCs w:val="1"/>
          <w:color w:val="auto"/>
        </w:rPr>
        <w:t>. Responsibility of Trustee.</w:t>
      </w:r>
      <w:r>
        <w:rPr>
          <w:rFonts w:ascii="Arial" w:cs="Arial" w:eastAsia="Arial" w:hAnsi="Arial"/>
          <w:sz w:val="19"/>
          <w:szCs w:val="19"/>
          <w:color w:val="auto"/>
        </w:rPr>
        <w:t xml:space="preserve">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shares of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 entered into pursuant to Section 14.07 relating either to the kind or amount of shares of stock or securities or property (including cash) receivable by Holders upon the conversion of their Notes after any event referred to in such Section 14.07 or to any adjustment to be made with respect thereto, but, subject to the provisions of Section 7.01,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Conversion Agent shall be responsible for determining whether any event contemplated by Section</w:t>
      </w:r>
    </w:p>
    <w:p>
      <w:pPr>
        <w:spacing w:after="0" w:line="16"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14.01(b) has occurred that makes the Notes eligible for conversion or no longer eligible therefor until the Company has delivered to the Trustee and the Conversion Agent (if other than the Trustee) the notices referred to in Section 14.01(b) with respect to the commencement or termination of such conversion rights, on which notices the Trustee and the Conversion Agent (if other than the Trustee) may conclusively rely, and the Company agrees to deliver such notices to the Trustee and the Conversion Agent (if other than the Trustee) immediately after the occurrence of any such event or at such other times as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400"/>
          </w:cols>
          <w:pgMar w:left="240" w:top="375" w:right="259" w:bottom="1440" w:gutter="0" w:footer="0" w:header="0"/>
        </w:sectPr>
      </w:pPr>
    </w:p>
    <w:bookmarkStart w:id="155" w:name="page156"/>
    <w:bookmarkEnd w:id="155"/>
    <w:p>
      <w:pPr>
        <w:ind w:right="40"/>
        <w:spacing w:after="0" w:line="263" w:lineRule="auto"/>
        <w:rPr>
          <w:sz w:val="20"/>
          <w:szCs w:val="20"/>
          <w:color w:val="auto"/>
        </w:rPr>
      </w:pPr>
      <w:r>
        <w:rPr>
          <w:rFonts w:ascii="Arial" w:cs="Arial" w:eastAsia="Arial" w:hAnsi="Arial"/>
          <w:sz w:val="22"/>
          <w:szCs w:val="22"/>
          <w:color w:val="auto"/>
        </w:rPr>
        <w:t>shall be provided for in Section 14.01(b). The parties hereto agree that all notices to the Trustee or the Conversion Agent under this Article 14 shall be in writing or as otherwise provided herein.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14.10</w:t>
      </w:r>
      <w:r>
        <w:rPr>
          <w:rFonts w:ascii="Arial" w:cs="Arial" w:eastAsia="Arial" w:hAnsi="Arial"/>
          <w:sz w:val="22"/>
          <w:szCs w:val="22"/>
          <w:i w:val="1"/>
          <w:iCs w:val="1"/>
          <w:color w:val="auto"/>
        </w:rPr>
        <w:t>. Notice to Holders Prior to Certain Actions</w:t>
      </w:r>
      <w:r>
        <w:rPr>
          <w:rFonts w:ascii="Arial" w:cs="Arial" w:eastAsia="Arial" w:hAnsi="Arial"/>
          <w:sz w:val="22"/>
          <w:szCs w:val="22"/>
          <w:color w:val="auto"/>
        </w:rPr>
        <w:t>. In case of any:</w:t>
      </w:r>
    </w:p>
    <w:p>
      <w:pPr>
        <w:spacing w:after="0" w:line="166" w:lineRule="exact"/>
        <w:rPr>
          <w:sz w:val="20"/>
          <w:szCs w:val="20"/>
          <w:color w:val="auto"/>
        </w:rPr>
      </w:pPr>
    </w:p>
    <w:p>
      <w:pPr>
        <w:ind w:left="120" w:right="20" w:firstLine="658"/>
        <w:spacing w:after="0" w:line="276" w:lineRule="auto"/>
        <w:tabs>
          <w:tab w:leader="none" w:pos="1188"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action by the Company or one of its Subsidiaries that would require an adjustment in the Conversion Rate pursuant to Section 14.04 or Section 14.11;</w:t>
      </w:r>
    </w:p>
    <w:p>
      <w:pPr>
        <w:spacing w:after="0" w:line="106" w:lineRule="exact"/>
        <w:rPr>
          <w:rFonts w:ascii="Arial" w:cs="Arial" w:eastAsia="Arial" w:hAnsi="Arial"/>
          <w:sz w:val="22"/>
          <w:szCs w:val="22"/>
          <w:color w:val="auto"/>
        </w:rPr>
      </w:pPr>
    </w:p>
    <w:p>
      <w:pPr>
        <w:ind w:left="1200" w:hanging="422"/>
        <w:spacing w:after="0"/>
        <w:tabs>
          <w:tab w:leader="none" w:pos="120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Specified Corporate Event; or</w:t>
      </w:r>
    </w:p>
    <w:p>
      <w:pPr>
        <w:spacing w:after="0" w:line="179" w:lineRule="exact"/>
        <w:rPr>
          <w:rFonts w:ascii="Arial" w:cs="Arial" w:eastAsia="Arial" w:hAnsi="Arial"/>
          <w:sz w:val="22"/>
          <w:szCs w:val="22"/>
          <w:color w:val="auto"/>
        </w:rPr>
      </w:pPr>
    </w:p>
    <w:p>
      <w:pPr>
        <w:ind w:left="1200" w:hanging="422"/>
        <w:spacing w:after="0"/>
        <w:tabs>
          <w:tab w:leader="none" w:pos="120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voluntary or involuntary dissolution, liquidation or winding-up of the Company or any of its Subsidiaries;</w:t>
      </w:r>
    </w:p>
    <w:p>
      <w:pPr>
        <w:spacing w:after="0" w:line="179" w:lineRule="exact"/>
        <w:rPr>
          <w:sz w:val="20"/>
          <w:szCs w:val="20"/>
          <w:color w:val="auto"/>
        </w:rPr>
      </w:pPr>
    </w:p>
    <w:p>
      <w:pPr>
        <w:ind w:right="60"/>
        <w:spacing w:after="0" w:line="286" w:lineRule="auto"/>
        <w:rPr>
          <w:sz w:val="20"/>
          <w:szCs w:val="20"/>
          <w:color w:val="auto"/>
        </w:rPr>
      </w:pPr>
      <w:r>
        <w:rPr>
          <w:rFonts w:ascii="Arial" w:cs="Arial" w:eastAsia="Arial" w:hAnsi="Arial"/>
          <w:sz w:val="19"/>
          <w:szCs w:val="19"/>
          <w:color w:val="auto"/>
        </w:rPr>
        <w:t xml:space="preserve">then, in each case (unless notice of such event is otherwise required pursuant to another provision of this Indenture), the Company shall cause to be filed with the Trustee and the Conversion Agent (if other than the Trustee) and to be sent to each Holder at its address appearing on the Note Register, as promptly as possible but in any event at least 20 days prior to the applicable date hereinafter specified, a notice stating (i) the date on which a record is to be taken for the purpose of such action by the Company or one of its Subsidiaries or, if a record is not to be taken, the date as of which the holders of Common Stock of record are to be determined for the purposes of such action by the Company or one of its Subsidiaries, or (ii) the date on which such Specified Corporate Event, or any dissolution, liquidation or winding-up is expected to become effective or occur, and the date as of which it is expected that holders of Common Stock of record shall be entitled to exchange their Common Stock for securities or other property deliverable upon such Specified Corporate Event, dissolution, liquidation or winding-up;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on such date, the Company does not have knowledge of such event or the adjusted Conversion Rate cannot be calculated, the Company shall deliver such notice as promptly as practicable upon obtaining knowledge of such event or information sufficient to make such calculation, as the case may be, and in no event later than the effective date of such adjustment. Failure to give such notice, or any defect therein, shall not affect the legality or validity of such action by the Company or one of its Subsidiaries, Specified Corporate Event, dissolution, liquidation or winding-up.</w:t>
      </w:r>
    </w:p>
    <w:p>
      <w:pPr>
        <w:spacing w:after="0" w:line="109"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 xml:space="preserve">Section 14.11 </w:t>
      </w:r>
      <w:r>
        <w:rPr>
          <w:rFonts w:ascii="Arial" w:cs="Arial" w:eastAsia="Arial" w:hAnsi="Arial"/>
          <w:sz w:val="19"/>
          <w:szCs w:val="19"/>
          <w:i w:val="1"/>
          <w:iCs w:val="1"/>
          <w:color w:val="auto"/>
        </w:rPr>
        <w:t>. Stockholder Rights Plans.</w:t>
      </w:r>
      <w:r>
        <w:rPr>
          <w:rFonts w:ascii="Arial" w:cs="Arial" w:eastAsia="Arial" w:hAnsi="Arial"/>
          <w:sz w:val="19"/>
          <w:szCs w:val="19"/>
          <w:color w:val="auto"/>
        </w:rPr>
        <w:t xml:space="preserve"> If the Company has a rights plan in effect upon conversion of the Notes into Common Stock, Holders that convert their Notes shall receive, in addition to any shares of Common Stock received in connection with such conversion, the appropriate number of rights under the rights plan, if any, and any certificate representing the share of Common Stock issued upon such conversion shall bear such legends, if any, in each case as may be provided by the terms of any such rights plan, as the same may be amended from time to time. However, if prior to any conversion, the rights have separated from the shares of Common Stock in accordance with the provisions of the applicable rights plan, the Conversion Rate shall be adjusted at the time of separation as if the Company distributed to all or substantially all holders of shares of Common Stock, Distributed Property pursuant to Section 14.04(c), subject to readjustment in the event of the expiration, termination or redemption of such rights.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400"/>
          </w:cols>
          <w:pgMar w:left="240" w:top="375" w:right="259" w:bottom="1440" w:gutter="0" w:footer="0" w:header="0"/>
        </w:sectPr>
      </w:pPr>
    </w:p>
    <w:bookmarkStart w:id="156" w:name="page157"/>
    <w:bookmarkEnd w:id="156"/>
    <w:p>
      <w:pPr>
        <w:jc w:val="center"/>
        <w:ind w:right="-19"/>
        <w:spacing w:after="0"/>
        <w:rPr>
          <w:sz w:val="20"/>
          <w:szCs w:val="20"/>
          <w:color w:val="auto"/>
        </w:rPr>
      </w:pPr>
      <w:r>
        <w:rPr>
          <w:rFonts w:ascii="Arial" w:cs="Arial" w:eastAsia="Arial" w:hAnsi="Arial"/>
          <w:sz w:val="22"/>
          <w:szCs w:val="22"/>
          <w:color w:val="auto"/>
        </w:rPr>
        <w:t>ARTICLE 15</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w:t>
      </w:r>
      <w:r>
        <w:rPr>
          <w:rFonts w:ascii="Arial" w:cs="Arial" w:eastAsia="Arial" w:hAnsi="Arial"/>
          <w:sz w:val="18"/>
          <w:szCs w:val="18"/>
          <w:color w:val="auto"/>
        </w:rPr>
        <w:t>URCHASE OF</w:t>
      </w:r>
      <w:r>
        <w:rPr>
          <w:rFonts w:ascii="Arial" w:cs="Arial" w:eastAsia="Arial" w:hAnsi="Arial"/>
          <w:sz w:val="22"/>
          <w:szCs w:val="22"/>
          <w:color w:val="auto"/>
        </w:rPr>
        <w:t xml:space="preserve"> N</w:t>
      </w:r>
      <w:r>
        <w:rPr>
          <w:rFonts w:ascii="Arial" w:cs="Arial" w:eastAsia="Arial" w:hAnsi="Arial"/>
          <w:sz w:val="18"/>
          <w:szCs w:val="18"/>
          <w:color w:val="auto"/>
        </w:rPr>
        <w:t>OTES AT</w:t>
      </w:r>
      <w:r>
        <w:rPr>
          <w:rFonts w:ascii="Arial" w:cs="Arial" w:eastAsia="Arial" w:hAnsi="Arial"/>
          <w:sz w:val="22"/>
          <w:szCs w:val="22"/>
          <w:color w:val="auto"/>
        </w:rPr>
        <w:t xml:space="preserve"> O</w:t>
      </w:r>
      <w:r>
        <w:rPr>
          <w:rFonts w:ascii="Arial" w:cs="Arial" w:eastAsia="Arial" w:hAnsi="Arial"/>
          <w:sz w:val="18"/>
          <w:szCs w:val="18"/>
          <w:color w:val="auto"/>
        </w:rPr>
        <w:t>PTION OF</w:t>
      </w:r>
      <w:r>
        <w:rPr>
          <w:rFonts w:ascii="Arial" w:cs="Arial" w:eastAsia="Arial" w:hAnsi="Arial"/>
          <w:sz w:val="22"/>
          <w:szCs w:val="22"/>
          <w:color w:val="auto"/>
        </w:rPr>
        <w:t xml:space="preserve"> H</w:t>
      </w:r>
      <w:r>
        <w:rPr>
          <w:rFonts w:ascii="Arial" w:cs="Arial" w:eastAsia="Arial" w:hAnsi="Arial"/>
          <w:sz w:val="18"/>
          <w:szCs w:val="18"/>
          <w:color w:val="auto"/>
        </w:rPr>
        <w:t>OLDERS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Section 15.01</w:t>
      </w:r>
      <w:r>
        <w:rPr>
          <w:rFonts w:ascii="Arial" w:cs="Arial" w:eastAsia="Arial" w:hAnsi="Arial"/>
          <w:sz w:val="22"/>
          <w:szCs w:val="22"/>
          <w:i w:val="1"/>
          <w:iCs w:val="1"/>
          <w:color w:val="auto"/>
        </w:rPr>
        <w:t>. Intentionally Omitted</w:t>
      </w:r>
      <w:r>
        <w:rPr>
          <w:rFonts w:ascii="Arial" w:cs="Arial" w:eastAsia="Arial" w:hAnsi="Arial"/>
          <w:sz w:val="22"/>
          <w:szCs w:val="22"/>
          <w:color w:val="auto"/>
        </w:rPr>
        <w:t>.</w:t>
      </w:r>
    </w:p>
    <w:p>
      <w:pPr>
        <w:spacing w:after="0" w:line="166" w:lineRule="exact"/>
        <w:rPr>
          <w:sz w:val="20"/>
          <w:szCs w:val="20"/>
          <w:color w:val="auto"/>
        </w:rPr>
      </w:pPr>
    </w:p>
    <w:p>
      <w:pPr>
        <w:ind w:right="80"/>
        <w:spacing w:after="0" w:line="288" w:lineRule="auto"/>
        <w:rPr>
          <w:sz w:val="20"/>
          <w:szCs w:val="20"/>
          <w:color w:val="auto"/>
        </w:rPr>
      </w:pPr>
      <w:r>
        <w:rPr>
          <w:rFonts w:ascii="Arial" w:cs="Arial" w:eastAsia="Arial" w:hAnsi="Arial"/>
          <w:sz w:val="19"/>
          <w:szCs w:val="19"/>
          <w:color w:val="auto"/>
        </w:rPr>
        <w:t>Section 15.02</w:t>
      </w:r>
      <w:r>
        <w:rPr>
          <w:rFonts w:ascii="Arial" w:cs="Arial" w:eastAsia="Arial" w:hAnsi="Arial"/>
          <w:sz w:val="19"/>
          <w:szCs w:val="19"/>
          <w:i w:val="1"/>
          <w:iCs w:val="1"/>
          <w:color w:val="auto"/>
        </w:rPr>
        <w:t>. Repurchase at Option of Holders Upon a Fundamental Change.</w:t>
      </w:r>
      <w:r>
        <w:rPr>
          <w:rFonts w:ascii="Arial" w:cs="Arial" w:eastAsia="Arial" w:hAnsi="Arial"/>
          <w:sz w:val="19"/>
          <w:szCs w:val="19"/>
          <w:color w:val="auto"/>
        </w:rPr>
        <w:t xml:space="preserve"> (a) If a Fundamental Change occurs at any time prior to the Maturity Date, each Holder shall have the right, at such Holder’s option, to require the Company to repurchase for cash all of such Holder’s Notes, or any portion of the principal thereof that is equal to $1,000 or an integral multiple of $1,000 thereof, on the date (the “</w:t>
      </w:r>
      <w:r>
        <w:rPr>
          <w:rFonts w:ascii="Arial" w:cs="Arial" w:eastAsia="Arial" w:hAnsi="Arial"/>
          <w:sz w:val="19"/>
          <w:szCs w:val="19"/>
          <w:b w:val="1"/>
          <w:bCs w:val="1"/>
          <w:color w:val="auto"/>
        </w:rPr>
        <w:t>Fundamental Change Repurchase Date</w:t>
      </w:r>
      <w:r>
        <w:rPr>
          <w:rFonts w:ascii="Arial" w:cs="Arial" w:eastAsia="Arial" w:hAnsi="Arial"/>
          <w:sz w:val="19"/>
          <w:szCs w:val="19"/>
          <w:color w:val="auto"/>
        </w:rPr>
        <w:t xml:space="preserve">”) specified by the Company that is not less than 20 nor more than 35 calendar days following the date of the Fundamental Change Company Notice (subject to extension to comply with applicable law), at a repurchase price equal to 100% of the principal amount thereof, </w:t>
      </w:r>
      <w:r>
        <w:rPr>
          <w:rFonts w:ascii="Arial" w:cs="Arial" w:eastAsia="Arial" w:hAnsi="Arial"/>
          <w:sz w:val="19"/>
          <w:szCs w:val="19"/>
          <w:i w:val="1"/>
          <w:iCs w:val="1"/>
          <w:color w:val="auto"/>
        </w:rPr>
        <w:t>plus</w:t>
      </w:r>
      <w:r>
        <w:rPr>
          <w:rFonts w:ascii="Arial" w:cs="Arial" w:eastAsia="Arial" w:hAnsi="Arial"/>
          <w:sz w:val="19"/>
          <w:szCs w:val="19"/>
          <w:color w:val="auto"/>
        </w:rPr>
        <w:t xml:space="preserve"> accrued and unpaid interest thereon to, but not including, the Fundamental Change Repurchase Date (the “</w:t>
      </w:r>
      <w:r>
        <w:rPr>
          <w:rFonts w:ascii="Arial" w:cs="Arial" w:eastAsia="Arial" w:hAnsi="Arial"/>
          <w:sz w:val="19"/>
          <w:szCs w:val="19"/>
          <w:b w:val="1"/>
          <w:bCs w:val="1"/>
          <w:color w:val="auto"/>
        </w:rPr>
        <w:t>Fundamental Change Repurchase Price</w:t>
      </w:r>
      <w:r>
        <w:rPr>
          <w:rFonts w:ascii="Arial" w:cs="Arial" w:eastAsia="Arial" w:hAnsi="Arial"/>
          <w:sz w:val="19"/>
          <w:szCs w:val="19"/>
          <w:color w:val="auto"/>
        </w:rPr>
        <w:t>”), unless the Fundamental Change Repurchase Date falls after a Regular Record Date but on or prior to the Interest Payment Date to which such Regular Record Date relates, in which case the Company shall instead pay the full amount of accrued and unpaid interest to Holders of record as of such Regular Record Date, and the Fundamental Change Repurchase Price shall be equal to 100% of the principal amount of Notes to be purchased pursuant to this Article 15.</w:t>
      </w:r>
    </w:p>
    <w:p>
      <w:pPr>
        <w:spacing w:after="0" w:line="101" w:lineRule="exact"/>
        <w:rPr>
          <w:sz w:val="20"/>
          <w:szCs w:val="20"/>
          <w:color w:val="auto"/>
        </w:rPr>
      </w:pPr>
    </w:p>
    <w:p>
      <w:pPr>
        <w:ind w:left="1200" w:hanging="422"/>
        <w:spacing w:after="0"/>
        <w:tabs>
          <w:tab w:leader="none" w:pos="120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Repurchases of Notes under this Section 15.02 shall be made, at the option of the Holder thereof, upon:</w:t>
      </w:r>
    </w:p>
    <w:p>
      <w:pPr>
        <w:spacing w:after="0" w:line="173" w:lineRule="exact"/>
        <w:rPr>
          <w:rFonts w:ascii="Arial" w:cs="Arial" w:eastAsia="Arial" w:hAnsi="Arial"/>
          <w:sz w:val="22"/>
          <w:szCs w:val="22"/>
          <w:color w:val="auto"/>
        </w:rPr>
      </w:pPr>
    </w:p>
    <w:p>
      <w:pPr>
        <w:ind w:left="500" w:right="140" w:firstLine="805"/>
        <w:spacing w:after="0" w:line="253" w:lineRule="auto"/>
        <w:tabs>
          <w:tab w:leader="none" w:pos="1694" w:val="left"/>
        </w:tabs>
        <w:numPr>
          <w:ilvl w:val="1"/>
          <w:numId w:val="143"/>
        </w:numPr>
        <w:rPr>
          <w:rFonts w:ascii="Arial" w:cs="Arial" w:eastAsia="Arial" w:hAnsi="Arial"/>
          <w:sz w:val="22"/>
          <w:szCs w:val="22"/>
          <w:color w:val="auto"/>
        </w:rPr>
      </w:pPr>
      <w:r>
        <w:rPr>
          <w:rFonts w:ascii="Arial" w:cs="Arial" w:eastAsia="Arial" w:hAnsi="Arial"/>
          <w:sz w:val="22"/>
          <w:szCs w:val="22"/>
          <w:color w:val="auto"/>
        </w:rPr>
        <w:t>delivery to the Paying Agent by a Holder of a duly completed notice (the “</w:t>
      </w:r>
      <w:r>
        <w:rPr>
          <w:rFonts w:ascii="Arial" w:cs="Arial" w:eastAsia="Arial" w:hAnsi="Arial"/>
          <w:sz w:val="22"/>
          <w:szCs w:val="22"/>
          <w:b w:val="1"/>
          <w:bCs w:val="1"/>
          <w:color w:val="auto"/>
        </w:rPr>
        <w:t>Fundamental Change Repurchase</w:t>
      </w:r>
      <w:r>
        <w:rPr>
          <w:rFonts w:ascii="Arial" w:cs="Arial" w:eastAsia="Arial" w:hAnsi="Arial"/>
          <w:sz w:val="22"/>
          <w:szCs w:val="22"/>
          <w:color w:val="auto"/>
        </w:rPr>
        <w:t xml:space="preserve"> </w:t>
      </w:r>
      <w:r>
        <w:rPr>
          <w:rFonts w:ascii="Arial" w:cs="Arial" w:eastAsia="Arial" w:hAnsi="Arial"/>
          <w:sz w:val="22"/>
          <w:szCs w:val="22"/>
          <w:b w:val="1"/>
          <w:bCs w:val="1"/>
          <w:color w:val="auto"/>
        </w:rPr>
        <w:t>Notice</w:t>
      </w:r>
      <w:r>
        <w:rPr>
          <w:rFonts w:ascii="Arial" w:cs="Arial" w:eastAsia="Arial" w:hAnsi="Arial"/>
          <w:sz w:val="22"/>
          <w:szCs w:val="22"/>
          <w:color w:val="auto"/>
        </w:rPr>
        <w:t>”) in the form set forth in Attachment 2 to the Form of Note attached hereto as Exhibit A, if the Notes are Certificated</w:t>
      </w:r>
      <w:r>
        <w:rPr>
          <w:rFonts w:ascii="Arial" w:cs="Arial" w:eastAsia="Arial" w:hAnsi="Arial"/>
          <w:sz w:val="22"/>
          <w:szCs w:val="22"/>
          <w:b w:val="1"/>
          <w:bCs w:val="1"/>
          <w:color w:val="auto"/>
        </w:rPr>
        <w:t xml:space="preserve"> </w:t>
      </w:r>
      <w:r>
        <w:rPr>
          <w:rFonts w:ascii="Arial" w:cs="Arial" w:eastAsia="Arial" w:hAnsi="Arial"/>
          <w:sz w:val="22"/>
          <w:szCs w:val="22"/>
          <w:color w:val="auto"/>
        </w:rPr>
        <w:t>Notes, or in compliance with the Applicable Procedures for surrendering interests in Global Notes, if the Notes are Global Notes, in each case on or before the close of business on the Business Day immediately preceding the Fundamental Change Repurchase Date; and</w:t>
      </w:r>
    </w:p>
    <w:p>
      <w:pPr>
        <w:spacing w:after="0" w:line="131" w:lineRule="exact"/>
        <w:rPr>
          <w:rFonts w:ascii="Arial" w:cs="Arial" w:eastAsia="Arial" w:hAnsi="Arial"/>
          <w:sz w:val="22"/>
          <w:szCs w:val="22"/>
          <w:color w:val="auto"/>
        </w:rPr>
      </w:pPr>
    </w:p>
    <w:p>
      <w:pPr>
        <w:ind w:left="500" w:firstLine="805"/>
        <w:spacing w:after="0" w:line="251" w:lineRule="auto"/>
        <w:tabs>
          <w:tab w:leader="none" w:pos="1754" w:val="left"/>
        </w:tabs>
        <w:numPr>
          <w:ilvl w:val="1"/>
          <w:numId w:val="143"/>
        </w:numPr>
        <w:rPr>
          <w:rFonts w:ascii="Arial" w:cs="Arial" w:eastAsia="Arial" w:hAnsi="Arial"/>
          <w:sz w:val="22"/>
          <w:szCs w:val="22"/>
          <w:color w:val="auto"/>
        </w:rPr>
      </w:pPr>
      <w:r>
        <w:rPr>
          <w:rFonts w:ascii="Arial" w:cs="Arial" w:eastAsia="Arial" w:hAnsi="Arial"/>
          <w:sz w:val="22"/>
          <w:szCs w:val="22"/>
          <w:color w:val="auto"/>
        </w:rPr>
        <w:t>delivery of the Notes, if the Notes are Certificated Notes, to the Paying Agent on or before the close of business on the Business Day immediately preceding the Fundamental Change Repurchase Date (together with all necessary endorsements for transfer) at the Corporate Trust Office of the Paying Agent, or book-entry transfer of the Notes, if the Notes are Global Notes, in compliance with the Applicable Procedures, in each case such delivery being a condition to receipt by the Holder of the Fundamental Change Repurchase Price therefor.</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Fundamental Change Repurchase Notice in respect of any Notes to be repurchased shall state:</w:t>
      </w:r>
    </w:p>
    <w:p>
      <w:pPr>
        <w:spacing w:after="0" w:line="166" w:lineRule="exact"/>
        <w:rPr>
          <w:sz w:val="20"/>
          <w:szCs w:val="20"/>
          <w:color w:val="auto"/>
        </w:rPr>
      </w:pPr>
    </w:p>
    <w:p>
      <w:pPr>
        <w:ind w:left="2160" w:hanging="747"/>
        <w:spacing w:after="0"/>
        <w:tabs>
          <w:tab w:leader="none" w:pos="216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in the case of Certificated Notes, the certificate numbers of the Notes to be delivered for repurchase;</w:t>
      </w:r>
    </w:p>
    <w:p>
      <w:pPr>
        <w:spacing w:after="0" w:line="200" w:lineRule="exact"/>
        <w:rPr>
          <w:rFonts w:ascii="Arial" w:cs="Arial" w:eastAsia="Arial" w:hAnsi="Arial"/>
          <w:sz w:val="19"/>
          <w:szCs w:val="19"/>
          <w:color w:val="auto"/>
        </w:rPr>
      </w:pPr>
    </w:p>
    <w:p>
      <w:pPr>
        <w:ind w:left="660" w:right="660" w:firstLine="753"/>
        <w:spacing w:after="0" w:line="263" w:lineRule="auto"/>
        <w:tabs>
          <w:tab w:leader="none" w:pos="2155" w:val="left"/>
        </w:tabs>
        <w:numPr>
          <w:ilvl w:val="0"/>
          <w:numId w:val="144"/>
        </w:numPr>
        <w:rPr>
          <w:rFonts w:ascii="Arial" w:cs="Arial" w:eastAsia="Arial" w:hAnsi="Arial"/>
          <w:sz w:val="22"/>
          <w:szCs w:val="22"/>
          <w:color w:val="auto"/>
        </w:rPr>
      </w:pPr>
      <w:r>
        <w:rPr>
          <w:rFonts w:ascii="Arial" w:cs="Arial" w:eastAsia="Arial" w:hAnsi="Arial"/>
          <w:sz w:val="22"/>
          <w:szCs w:val="22"/>
          <w:color w:val="auto"/>
        </w:rPr>
        <w:t>the portion of the principal amount of Notes to be repurchased, which must be $1,000 or an integral multiple of $1,000; and</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420"/>
          </w:cols>
          <w:pgMar w:left="240" w:top="537" w:right="239" w:bottom="1440" w:gutter="0" w:footer="0" w:header="0"/>
        </w:sectPr>
      </w:pPr>
    </w:p>
    <w:bookmarkStart w:id="157" w:name="page158"/>
    <w:bookmarkEnd w:id="157"/>
    <w:p>
      <w:pPr>
        <w:ind w:left="2160" w:hanging="747"/>
        <w:spacing w:after="0"/>
        <w:tabs>
          <w:tab w:leader="none" w:pos="216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that the Notes are to be purchased by the Company pursuant to the applicable provisions of the Notes and</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this Indenture;</w:t>
      </w:r>
    </w:p>
    <w:p>
      <w:pPr>
        <w:spacing w:after="0" w:line="148" w:lineRule="exact"/>
        <w:rPr>
          <w:sz w:val="20"/>
          <w:szCs w:val="20"/>
          <w:color w:val="auto"/>
        </w:rPr>
      </w:pPr>
    </w:p>
    <w:p>
      <w:pPr>
        <w:ind w:right="880"/>
        <w:spacing w:after="0" w:line="263" w:lineRule="auto"/>
        <w:rPr>
          <w:sz w:val="20"/>
          <w:szCs w:val="20"/>
          <w:color w:val="auto"/>
        </w:rPr>
      </w:pP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if the Notes are Global Notes, the Fundamental Change Repurchase Notice must comply with the</w:t>
      </w:r>
      <w:r>
        <w:rPr>
          <w:rFonts w:ascii="Arial" w:cs="Arial" w:eastAsia="Arial" w:hAnsi="Arial"/>
          <w:sz w:val="22"/>
          <w:szCs w:val="22"/>
          <w:i w:val="1"/>
          <w:iCs w:val="1"/>
          <w:color w:val="auto"/>
        </w:rPr>
        <w:t xml:space="preserve"> </w:t>
      </w:r>
      <w:r>
        <w:rPr>
          <w:rFonts w:ascii="Arial" w:cs="Arial" w:eastAsia="Arial" w:hAnsi="Arial"/>
          <w:sz w:val="22"/>
          <w:szCs w:val="22"/>
          <w:color w:val="auto"/>
        </w:rPr>
        <w:t>Applicable Procedures.</w:t>
      </w:r>
    </w:p>
    <w:p>
      <w:pPr>
        <w:spacing w:after="0" w:line="121" w:lineRule="exact"/>
        <w:rPr>
          <w:sz w:val="20"/>
          <w:szCs w:val="20"/>
          <w:color w:val="auto"/>
        </w:rPr>
      </w:pPr>
    </w:p>
    <w:p>
      <w:pPr>
        <w:ind w:right="120" w:firstLine="648"/>
        <w:spacing w:after="0" w:line="302" w:lineRule="auto"/>
        <w:rPr>
          <w:sz w:val="20"/>
          <w:szCs w:val="20"/>
          <w:color w:val="auto"/>
        </w:rPr>
      </w:pPr>
      <w:r>
        <w:rPr>
          <w:rFonts w:ascii="Arial" w:cs="Arial" w:eastAsia="Arial" w:hAnsi="Arial"/>
          <w:sz w:val="19"/>
          <w:szCs w:val="19"/>
          <w:color w:val="auto"/>
        </w:rPr>
        <w:t>Notwithstanding anything herein to the contrary, any Holder delivering to the Paying Agent the Fundamental Change Repurchase Notice contemplated by this Section 15.02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Section 15.03.</w:t>
      </w:r>
    </w:p>
    <w:p>
      <w:pPr>
        <w:spacing w:after="0" w:line="89" w:lineRule="exact"/>
        <w:rPr>
          <w:sz w:val="20"/>
          <w:szCs w:val="20"/>
          <w:color w:val="auto"/>
        </w:rPr>
      </w:pPr>
    </w:p>
    <w:p>
      <w:pPr>
        <w:jc w:val="both"/>
        <w:ind w:right="140" w:firstLine="648"/>
        <w:spacing w:after="0" w:line="250" w:lineRule="auto"/>
        <w:rPr>
          <w:sz w:val="20"/>
          <w:szCs w:val="20"/>
          <w:color w:val="auto"/>
        </w:rPr>
      </w:pPr>
      <w:r>
        <w:rPr>
          <w:rFonts w:ascii="Arial" w:cs="Arial" w:eastAsia="Arial" w:hAnsi="Arial"/>
          <w:sz w:val="22"/>
          <w:szCs w:val="22"/>
          <w:color w:val="auto"/>
        </w:rPr>
        <w:t>If a Holder has already delivered a Fundamental Change Repurchase Notice with respect to a Note, such Holder may not surrender such Note for conversion until such Holder has validly withdrawn such Fundamental Change Repurchase Notice (or, in the case of a Global Note, has complied with the Applicable Procedures with respect to such a withdrawal) in accordance with the terms of Section 15.03.</w:t>
      </w:r>
    </w:p>
    <w:p>
      <w:pPr>
        <w:spacing w:after="0" w:line="134"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The Paying Agent shall promptly notify the Company of the receipt by it of any Fundamental Change Repurchase Notice or written notice of withdrawal thereof.</w:t>
      </w:r>
    </w:p>
    <w:p>
      <w:pPr>
        <w:spacing w:after="0" w:line="121" w:lineRule="exact"/>
        <w:rPr>
          <w:sz w:val="20"/>
          <w:szCs w:val="20"/>
          <w:color w:val="auto"/>
        </w:rPr>
      </w:pPr>
    </w:p>
    <w:p>
      <w:pPr>
        <w:ind w:left="120" w:firstLine="658"/>
        <w:spacing w:after="0" w:line="270" w:lineRule="auto"/>
        <w:tabs>
          <w:tab w:leader="none" w:pos="1188" w:val="left"/>
        </w:tabs>
        <w:numPr>
          <w:ilvl w:val="0"/>
          <w:numId w:val="146"/>
        </w:numPr>
        <w:rPr>
          <w:rFonts w:ascii="Arial" w:cs="Arial" w:eastAsia="Arial" w:hAnsi="Arial"/>
          <w:sz w:val="21"/>
          <w:szCs w:val="21"/>
          <w:color w:val="auto"/>
        </w:rPr>
      </w:pPr>
      <w:r>
        <w:rPr>
          <w:rFonts w:ascii="Arial" w:cs="Arial" w:eastAsia="Arial" w:hAnsi="Arial"/>
          <w:sz w:val="21"/>
          <w:szCs w:val="21"/>
          <w:color w:val="auto"/>
        </w:rPr>
        <w:t>On or before the 20th calendar day after the occurrence of a Fundamental Change, the Company shall provide to all Holders of Notes and the Trustee and the Paying Agent (if other than the Trustee) a notice (the “</w:t>
      </w:r>
      <w:r>
        <w:rPr>
          <w:rFonts w:ascii="Arial" w:cs="Arial" w:eastAsia="Arial" w:hAnsi="Arial"/>
          <w:sz w:val="21"/>
          <w:szCs w:val="21"/>
          <w:b w:val="1"/>
          <w:bCs w:val="1"/>
          <w:color w:val="auto"/>
        </w:rPr>
        <w:t>Fundamental Change Company</w:t>
      </w:r>
      <w:r>
        <w:rPr>
          <w:rFonts w:ascii="Arial" w:cs="Arial" w:eastAsia="Arial" w:hAnsi="Arial"/>
          <w:sz w:val="21"/>
          <w:szCs w:val="21"/>
          <w:color w:val="auto"/>
        </w:rPr>
        <w:t xml:space="preserve"> </w:t>
      </w:r>
      <w:r>
        <w:rPr>
          <w:rFonts w:ascii="Arial" w:cs="Arial" w:eastAsia="Arial" w:hAnsi="Arial"/>
          <w:sz w:val="21"/>
          <w:szCs w:val="21"/>
          <w:b w:val="1"/>
          <w:bCs w:val="1"/>
          <w:color w:val="auto"/>
        </w:rPr>
        <w:t>Notice</w:t>
      </w:r>
      <w:r>
        <w:rPr>
          <w:rFonts w:ascii="Arial" w:cs="Arial" w:eastAsia="Arial" w:hAnsi="Arial"/>
          <w:sz w:val="21"/>
          <w:szCs w:val="21"/>
          <w:color w:val="auto"/>
        </w:rPr>
        <w:t>”) of the occurrence of the Fundamental Change and of the repurchase right at the option of the Holders arising as a result</w:t>
      </w:r>
      <w:r>
        <w:rPr>
          <w:rFonts w:ascii="Arial" w:cs="Arial" w:eastAsia="Arial" w:hAnsi="Arial"/>
          <w:sz w:val="21"/>
          <w:szCs w:val="21"/>
          <w:b w:val="1"/>
          <w:bCs w:val="1"/>
          <w:color w:val="auto"/>
        </w:rPr>
        <w:t xml:space="preserve"> </w:t>
      </w:r>
      <w:r>
        <w:rPr>
          <w:rFonts w:ascii="Arial" w:cs="Arial" w:eastAsia="Arial" w:hAnsi="Arial"/>
          <w:sz w:val="21"/>
          <w:szCs w:val="21"/>
          <w:color w:val="auto"/>
        </w:rPr>
        <w:t>thereof. Each Fundamental Change Company Notice shall specify:</w:t>
      </w:r>
    </w:p>
    <w:p>
      <w:pPr>
        <w:spacing w:after="0" w:line="115" w:lineRule="exact"/>
        <w:rPr>
          <w:rFonts w:ascii="Arial" w:cs="Arial" w:eastAsia="Arial" w:hAnsi="Arial"/>
          <w:sz w:val="21"/>
          <w:szCs w:val="21"/>
          <w:color w:val="auto"/>
        </w:rPr>
      </w:pPr>
    </w:p>
    <w:p>
      <w:pPr>
        <w:ind w:left="1680" w:hanging="375"/>
        <w:spacing w:after="0"/>
        <w:tabs>
          <w:tab w:leader="none" w:pos="168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the events causing the Fundamental Change;</w:t>
      </w:r>
    </w:p>
    <w:p>
      <w:pPr>
        <w:spacing w:after="0" w:line="179" w:lineRule="exact"/>
        <w:rPr>
          <w:rFonts w:ascii="Arial" w:cs="Arial" w:eastAsia="Arial" w:hAnsi="Arial"/>
          <w:sz w:val="22"/>
          <w:szCs w:val="22"/>
          <w:color w:val="auto"/>
        </w:rPr>
      </w:pPr>
    </w:p>
    <w:p>
      <w:pPr>
        <w:ind w:left="1740" w:hanging="435"/>
        <w:spacing w:after="0"/>
        <w:tabs>
          <w:tab w:leader="none" w:pos="174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the effective date of the Fundamental Change;</w:t>
      </w:r>
    </w:p>
    <w:p>
      <w:pPr>
        <w:spacing w:after="0" w:line="179" w:lineRule="exact"/>
        <w:rPr>
          <w:rFonts w:ascii="Arial" w:cs="Arial" w:eastAsia="Arial" w:hAnsi="Arial"/>
          <w:sz w:val="22"/>
          <w:szCs w:val="22"/>
          <w:color w:val="auto"/>
        </w:rPr>
      </w:pPr>
    </w:p>
    <w:p>
      <w:pPr>
        <w:ind w:left="1800" w:hanging="495"/>
        <w:spacing w:after="0"/>
        <w:tabs>
          <w:tab w:leader="none" w:pos="180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the last date on which a Holder may exercise the repurchase right pursuant to this Article 15;</w:t>
      </w:r>
    </w:p>
    <w:p>
      <w:pPr>
        <w:spacing w:after="0" w:line="179" w:lineRule="exact"/>
        <w:rPr>
          <w:rFonts w:ascii="Arial" w:cs="Arial" w:eastAsia="Arial" w:hAnsi="Arial"/>
          <w:sz w:val="22"/>
          <w:szCs w:val="22"/>
          <w:color w:val="auto"/>
        </w:rPr>
      </w:pPr>
    </w:p>
    <w:p>
      <w:pPr>
        <w:ind w:left="1800" w:hanging="495"/>
        <w:spacing w:after="0"/>
        <w:tabs>
          <w:tab w:leader="none" w:pos="180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the Fundamental Change Repurchase Price;</w:t>
      </w:r>
    </w:p>
    <w:p>
      <w:pPr>
        <w:spacing w:after="0" w:line="179" w:lineRule="exact"/>
        <w:rPr>
          <w:rFonts w:ascii="Arial" w:cs="Arial" w:eastAsia="Arial" w:hAnsi="Arial"/>
          <w:sz w:val="22"/>
          <w:szCs w:val="22"/>
          <w:color w:val="auto"/>
        </w:rPr>
      </w:pPr>
    </w:p>
    <w:p>
      <w:pPr>
        <w:ind w:left="1740" w:hanging="435"/>
        <w:spacing w:after="0"/>
        <w:tabs>
          <w:tab w:leader="none" w:pos="174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the Fundamental Change Repurchase Date;</w:t>
      </w:r>
    </w:p>
    <w:p>
      <w:pPr>
        <w:spacing w:after="0" w:line="179" w:lineRule="exact"/>
        <w:rPr>
          <w:rFonts w:ascii="Arial" w:cs="Arial" w:eastAsia="Arial" w:hAnsi="Arial"/>
          <w:sz w:val="22"/>
          <w:szCs w:val="22"/>
          <w:color w:val="auto"/>
        </w:rPr>
      </w:pPr>
    </w:p>
    <w:p>
      <w:pPr>
        <w:ind w:left="1800" w:hanging="495"/>
        <w:spacing w:after="0"/>
        <w:tabs>
          <w:tab w:leader="none" w:pos="180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the name and address of the Paying Agent and the Conversion Agent;</w:t>
      </w:r>
    </w:p>
    <w:p>
      <w:pPr>
        <w:spacing w:after="0" w:line="179" w:lineRule="exact"/>
        <w:rPr>
          <w:rFonts w:ascii="Arial" w:cs="Arial" w:eastAsia="Arial" w:hAnsi="Arial"/>
          <w:sz w:val="22"/>
          <w:szCs w:val="22"/>
          <w:color w:val="auto"/>
        </w:rPr>
      </w:pPr>
    </w:p>
    <w:p>
      <w:pPr>
        <w:ind w:left="1860" w:hanging="555"/>
        <w:spacing w:after="0"/>
        <w:tabs>
          <w:tab w:leader="none" w:pos="186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the Conversion Rate and any adjustments to the Conversion Rate;</w:t>
      </w:r>
    </w:p>
    <w:p>
      <w:pPr>
        <w:spacing w:after="0" w:line="179" w:lineRule="exact"/>
        <w:rPr>
          <w:rFonts w:ascii="Arial" w:cs="Arial" w:eastAsia="Arial" w:hAnsi="Arial"/>
          <w:sz w:val="22"/>
          <w:szCs w:val="22"/>
          <w:color w:val="auto"/>
        </w:rPr>
      </w:pPr>
    </w:p>
    <w:p>
      <w:pPr>
        <w:ind w:left="500" w:right="260" w:firstLine="805"/>
        <w:spacing w:after="0" w:line="254" w:lineRule="auto"/>
        <w:tabs>
          <w:tab w:leader="none" w:pos="1922" w:val="left"/>
        </w:tabs>
        <w:numPr>
          <w:ilvl w:val="1"/>
          <w:numId w:val="146"/>
        </w:numPr>
        <w:rPr>
          <w:rFonts w:ascii="Arial" w:cs="Arial" w:eastAsia="Arial" w:hAnsi="Arial"/>
          <w:sz w:val="22"/>
          <w:szCs w:val="22"/>
          <w:color w:val="auto"/>
        </w:rPr>
      </w:pPr>
      <w:r>
        <w:rPr>
          <w:rFonts w:ascii="Arial" w:cs="Arial" w:eastAsia="Arial" w:hAnsi="Arial"/>
          <w:sz w:val="22"/>
          <w:szCs w:val="22"/>
          <w:color w:val="auto"/>
        </w:rPr>
        <w:t>that the Notes with respect to which a Fundamental Change Repurchase Notice has been delivered by a Holder may be converted only if the Holder withdraws the Fundamental Change Repurchase Notice in accordance with the terms of this Indenture (or, in the case of a Global Note, complies with the Applicable Procedures with respect to such a withdrawal);</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400"/>
          </w:cols>
          <w:pgMar w:left="240" w:top="375" w:right="259" w:bottom="1440" w:gutter="0" w:footer="0" w:header="0"/>
        </w:sectPr>
      </w:pPr>
    </w:p>
    <w:bookmarkStart w:id="158" w:name="page159"/>
    <w:bookmarkEnd w:id="158"/>
    <w:p>
      <w:pPr>
        <w:ind w:left="1800" w:hanging="495"/>
        <w:spacing w:after="0"/>
        <w:tabs>
          <w:tab w:leader="none" w:pos="180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procedures that Holders must follow to require the Company to repurchase their Notes; and</w:t>
      </w:r>
    </w:p>
    <w:p>
      <w:pPr>
        <w:spacing w:after="0" w:line="179" w:lineRule="exact"/>
        <w:rPr>
          <w:rFonts w:ascii="Arial" w:cs="Arial" w:eastAsia="Arial" w:hAnsi="Arial"/>
          <w:sz w:val="22"/>
          <w:szCs w:val="22"/>
          <w:color w:val="auto"/>
        </w:rPr>
      </w:pPr>
    </w:p>
    <w:p>
      <w:pPr>
        <w:ind w:left="1740" w:hanging="435"/>
        <w:spacing w:after="0"/>
        <w:tabs>
          <w:tab w:leader="none" w:pos="174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CUSIP numbers and the statement required in Section 2.09 hereto.</w:t>
      </w:r>
    </w:p>
    <w:p>
      <w:pPr>
        <w:spacing w:after="0" w:line="179" w:lineRule="exact"/>
        <w:rPr>
          <w:sz w:val="20"/>
          <w:szCs w:val="20"/>
          <w:color w:val="auto"/>
        </w:rPr>
      </w:pPr>
    </w:p>
    <w:p>
      <w:pPr>
        <w:ind w:right="460" w:firstLine="648"/>
        <w:spacing w:after="0" w:line="263" w:lineRule="auto"/>
        <w:rPr>
          <w:sz w:val="20"/>
          <w:szCs w:val="20"/>
          <w:color w:val="auto"/>
        </w:rPr>
      </w:pPr>
      <w:r>
        <w:rPr>
          <w:rFonts w:ascii="Arial" w:cs="Arial" w:eastAsia="Arial" w:hAnsi="Arial"/>
          <w:sz w:val="22"/>
          <w:szCs w:val="22"/>
          <w:color w:val="auto"/>
        </w:rPr>
        <w:t>Simultaneously with providing such Fundamental Change Company Notice, the Company shall issue a press release or publish the information on a Current Report on Form 8-K.</w:t>
      </w:r>
    </w:p>
    <w:p>
      <w:pPr>
        <w:spacing w:after="0" w:line="121" w:lineRule="exact"/>
        <w:rPr>
          <w:sz w:val="20"/>
          <w:szCs w:val="20"/>
          <w:color w:val="auto"/>
        </w:rPr>
      </w:pPr>
    </w:p>
    <w:p>
      <w:pPr>
        <w:ind w:right="20" w:firstLine="648"/>
        <w:spacing w:after="0" w:line="263" w:lineRule="auto"/>
        <w:rPr>
          <w:sz w:val="20"/>
          <w:szCs w:val="20"/>
          <w:color w:val="auto"/>
        </w:rPr>
      </w:pPr>
      <w:r>
        <w:rPr>
          <w:rFonts w:ascii="Arial" w:cs="Arial" w:eastAsia="Arial" w:hAnsi="Arial"/>
          <w:sz w:val="21"/>
          <w:szCs w:val="21"/>
          <w:color w:val="auto"/>
        </w:rPr>
        <w:t xml:space="preserve">At the Company’s written request, the Trustee shall give such notice in the Company’s name and at the Company’s expense; </w:t>
      </w: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however</w:t>
      </w:r>
      <w:r>
        <w:rPr>
          <w:rFonts w:ascii="Arial" w:cs="Arial" w:eastAsia="Arial" w:hAnsi="Arial"/>
          <w:sz w:val="21"/>
          <w:szCs w:val="21"/>
          <w:color w:val="auto"/>
        </w:rPr>
        <w:t>, that, in all cases, the text of such Fundamental Change Company Notice shall be prepared by the Company. In</w:t>
      </w:r>
      <w:r>
        <w:rPr>
          <w:rFonts w:ascii="Arial" w:cs="Arial" w:eastAsia="Arial" w:hAnsi="Arial"/>
          <w:sz w:val="21"/>
          <w:szCs w:val="21"/>
          <w:i w:val="1"/>
          <w:iCs w:val="1"/>
          <w:color w:val="auto"/>
        </w:rPr>
        <w:t xml:space="preserve"> </w:t>
      </w:r>
      <w:r>
        <w:rPr>
          <w:rFonts w:ascii="Arial" w:cs="Arial" w:eastAsia="Arial" w:hAnsi="Arial"/>
          <w:sz w:val="21"/>
          <w:szCs w:val="21"/>
          <w:color w:val="auto"/>
        </w:rPr>
        <w:t>such a case, the Company shall deliver such notice to the Trustee at least three Business Days prior to the date that the notice is required to be given to the Holders (unless a shorter notice period shall be agreed to by the Trustee), together with Officers’ Certificate requesting that the Trustee give such notice.</w:t>
      </w:r>
    </w:p>
    <w:p>
      <w:pPr>
        <w:spacing w:after="0" w:line="122" w:lineRule="exact"/>
        <w:rPr>
          <w:sz w:val="20"/>
          <w:szCs w:val="20"/>
          <w:color w:val="auto"/>
        </w:rPr>
      </w:pPr>
    </w:p>
    <w:p>
      <w:pPr>
        <w:ind w:right="260" w:firstLine="648"/>
        <w:spacing w:after="0" w:line="253" w:lineRule="auto"/>
        <w:rPr>
          <w:sz w:val="20"/>
          <w:szCs w:val="20"/>
          <w:color w:val="auto"/>
        </w:rPr>
      </w:pPr>
      <w:r>
        <w:rPr>
          <w:rFonts w:ascii="Arial" w:cs="Arial" w:eastAsia="Arial" w:hAnsi="Arial"/>
          <w:sz w:val="22"/>
          <w:szCs w:val="22"/>
          <w:color w:val="auto"/>
        </w:rPr>
        <w:t>Such notice shall be delivered to the Trustee, to the Paying Agent (if other than the Trustee) and to each Holder at its address shown in the Note Register (and to the beneficial owner as required by applicable law) or, in the case of Global Notes, in accordance with the Applicable Procedures.</w:t>
      </w:r>
    </w:p>
    <w:p>
      <w:pPr>
        <w:spacing w:after="0" w:line="132" w:lineRule="exact"/>
        <w:rPr>
          <w:sz w:val="20"/>
          <w:szCs w:val="20"/>
          <w:color w:val="auto"/>
        </w:rPr>
      </w:pPr>
    </w:p>
    <w:p>
      <w:pPr>
        <w:ind w:right="220" w:firstLine="648"/>
        <w:spacing w:after="0" w:line="287" w:lineRule="auto"/>
        <w:rPr>
          <w:sz w:val="20"/>
          <w:szCs w:val="20"/>
          <w:color w:val="auto"/>
        </w:rPr>
      </w:pPr>
      <w:r>
        <w:rPr>
          <w:rFonts w:ascii="Arial" w:cs="Arial" w:eastAsia="Arial" w:hAnsi="Arial"/>
          <w:sz w:val="21"/>
          <w:szCs w:val="21"/>
          <w:color w:val="auto"/>
        </w:rPr>
        <w:t>No failure of the Company to give the foregoing notices and no defect therein shall limit the Holders’ repurchase rights or affect the validity of the proceedings for the repurchase of the Notes pursuant to this Section 15.02.</w:t>
      </w:r>
    </w:p>
    <w:p>
      <w:pPr>
        <w:spacing w:after="0" w:line="98" w:lineRule="exact"/>
        <w:rPr>
          <w:sz w:val="20"/>
          <w:szCs w:val="20"/>
          <w:color w:val="auto"/>
        </w:rPr>
      </w:pPr>
    </w:p>
    <w:p>
      <w:pPr>
        <w:ind w:left="120" w:firstLine="658"/>
        <w:spacing w:after="0" w:line="291" w:lineRule="auto"/>
        <w:tabs>
          <w:tab w:leader="none" w:pos="120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Certificated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Applicable Procedures shall be deemed to have been cancelled, and, upon such return or cancellation, as the case may be, the Fundamental Change Repurchase Notice with respect thereto shall be deemed to have been withdrawn.</w:t>
      </w:r>
    </w:p>
    <w:p>
      <w:pPr>
        <w:spacing w:after="0" w:line="101" w:lineRule="exact"/>
        <w:rPr>
          <w:sz w:val="20"/>
          <w:szCs w:val="20"/>
          <w:color w:val="auto"/>
        </w:rPr>
      </w:pPr>
    </w:p>
    <w:p>
      <w:pPr>
        <w:ind w:right="240"/>
        <w:spacing w:after="0" w:line="250" w:lineRule="auto"/>
        <w:rPr>
          <w:sz w:val="20"/>
          <w:szCs w:val="20"/>
          <w:color w:val="auto"/>
        </w:rPr>
      </w:pPr>
      <w:r>
        <w:rPr>
          <w:rFonts w:ascii="Arial" w:cs="Arial" w:eastAsia="Arial" w:hAnsi="Arial"/>
          <w:sz w:val="22"/>
          <w:szCs w:val="22"/>
          <w:color w:val="auto"/>
        </w:rPr>
        <w:t>Section 15.03</w:t>
      </w:r>
      <w:r>
        <w:rPr>
          <w:rFonts w:ascii="Arial" w:cs="Arial" w:eastAsia="Arial" w:hAnsi="Arial"/>
          <w:sz w:val="22"/>
          <w:szCs w:val="22"/>
          <w:i w:val="1"/>
          <w:iCs w:val="1"/>
          <w:color w:val="auto"/>
        </w:rPr>
        <w:t>. Withdrawal of Fundamental Change Repurchase Notice.</w:t>
      </w:r>
      <w:r>
        <w:rPr>
          <w:rFonts w:ascii="Arial" w:cs="Arial" w:eastAsia="Arial" w:hAnsi="Arial"/>
          <w:sz w:val="22"/>
          <w:szCs w:val="22"/>
          <w:color w:val="auto"/>
        </w:rPr>
        <w:t xml:space="preserve"> A Fundamental Change Repurchase Notice may be withdrawn (in whole or in part) by means of a written notice of withdrawal delivered to the Paying Agent in accordance with this Section 15.03 at any time prior to the close of business on the Business Day immediately preceding the Fundamental Change Repurchase Date, specifying:</w:t>
      </w:r>
    </w:p>
    <w:p>
      <w:pPr>
        <w:spacing w:after="0" w:line="134" w:lineRule="exact"/>
        <w:rPr>
          <w:sz w:val="20"/>
          <w:szCs w:val="20"/>
          <w:color w:val="auto"/>
        </w:rPr>
      </w:pPr>
    </w:p>
    <w:p>
      <w:pPr>
        <w:ind w:left="660" w:right="280" w:firstLine="645"/>
        <w:spacing w:after="0" w:line="263" w:lineRule="auto"/>
        <w:tabs>
          <w:tab w:leader="none" w:pos="1764"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principal amount of the Notes with respect to which such notice of withdrawal is being submitted, which portion must be in principal amounts of $1,000 or an integral multiple of $1,000,</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420"/>
          </w:cols>
          <w:pgMar w:left="240" w:top="375" w:right="239" w:bottom="1440" w:gutter="0" w:footer="0" w:header="0"/>
        </w:sectPr>
      </w:pPr>
    </w:p>
    <w:bookmarkStart w:id="159" w:name="page160"/>
    <w:bookmarkEnd w:id="159"/>
    <w:p>
      <w:pPr>
        <w:ind w:left="660" w:right="360" w:firstLine="645"/>
        <w:spacing w:after="0" w:line="263" w:lineRule="auto"/>
        <w:tabs>
          <w:tab w:leader="none" w:pos="1776" w:val="left"/>
        </w:tabs>
        <w:numPr>
          <w:ilvl w:val="0"/>
          <w:numId w:val="150"/>
        </w:numPr>
        <w:rPr>
          <w:rFonts w:ascii="Arial" w:cs="Arial" w:eastAsia="Arial" w:hAnsi="Arial"/>
          <w:sz w:val="22"/>
          <w:szCs w:val="22"/>
          <w:color w:val="auto"/>
        </w:rPr>
      </w:pPr>
      <w:r>
        <w:rPr>
          <w:rFonts w:ascii="Arial" w:cs="Arial" w:eastAsia="Arial" w:hAnsi="Arial"/>
          <w:sz w:val="22"/>
          <w:szCs w:val="22"/>
          <w:color w:val="auto"/>
        </w:rPr>
        <w:t>if Certificated Notes have been issued, the certificate number of the Note in respect of which such notice of withdrawal is being submitted, and</w:t>
      </w:r>
    </w:p>
    <w:p>
      <w:pPr>
        <w:spacing w:after="0" w:line="120" w:lineRule="exact"/>
        <w:rPr>
          <w:rFonts w:ascii="Arial" w:cs="Arial" w:eastAsia="Arial" w:hAnsi="Arial"/>
          <w:sz w:val="22"/>
          <w:szCs w:val="22"/>
          <w:color w:val="auto"/>
        </w:rPr>
      </w:pPr>
    </w:p>
    <w:p>
      <w:pPr>
        <w:ind w:left="660" w:right="60" w:firstLine="645"/>
        <w:spacing w:after="0" w:line="263" w:lineRule="auto"/>
        <w:tabs>
          <w:tab w:leader="none" w:pos="1764"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the principal amount, if any, of such Note that remains subject to the original Fundamental Change Repurchase Notice, which portion must be in principal amounts of $1,000 or an integral multiple of $1,000;</w:t>
      </w:r>
    </w:p>
    <w:p>
      <w:pPr>
        <w:spacing w:after="0" w:line="121"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however</w:t>
      </w:r>
      <w:r>
        <w:rPr>
          <w:rFonts w:ascii="Arial" w:cs="Arial" w:eastAsia="Arial" w:hAnsi="Arial"/>
          <w:sz w:val="21"/>
          <w:szCs w:val="21"/>
          <w:color w:val="auto"/>
        </w:rPr>
        <w:t>, that if the Notes are Global Notes, the withdrawal notice must comply with the Applicable Procedures.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Section 15.04</w:t>
      </w:r>
      <w:r>
        <w:rPr>
          <w:rFonts w:ascii="Arial" w:cs="Arial" w:eastAsia="Arial" w:hAnsi="Arial"/>
          <w:sz w:val="19"/>
          <w:szCs w:val="19"/>
          <w:i w:val="1"/>
          <w:iCs w:val="1"/>
          <w:color w:val="auto"/>
        </w:rPr>
        <w:t>. Deposit of Fundamental Change Repurchase Price.</w:t>
      </w:r>
      <w:r>
        <w:rPr>
          <w:rFonts w:ascii="Arial" w:cs="Arial" w:eastAsia="Arial" w:hAnsi="Arial"/>
          <w:sz w:val="19"/>
          <w:szCs w:val="19"/>
          <w:color w:val="auto"/>
        </w:rPr>
        <w:t xml:space="preserve"> (a) The Company shall deposit with the Trustee (or other Paying</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Agent appointed by the Company, or if the Company is acting as its own Paying Agent, set aside, segregate and hold in trust as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provided in Section 4.04) on or prior to 10:00 a.m., New York City time, on the Fundamental Change Repurchase Date an amount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of money sufficient to repurchase all of the Notes to be purchased at the appropriate Fundamental Change Repurchase Price.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Subject to receipt of funds by the Trustee (or other Paying Agent appointed by the Company), payment for Notes surrendered for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repurchase (and not validly withdrawn prior to the close of business on the Business Day immediately preceding the Fundamental</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Change Repurchase Date) will be made on the later of (i) the Fundamental Change Repurchase Date with respect to such Note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the Holder has satisfied the conditions in Section 15.02) and (ii) the time of book-entry transfer or the delivery of such</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Note to the Trustee (or other Paying Agent appointed by the Company) by the Holder thereof in the manner required by Section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15.02, by mailing checks for the amount payable to the Holders of such Notes entitled thereto as they shall appear in the Note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Register;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payments to the Depositary shall be made by wire transfer of immediately available funds to the</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account of the Depositary or its nominee. The Trustee shall, promptly after such payment and upon written demand by the</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Company, return to the Company any funds in excess of the Fundamental Change Repurchase Price.</w:t>
      </w:r>
    </w:p>
    <w:p>
      <w:pPr>
        <w:spacing w:after="0" w:line="148" w:lineRule="exact"/>
        <w:rPr>
          <w:sz w:val="20"/>
          <w:szCs w:val="20"/>
          <w:color w:val="auto"/>
        </w:rPr>
      </w:pPr>
    </w:p>
    <w:p>
      <w:pPr>
        <w:jc w:val="both"/>
        <w:ind w:left="120" w:right="380" w:firstLine="658"/>
        <w:spacing w:after="0" w:line="307" w:lineRule="auto"/>
        <w:tabs>
          <w:tab w:leader="none" w:pos="120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If by 10:00 a.m. New York City time, on the Fundamental Change Repurchase Date, the Trustee (or other Paying Agent appointed by the Company) holds money sufficient to make payment on all the Notes or portions thereof that are to be purchased on such Fundamental Change Repurchase Date or any applicable extension thereof, then, with respect to Notes that have been properly surrendered for repurchase and have not been validly withdrawn:</w:t>
      </w:r>
    </w:p>
    <w:p>
      <w:pPr>
        <w:spacing w:after="0" w:line="84" w:lineRule="exact"/>
        <w:rPr>
          <w:rFonts w:ascii="Arial" w:cs="Arial" w:eastAsia="Arial" w:hAnsi="Arial"/>
          <w:sz w:val="19"/>
          <w:szCs w:val="19"/>
          <w:color w:val="auto"/>
        </w:rPr>
      </w:pPr>
    </w:p>
    <w:p>
      <w:pPr>
        <w:ind w:left="500" w:right="120" w:firstLine="805"/>
        <w:spacing w:after="0" w:line="260" w:lineRule="auto"/>
        <w:tabs>
          <w:tab w:leader="none" w:pos="1694" w:val="left"/>
        </w:tabs>
        <w:numPr>
          <w:ilvl w:val="1"/>
          <w:numId w:val="151"/>
        </w:numPr>
        <w:rPr>
          <w:rFonts w:ascii="Arial" w:cs="Arial" w:eastAsia="Arial" w:hAnsi="Arial"/>
          <w:sz w:val="22"/>
          <w:szCs w:val="22"/>
          <w:color w:val="auto"/>
        </w:rPr>
      </w:pPr>
      <w:r>
        <w:rPr>
          <w:rFonts w:ascii="Arial" w:cs="Arial" w:eastAsia="Arial" w:hAnsi="Arial"/>
          <w:sz w:val="22"/>
          <w:szCs w:val="22"/>
          <w:color w:val="auto"/>
        </w:rPr>
        <w:t>such Notes shall cease to be outstanding and interest shall cease to accrue on such Notes on such Fundamental Change Repurchase Date or any applicable extension thereof (whether or not book-entry transfer of the Notes has been made or the Notes have been delivered to the Trustee or Paying Agent); and</w:t>
      </w:r>
    </w:p>
    <w:p>
      <w:pPr>
        <w:spacing w:after="0" w:line="123" w:lineRule="exact"/>
        <w:rPr>
          <w:rFonts w:ascii="Arial" w:cs="Arial" w:eastAsia="Arial" w:hAnsi="Arial"/>
          <w:sz w:val="22"/>
          <w:szCs w:val="22"/>
          <w:color w:val="auto"/>
        </w:rPr>
      </w:pPr>
    </w:p>
    <w:p>
      <w:pPr>
        <w:ind w:left="500" w:firstLine="805"/>
        <w:spacing w:after="0" w:line="302" w:lineRule="auto"/>
        <w:tabs>
          <w:tab w:leader="none" w:pos="1790" w:val="left"/>
        </w:tabs>
        <w:numPr>
          <w:ilvl w:val="1"/>
          <w:numId w:val="151"/>
        </w:numPr>
        <w:rPr>
          <w:rFonts w:ascii="Arial" w:cs="Arial" w:eastAsia="Arial" w:hAnsi="Arial"/>
          <w:sz w:val="19"/>
          <w:szCs w:val="19"/>
          <w:color w:val="auto"/>
        </w:rPr>
      </w:pPr>
      <w:r>
        <w:rPr>
          <w:rFonts w:ascii="Arial" w:cs="Arial" w:eastAsia="Arial" w:hAnsi="Arial"/>
          <w:sz w:val="19"/>
          <w:szCs w:val="19"/>
          <w:color w:val="auto"/>
        </w:rPr>
        <w:t>all other rights of the Holders of such Notes will terminate on the Fundamental Change Repurchase Date (other than (x) the right to receive the Fundamental Change Repurchase Price and (y) if the Fundamental Change Repurchase Date falls after a Regular Record Date but on or prior to the related Interest Payment Date, the right of the Holder on such Regular Record Date to receive the accrued and unpaid interest to, but not including, the Fundamental Change Repurchase Date).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420"/>
          </w:cols>
          <w:pgMar w:left="240" w:top="375" w:right="239" w:bottom="1440" w:gutter="0" w:footer="0" w:header="0"/>
        </w:sectPr>
      </w:pPr>
    </w:p>
    <w:bookmarkStart w:id="160" w:name="page161"/>
    <w:bookmarkEnd w:id="160"/>
    <w:p>
      <w:pPr>
        <w:ind w:left="120" w:right="20" w:firstLine="658"/>
        <w:spacing w:after="0" w:line="278" w:lineRule="auto"/>
        <w:tabs>
          <w:tab w:leader="none" w:pos="1188" w:val="left"/>
        </w:tabs>
        <w:numPr>
          <w:ilvl w:val="0"/>
          <w:numId w:val="152"/>
        </w:numPr>
        <w:rPr>
          <w:rFonts w:ascii="Arial" w:cs="Arial" w:eastAsia="Arial" w:hAnsi="Arial"/>
          <w:sz w:val="21"/>
          <w:szCs w:val="21"/>
          <w:color w:val="auto"/>
        </w:rPr>
      </w:pPr>
      <w:r>
        <w:rPr>
          <w:rFonts w:ascii="Arial" w:cs="Arial" w:eastAsia="Arial" w:hAnsi="Arial"/>
          <w:sz w:val="21"/>
          <w:szCs w:val="21"/>
          <w:color w:val="auto"/>
        </w:rPr>
        <w:t>Upon surrender of a Note that is to be purchased in part pursuant to Section 15.02, the Company shall execute and the Trustee shall authenticate and deliver to the Holder a new Note in an authorized denomination equal in principal amount to the unpurchased portion of the Note surrendered, without payment of any service charge.</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Section 15.05. </w:t>
      </w:r>
      <w:r>
        <w:rPr>
          <w:rFonts w:ascii="Arial" w:cs="Arial" w:eastAsia="Arial" w:hAnsi="Arial"/>
          <w:sz w:val="19"/>
          <w:szCs w:val="19"/>
          <w:i w:val="1"/>
          <w:iCs w:val="1"/>
          <w:color w:val="auto"/>
        </w:rPr>
        <w:t>Covenant to Comply with Applicable Laws Upon Repurchase of Notes</w:t>
      </w:r>
      <w:r>
        <w:rPr>
          <w:rFonts w:ascii="Arial" w:cs="Arial" w:eastAsia="Arial" w:hAnsi="Arial"/>
          <w:sz w:val="19"/>
          <w:szCs w:val="19"/>
          <w:color w:val="auto"/>
        </w:rPr>
        <w:t>. In connection with any repurchase offer,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Company will, if required:</w:t>
      </w:r>
    </w:p>
    <w:p>
      <w:pPr>
        <w:spacing w:after="0" w:line="148" w:lineRule="exact"/>
        <w:rPr>
          <w:sz w:val="20"/>
          <w:szCs w:val="20"/>
          <w:color w:val="auto"/>
        </w:rPr>
      </w:pPr>
    </w:p>
    <w:p>
      <w:pPr>
        <w:ind w:left="120" w:right="280" w:firstLine="658"/>
        <w:spacing w:after="0" w:line="276" w:lineRule="auto"/>
        <w:tabs>
          <w:tab w:leader="none" w:pos="1188" w:val="left"/>
        </w:tabs>
        <w:numPr>
          <w:ilvl w:val="0"/>
          <w:numId w:val="153"/>
        </w:numPr>
        <w:rPr>
          <w:rFonts w:ascii="Arial" w:cs="Arial" w:eastAsia="Arial" w:hAnsi="Arial"/>
          <w:sz w:val="22"/>
          <w:szCs w:val="22"/>
          <w:color w:val="auto"/>
        </w:rPr>
      </w:pPr>
      <w:r>
        <w:rPr>
          <w:rFonts w:ascii="Arial" w:cs="Arial" w:eastAsia="Arial" w:hAnsi="Arial"/>
          <w:sz w:val="22"/>
          <w:szCs w:val="22"/>
          <w:color w:val="auto"/>
        </w:rPr>
        <w:t>comply with the provisions of Rule 13e-4, Rule 14e-1 and any other tender offer rules under the Exchange Act that may then be applicable;</w:t>
      </w:r>
    </w:p>
    <w:p>
      <w:pPr>
        <w:spacing w:after="0" w:line="106" w:lineRule="exact"/>
        <w:rPr>
          <w:rFonts w:ascii="Arial" w:cs="Arial" w:eastAsia="Arial" w:hAnsi="Arial"/>
          <w:sz w:val="22"/>
          <w:szCs w:val="22"/>
          <w:color w:val="auto"/>
        </w:rPr>
      </w:pPr>
    </w:p>
    <w:p>
      <w:pPr>
        <w:ind w:left="1200" w:hanging="422"/>
        <w:spacing w:after="0"/>
        <w:tabs>
          <w:tab w:leader="none" w:pos="120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file a Schedule TO or any other required schedule under the Exchange Act; and</w:t>
      </w:r>
    </w:p>
    <w:p>
      <w:pPr>
        <w:spacing w:after="0" w:line="179" w:lineRule="exact"/>
        <w:rPr>
          <w:rFonts w:ascii="Arial" w:cs="Arial" w:eastAsia="Arial" w:hAnsi="Arial"/>
          <w:sz w:val="22"/>
          <w:szCs w:val="22"/>
          <w:color w:val="auto"/>
        </w:rPr>
      </w:pPr>
    </w:p>
    <w:p>
      <w:pPr>
        <w:ind w:left="120" w:right="980" w:firstLine="658"/>
        <w:spacing w:after="0" w:line="276" w:lineRule="auto"/>
        <w:tabs>
          <w:tab w:leader="none" w:pos="1188" w:val="left"/>
        </w:tabs>
        <w:numPr>
          <w:ilvl w:val="0"/>
          <w:numId w:val="153"/>
        </w:numPr>
        <w:rPr>
          <w:rFonts w:ascii="Arial" w:cs="Arial" w:eastAsia="Arial" w:hAnsi="Arial"/>
          <w:sz w:val="22"/>
          <w:szCs w:val="22"/>
          <w:color w:val="auto"/>
        </w:rPr>
      </w:pPr>
      <w:r>
        <w:rPr>
          <w:rFonts w:ascii="Arial" w:cs="Arial" w:eastAsia="Arial" w:hAnsi="Arial"/>
          <w:sz w:val="22"/>
          <w:szCs w:val="22"/>
          <w:color w:val="auto"/>
        </w:rPr>
        <w:t>otherwise comply with all federal and state securities laws in connection with any offer by the Company to repurchase the Notes;</w:t>
      </w:r>
    </w:p>
    <w:p>
      <w:pPr>
        <w:spacing w:after="0" w:line="107" w:lineRule="exact"/>
        <w:rPr>
          <w:sz w:val="20"/>
          <w:szCs w:val="20"/>
          <w:color w:val="auto"/>
        </w:rPr>
      </w:pPr>
    </w:p>
    <w:p>
      <w:pPr>
        <w:ind w:right="140"/>
        <w:spacing w:after="0" w:line="263" w:lineRule="auto"/>
        <w:rPr>
          <w:sz w:val="20"/>
          <w:szCs w:val="20"/>
          <w:color w:val="auto"/>
        </w:rPr>
      </w:pPr>
      <w:r>
        <w:rPr>
          <w:rFonts w:ascii="Arial" w:cs="Arial" w:eastAsia="Arial" w:hAnsi="Arial"/>
          <w:sz w:val="22"/>
          <w:szCs w:val="22"/>
          <w:color w:val="auto"/>
        </w:rPr>
        <w:t>in each case, so as to permit the rights and obligations under this Article 15 to be exercised in the time and in the manner specified in this Article 15.</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16</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w:t>
      </w:r>
      <w:r>
        <w:rPr>
          <w:rFonts w:ascii="Arial" w:cs="Arial" w:eastAsia="Arial" w:hAnsi="Arial"/>
          <w:sz w:val="18"/>
          <w:szCs w:val="18"/>
          <w:color w:val="auto"/>
        </w:rPr>
        <w:t>O</w:t>
      </w:r>
      <w:r>
        <w:rPr>
          <w:rFonts w:ascii="Arial" w:cs="Arial" w:eastAsia="Arial" w:hAnsi="Arial"/>
          <w:sz w:val="22"/>
          <w:szCs w:val="22"/>
          <w:color w:val="auto"/>
        </w:rPr>
        <w:t xml:space="preserve"> O</w:t>
      </w:r>
      <w:r>
        <w:rPr>
          <w:rFonts w:ascii="Arial" w:cs="Arial" w:eastAsia="Arial" w:hAnsi="Arial"/>
          <w:sz w:val="18"/>
          <w:szCs w:val="18"/>
          <w:color w:val="auto"/>
        </w:rPr>
        <w:t>PTIONAL</w:t>
      </w:r>
      <w:r>
        <w:rPr>
          <w:rFonts w:ascii="Arial" w:cs="Arial" w:eastAsia="Arial" w:hAnsi="Arial"/>
          <w:sz w:val="22"/>
          <w:szCs w:val="22"/>
          <w:color w:val="auto"/>
        </w:rPr>
        <w:t xml:space="preserve"> R</w:t>
      </w:r>
      <w:r>
        <w:rPr>
          <w:rFonts w:ascii="Arial" w:cs="Arial" w:eastAsia="Arial" w:hAnsi="Arial"/>
          <w:sz w:val="18"/>
          <w:szCs w:val="18"/>
          <w:color w:val="auto"/>
        </w:rPr>
        <w:t>EDEMPTION</w:t>
      </w:r>
    </w:p>
    <w:p>
      <w:pPr>
        <w:spacing w:after="0" w:line="161" w:lineRule="exact"/>
        <w:rPr>
          <w:sz w:val="20"/>
          <w:szCs w:val="20"/>
          <w:color w:val="auto"/>
        </w:rPr>
      </w:pPr>
    </w:p>
    <w:p>
      <w:pPr>
        <w:ind w:right="400"/>
        <w:spacing w:after="0" w:line="263" w:lineRule="auto"/>
        <w:rPr>
          <w:sz w:val="20"/>
          <w:szCs w:val="20"/>
          <w:color w:val="auto"/>
        </w:rPr>
      </w:pPr>
      <w:r>
        <w:rPr>
          <w:rFonts w:ascii="Arial" w:cs="Arial" w:eastAsia="Arial" w:hAnsi="Arial"/>
          <w:sz w:val="22"/>
          <w:szCs w:val="22"/>
          <w:color w:val="auto"/>
        </w:rPr>
        <w:t xml:space="preserve">Section 16.01. </w:t>
      </w:r>
      <w:r>
        <w:rPr>
          <w:rFonts w:ascii="Arial" w:cs="Arial" w:eastAsia="Arial" w:hAnsi="Arial"/>
          <w:sz w:val="22"/>
          <w:szCs w:val="22"/>
          <w:i w:val="1"/>
          <w:iCs w:val="1"/>
          <w:color w:val="auto"/>
        </w:rPr>
        <w:t>No Optional Redemption</w:t>
      </w:r>
      <w:r>
        <w:rPr>
          <w:rFonts w:ascii="Arial" w:cs="Arial" w:eastAsia="Arial" w:hAnsi="Arial"/>
          <w:sz w:val="22"/>
          <w:szCs w:val="22"/>
          <w:color w:val="auto"/>
        </w:rPr>
        <w:t>. The Notes shall not be redeemable by the Company prior to the Maturity Date, and no sinking fund is provided for the Notes.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17</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w:t>
      </w:r>
      <w:r>
        <w:rPr>
          <w:rFonts w:ascii="Arial" w:cs="Arial" w:eastAsia="Arial" w:hAnsi="Arial"/>
          <w:sz w:val="18"/>
          <w:szCs w:val="18"/>
          <w:color w:val="auto"/>
        </w:rPr>
        <w:t>ISCELLANEOUS</w:t>
      </w:r>
      <w:r>
        <w:rPr>
          <w:rFonts w:ascii="Arial" w:cs="Arial" w:eastAsia="Arial" w:hAnsi="Arial"/>
          <w:sz w:val="22"/>
          <w:szCs w:val="22"/>
          <w:color w:val="auto"/>
        </w:rPr>
        <w:t xml:space="preserve"> P</w:t>
      </w:r>
      <w:r>
        <w:rPr>
          <w:rFonts w:ascii="Arial" w:cs="Arial" w:eastAsia="Arial" w:hAnsi="Arial"/>
          <w:sz w:val="18"/>
          <w:szCs w:val="18"/>
          <w:color w:val="auto"/>
        </w:rPr>
        <w:t>ROVISIONS</w:t>
      </w:r>
    </w:p>
    <w:p>
      <w:pPr>
        <w:spacing w:after="0" w:line="215" w:lineRule="exact"/>
        <w:rPr>
          <w:sz w:val="20"/>
          <w:szCs w:val="20"/>
          <w:color w:val="auto"/>
        </w:rPr>
      </w:pPr>
    </w:p>
    <w:p>
      <w:pPr>
        <w:ind w:right="600"/>
        <w:spacing w:after="0" w:line="343" w:lineRule="auto"/>
        <w:rPr>
          <w:sz w:val="20"/>
          <w:szCs w:val="20"/>
          <w:color w:val="auto"/>
        </w:rPr>
      </w:pPr>
      <w:r>
        <w:rPr>
          <w:rFonts w:ascii="Arial" w:cs="Arial" w:eastAsia="Arial" w:hAnsi="Arial"/>
          <w:sz w:val="19"/>
          <w:szCs w:val="19"/>
          <w:color w:val="auto"/>
        </w:rPr>
        <w:t>Section 17.01</w:t>
      </w:r>
      <w:r>
        <w:rPr>
          <w:rFonts w:ascii="Arial" w:cs="Arial" w:eastAsia="Arial" w:hAnsi="Arial"/>
          <w:sz w:val="19"/>
          <w:szCs w:val="19"/>
          <w:i w:val="1"/>
          <w:iCs w:val="1"/>
          <w:color w:val="auto"/>
        </w:rPr>
        <w:t>. Provisions Binding on Company’s Successors.</w:t>
      </w:r>
      <w:r>
        <w:rPr>
          <w:rFonts w:ascii="Arial" w:cs="Arial" w:eastAsia="Arial" w:hAnsi="Arial"/>
          <w:sz w:val="19"/>
          <w:szCs w:val="19"/>
          <w:color w:val="auto"/>
        </w:rPr>
        <w:t xml:space="preserve"> All the covenants, stipulations, promises and agreements of the Company contained in this Indenture shall bind its successors and assigns whether so expressed or not.</w:t>
      </w:r>
    </w:p>
    <w:p>
      <w:pPr>
        <w:spacing w:after="0" w:line="10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Section 17.02</w:t>
      </w:r>
      <w:r>
        <w:rPr>
          <w:rFonts w:ascii="Arial" w:cs="Arial" w:eastAsia="Arial" w:hAnsi="Arial"/>
          <w:sz w:val="22"/>
          <w:szCs w:val="22"/>
          <w:i w:val="1"/>
          <w:iCs w:val="1"/>
          <w:color w:val="auto"/>
        </w:rPr>
        <w:t>. Official Acts by Successor Entity.</w:t>
      </w:r>
      <w:r>
        <w:rPr>
          <w:rFonts w:ascii="Arial" w:cs="Arial" w:eastAsia="Arial" w:hAnsi="Arial"/>
          <w:sz w:val="22"/>
          <w:szCs w:val="22"/>
          <w:color w:val="auto"/>
        </w:rPr>
        <w:t xml:space="preserve">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spacing w:after="0" w:line="188" w:lineRule="exact"/>
        <w:rPr>
          <w:sz w:val="20"/>
          <w:szCs w:val="20"/>
          <w:color w:val="auto"/>
        </w:rPr>
      </w:pPr>
    </w:p>
    <w:p>
      <w:pPr>
        <w:ind w:right="140"/>
        <w:spacing w:after="0" w:line="247" w:lineRule="auto"/>
        <w:rPr>
          <w:sz w:val="20"/>
          <w:szCs w:val="20"/>
          <w:color w:val="auto"/>
        </w:rPr>
      </w:pPr>
      <w:r>
        <w:rPr>
          <w:rFonts w:ascii="Arial" w:cs="Arial" w:eastAsia="Arial" w:hAnsi="Arial"/>
          <w:sz w:val="22"/>
          <w:szCs w:val="22"/>
          <w:color w:val="auto"/>
        </w:rPr>
        <w:t>Section 17.03</w:t>
      </w:r>
      <w:r>
        <w:rPr>
          <w:rFonts w:ascii="Arial" w:cs="Arial" w:eastAsia="Arial" w:hAnsi="Arial"/>
          <w:sz w:val="22"/>
          <w:szCs w:val="22"/>
          <w:i w:val="1"/>
          <w:iCs w:val="1"/>
          <w:color w:val="auto"/>
        </w:rPr>
        <w:t>. Addresses for Notices, Etc.</w:t>
      </w:r>
      <w:r>
        <w:rPr>
          <w:rFonts w:ascii="Arial" w:cs="Arial" w:eastAsia="Arial" w:hAnsi="Arial"/>
          <w:sz w:val="22"/>
          <w:szCs w:val="22"/>
          <w:color w:val="auto"/>
        </w:rPr>
        <w:t xml:space="preserve"> Any notice or demand that by any provision of this Indenture is required or permitted to be given or served by the Trustee or by the Holders on the Company shall be in writing (including facsimile and electronic mail in PDF format) and shall be deemed to have been sufficiently given or made, for all purposes if given or served by being deposited postage prepaid by registered or certified mail in a post office letter box addressed (until another address is filed by the Company with the Trustee) to 6649 Westwood Boulevard, Orlando, Florida 32821 (fax: (407) 513-6680); Attention: James H Hunter, IV, General Counsel</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420"/>
          </w:cols>
          <w:pgMar w:left="240" w:top="375" w:right="239" w:bottom="1440" w:gutter="0" w:footer="0" w:header="0"/>
        </w:sectPr>
      </w:pPr>
    </w:p>
    <w:bookmarkStart w:id="161" w:name="page162"/>
    <w:bookmarkEnd w:id="161"/>
    <w:p>
      <w:pPr>
        <w:spacing w:after="0" w:line="248" w:lineRule="auto"/>
        <w:rPr>
          <w:sz w:val="20"/>
          <w:szCs w:val="20"/>
          <w:color w:val="auto"/>
        </w:rPr>
      </w:pPr>
      <w:r>
        <w:rPr>
          <w:rFonts w:ascii="Arial" w:cs="Arial" w:eastAsia="Arial" w:hAnsi="Arial"/>
          <w:sz w:val="22"/>
          <w:szCs w:val="22"/>
          <w:color w:val="auto"/>
        </w:rPr>
        <w:t>or sent electronically in PDF format to the following e-mail address: james.hunter@mvwc.com. Any notice, direction, request or demand hereunder to or upon the Trustee shall be in writing (including facsimile and electronic mail in PDF format) and shall be deemed to have been sufficiently given or made, for all purposes, if given or served by being deposited postage prepaid by registered or certified mail in a post office letter box addressed to the Corporate Trust Office or sent electronically in PDF format to the following e-mail address: Kandy.williams@bnymellon.com.</w:t>
      </w:r>
    </w:p>
    <w:p>
      <w:pPr>
        <w:spacing w:after="0" w:line="192" w:lineRule="exact"/>
        <w:rPr>
          <w:sz w:val="20"/>
          <w:szCs w:val="20"/>
          <w:color w:val="auto"/>
        </w:rPr>
      </w:pPr>
    </w:p>
    <w:p>
      <w:pPr>
        <w:ind w:right="960" w:firstLine="648"/>
        <w:spacing w:after="0" w:line="263" w:lineRule="auto"/>
        <w:rPr>
          <w:sz w:val="20"/>
          <w:szCs w:val="20"/>
          <w:color w:val="auto"/>
        </w:rPr>
      </w:pPr>
      <w:r>
        <w:rPr>
          <w:rFonts w:ascii="Arial" w:cs="Arial" w:eastAsia="Arial" w:hAnsi="Arial"/>
          <w:sz w:val="22"/>
          <w:szCs w:val="22"/>
          <w:color w:val="auto"/>
        </w:rPr>
        <w:t>The Trustee, by notice to the Company, may designate additional or different addresses for subsequent notices or communications.</w:t>
      </w:r>
    </w:p>
    <w:p>
      <w:pPr>
        <w:spacing w:after="0" w:line="175" w:lineRule="exact"/>
        <w:rPr>
          <w:sz w:val="20"/>
          <w:szCs w:val="20"/>
          <w:color w:val="auto"/>
        </w:rPr>
      </w:pPr>
    </w:p>
    <w:p>
      <w:pPr>
        <w:ind w:right="20" w:firstLine="648"/>
        <w:spacing w:after="0" w:line="247" w:lineRule="auto"/>
        <w:rPr>
          <w:sz w:val="20"/>
          <w:szCs w:val="20"/>
          <w:color w:val="auto"/>
        </w:rPr>
      </w:pPr>
      <w:r>
        <w:rPr>
          <w:rFonts w:ascii="Arial" w:cs="Arial" w:eastAsia="Arial" w:hAnsi="Arial"/>
          <w:sz w:val="22"/>
          <w:szCs w:val="22"/>
          <w:color w:val="auto"/>
        </w:rPr>
        <w:t>Any notice or communication delivered or to be delivered to a Holder of Certificated Notes shall be mailed to it by first class mail, postage prepaid, at its address as it appears on the Note Register (or sent electronically in PDF format to the e-mail address of such Holder, if any, specified on the Note Register) and shall be sufficiently given to it if so mailed (or sent, in the case of an electronic transmission) within the time prescribed. Any notice or communication delivered or to be delivered to a Holder of Global Notes shall be delivered in accordance with the Applicable Procedures of the Depositary and shall be sufficiently given to it if so delivered within the time prescribed.</w:t>
      </w:r>
    </w:p>
    <w:p>
      <w:pPr>
        <w:spacing w:after="0" w:line="194" w:lineRule="exact"/>
        <w:rPr>
          <w:sz w:val="20"/>
          <w:szCs w:val="20"/>
          <w:color w:val="auto"/>
        </w:rPr>
      </w:pPr>
    </w:p>
    <w:p>
      <w:pPr>
        <w:jc w:val="both"/>
        <w:ind w:right="40" w:firstLine="648"/>
        <w:spacing w:after="0" w:line="253" w:lineRule="auto"/>
        <w:rPr>
          <w:sz w:val="20"/>
          <w:szCs w:val="20"/>
          <w:color w:val="auto"/>
        </w:rPr>
      </w:pPr>
      <w:r>
        <w:rPr>
          <w:rFonts w:ascii="Arial" w:cs="Arial" w:eastAsia="Arial" w:hAnsi="Arial"/>
          <w:sz w:val="22"/>
          <w:szCs w:val="22"/>
          <w:color w:val="auto"/>
        </w:rPr>
        <w:t>Failure to send a notice or communication to a Holder or any defect in it shall not affect its sufficiency with respect to other Holders. If a notice or communication is sent in the manner provided above, it is duly given, whether or not the addressee receives it.</w:t>
      </w:r>
    </w:p>
    <w:p>
      <w:pPr>
        <w:spacing w:after="0" w:line="186" w:lineRule="exact"/>
        <w:rPr>
          <w:sz w:val="20"/>
          <w:szCs w:val="20"/>
          <w:color w:val="auto"/>
        </w:rPr>
      </w:pPr>
    </w:p>
    <w:p>
      <w:pPr>
        <w:jc w:val="both"/>
        <w:ind w:right="140" w:firstLine="648"/>
        <w:spacing w:after="0" w:line="253" w:lineRule="auto"/>
        <w:rPr>
          <w:sz w:val="20"/>
          <w:szCs w:val="20"/>
          <w:color w:val="auto"/>
        </w:rPr>
      </w:pPr>
      <w:r>
        <w:rPr>
          <w:rFonts w:ascii="Arial" w:cs="Arial" w:eastAsia="Arial" w:hAnsi="Arial"/>
          <w:sz w:val="22"/>
          <w:szCs w:val="22"/>
          <w:color w:val="auto"/>
        </w:rPr>
        <w:t>In case by reason of the suspension of regular mail service or by reason of any other cause it shall be impracticable to give such notice to Holders by mail (or electronically in PDF format), then such notification as shall be made with the approval of the Trustee shall constitute a sufficient notification for every purpose hereunder.</w:t>
      </w:r>
    </w:p>
    <w:p>
      <w:pPr>
        <w:spacing w:after="0" w:line="186"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In addition to the foregoing, the Trustee agrees to accept and act upon notice, instructions or directions pursuant to this Indenture sent by unsecured e-mail, pdf, facsimile transmission or other similar unsecured electronic methods.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158" w:lineRule="exact"/>
        <w:rPr>
          <w:sz w:val="20"/>
          <w:szCs w:val="20"/>
          <w:color w:val="auto"/>
        </w:rPr>
      </w:pPr>
    </w:p>
    <w:p>
      <w:pPr>
        <w:ind w:right="220"/>
        <w:spacing w:after="0" w:line="253" w:lineRule="auto"/>
        <w:rPr>
          <w:sz w:val="20"/>
          <w:szCs w:val="20"/>
          <w:color w:val="auto"/>
        </w:rPr>
      </w:pPr>
      <w:r>
        <w:rPr>
          <w:rFonts w:ascii="Arial" w:cs="Arial" w:eastAsia="Arial" w:hAnsi="Arial"/>
          <w:sz w:val="22"/>
          <w:szCs w:val="22"/>
          <w:color w:val="auto"/>
        </w:rPr>
        <w:t>Section 17.04</w:t>
      </w:r>
      <w:r>
        <w:rPr>
          <w:rFonts w:ascii="Arial" w:cs="Arial" w:eastAsia="Arial" w:hAnsi="Arial"/>
          <w:sz w:val="22"/>
          <w:szCs w:val="22"/>
          <w:i w:val="1"/>
          <w:iCs w:val="1"/>
          <w:color w:val="auto"/>
        </w:rPr>
        <w:t>. Governing Law.</w:t>
      </w:r>
      <w:r>
        <w:rPr>
          <w:rFonts w:ascii="Arial" w:cs="Arial" w:eastAsia="Arial" w:hAnsi="Arial"/>
          <w:sz w:val="22"/>
          <w:szCs w:val="22"/>
          <w:color w:val="auto"/>
        </w:rPr>
        <w:t xml:space="preserve"> THIS INDENTURE AND EACH NOTE, AND ANY CLAIM, CONTROVERSY OR DISPUTE ARISING UNDER OR RELATED TO THIS INDENTURE AND EACH NOTE SHALL BE GOVERNED BY, AND CONSTRUED IN ACCORDANCE WITH, THE LAWS OF THE STATE OF NEW YORK.</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380"/>
          </w:cols>
          <w:pgMar w:left="240" w:top="375" w:right="279" w:bottom="1440" w:gutter="0" w:footer="0" w:header="0"/>
        </w:sectPr>
      </w:pPr>
    </w:p>
    <w:bookmarkStart w:id="162" w:name="page163"/>
    <w:bookmarkEnd w:id="162"/>
    <w:p>
      <w:pPr>
        <w:spacing w:after="0"/>
        <w:rPr>
          <w:sz w:val="20"/>
          <w:szCs w:val="20"/>
          <w:color w:val="auto"/>
        </w:rPr>
      </w:pPr>
      <w:r>
        <w:rPr>
          <w:rFonts w:ascii="Arial" w:cs="Arial" w:eastAsia="Arial" w:hAnsi="Arial"/>
          <w:sz w:val="22"/>
          <w:szCs w:val="22"/>
          <w:color w:val="auto"/>
        </w:rPr>
        <w:t>Section 17.05</w:t>
      </w:r>
      <w:r>
        <w:rPr>
          <w:rFonts w:ascii="Arial" w:cs="Arial" w:eastAsia="Arial" w:hAnsi="Arial"/>
          <w:sz w:val="22"/>
          <w:szCs w:val="22"/>
          <w:i w:val="1"/>
          <w:iCs w:val="1"/>
          <w:color w:val="auto"/>
        </w:rPr>
        <w:t>. Intentionally Omitted.</w:t>
      </w:r>
    </w:p>
    <w:p>
      <w:pPr>
        <w:spacing w:after="0" w:line="220" w:lineRule="exact"/>
        <w:rPr>
          <w:sz w:val="20"/>
          <w:szCs w:val="20"/>
          <w:color w:val="auto"/>
        </w:rPr>
      </w:pPr>
    </w:p>
    <w:p>
      <w:pPr>
        <w:spacing w:after="0" w:line="302" w:lineRule="auto"/>
        <w:rPr>
          <w:sz w:val="20"/>
          <w:szCs w:val="20"/>
          <w:color w:val="auto"/>
        </w:rPr>
      </w:pPr>
      <w:r>
        <w:rPr>
          <w:rFonts w:ascii="Arial" w:cs="Arial" w:eastAsia="Arial" w:hAnsi="Arial"/>
          <w:sz w:val="19"/>
          <w:szCs w:val="19"/>
          <w:color w:val="auto"/>
        </w:rPr>
        <w:t>Section 17.06</w:t>
      </w:r>
      <w:r>
        <w:rPr>
          <w:rFonts w:ascii="Arial" w:cs="Arial" w:eastAsia="Arial" w:hAnsi="Arial"/>
          <w:sz w:val="19"/>
          <w:szCs w:val="19"/>
          <w:i w:val="1"/>
          <w:iCs w:val="1"/>
          <w:color w:val="auto"/>
        </w:rPr>
        <w:t>. Evidence of Compliance with Conditions Precedent; Certificates and Opinions of Counsel to Trustee.</w:t>
      </w:r>
      <w:r>
        <w:rPr>
          <w:rFonts w:ascii="Arial" w:cs="Arial" w:eastAsia="Arial" w:hAnsi="Arial"/>
          <w:sz w:val="19"/>
          <w:szCs w:val="19"/>
          <w:color w:val="auto"/>
        </w:rPr>
        <w:t xml:space="preserve"> Upon any application or demand by the Company to the Trustee to take any action under any of the provisions of this Indenture, the Company shall furnish to the Trustee an Officers’ Certificate and Opinion of Counsel stating that in the opinion of the signors, all conditions precedent and covenants, if any, provided for in this Indenture relating to the proposed action have been satisfied.</w:t>
      </w:r>
    </w:p>
    <w:p>
      <w:pPr>
        <w:spacing w:after="0" w:line="89"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Each Officers’ Certificate and Opinion of Counsel provided for, by or on behalf of the Company in this Indenture and delivered to the Trustee with respect to compliance with this Indenture (other than the Officers’ Certificates provided for in Section 4.08) shall include (i) a statement that the Person making such certificate has read such covenant or condition; (ii) a brief statement as to the nature and scope of the examination or investigation upon which the statement contained in such certificate is based; (iii) a statement that, in the judgment of such person, he or she has made such examination or investigation as is necessary to enable him or her to express an informed judgment as to whether or not such covenant or condition has been complied with; and (iv) a statement as to whether or not, in the judgment of such Person, such covenant or condition has been complied with.</w:t>
      </w:r>
    </w:p>
    <w:p>
      <w:pPr>
        <w:spacing w:after="0" w:line="97" w:lineRule="exact"/>
        <w:rPr>
          <w:sz w:val="20"/>
          <w:szCs w:val="20"/>
          <w:color w:val="auto"/>
        </w:rPr>
      </w:pPr>
    </w:p>
    <w:p>
      <w:pPr>
        <w:jc w:val="both"/>
        <w:ind w:right="180" w:firstLine="648"/>
        <w:spacing w:after="0" w:line="253" w:lineRule="auto"/>
        <w:rPr>
          <w:sz w:val="20"/>
          <w:szCs w:val="20"/>
          <w:color w:val="auto"/>
        </w:rPr>
      </w:pPr>
      <w:r>
        <w:rPr>
          <w:rFonts w:ascii="Arial" w:cs="Arial" w:eastAsia="Arial" w:hAnsi="Arial"/>
          <w:sz w:val="22"/>
          <w:szCs w:val="22"/>
          <w:color w:val="auto"/>
        </w:rPr>
        <w:t>Notwithstanding anything to the contrary in this Section 17.06, if any provision in this Indenture specifically provides that the Trustee shall or may receive an Opinion of Counsel in connection with any action to be taken by the Trustee or the Company hereunder, the Trustee shall be entitled to such Opinion of Counsel.</w:t>
      </w:r>
    </w:p>
    <w:p>
      <w:pPr>
        <w:spacing w:after="0" w:line="132" w:lineRule="exact"/>
        <w:rPr>
          <w:sz w:val="20"/>
          <w:szCs w:val="20"/>
          <w:color w:val="auto"/>
        </w:rPr>
      </w:pPr>
    </w:p>
    <w:p>
      <w:pPr>
        <w:spacing w:after="0" w:line="312" w:lineRule="auto"/>
        <w:rPr>
          <w:sz w:val="20"/>
          <w:szCs w:val="20"/>
          <w:color w:val="auto"/>
        </w:rPr>
      </w:pPr>
      <w:r>
        <w:rPr>
          <w:rFonts w:ascii="Arial" w:cs="Arial" w:eastAsia="Arial" w:hAnsi="Arial"/>
          <w:sz w:val="19"/>
          <w:szCs w:val="19"/>
          <w:color w:val="auto"/>
        </w:rPr>
        <w:t>Section 17.07</w:t>
      </w:r>
      <w:r>
        <w:rPr>
          <w:rFonts w:ascii="Arial" w:cs="Arial" w:eastAsia="Arial" w:hAnsi="Arial"/>
          <w:sz w:val="19"/>
          <w:szCs w:val="19"/>
          <w:i w:val="1"/>
          <w:iCs w:val="1"/>
          <w:color w:val="auto"/>
        </w:rPr>
        <w:t>. Legal Holidays.</w:t>
      </w:r>
      <w:r>
        <w:rPr>
          <w:rFonts w:ascii="Arial" w:cs="Arial" w:eastAsia="Arial" w:hAnsi="Arial"/>
          <w:sz w:val="19"/>
          <w:szCs w:val="19"/>
          <w:color w:val="auto"/>
        </w:rPr>
        <w:t xml:space="preserve"> If any Interest Payment Date, Fundamental Change Repurchase Date, Conversion Date or Maturity Date is not a Business Day, then any action to be taken on such date need not be taken on such date, but may be taken on the next succeeding Business Day with the same force and effect as if taken on such date, and no interest shall accrue in respect of the delay.</w:t>
      </w:r>
    </w:p>
    <w:p>
      <w:pPr>
        <w:spacing w:after="0" w:line="80" w:lineRule="exact"/>
        <w:rPr>
          <w:sz w:val="20"/>
          <w:szCs w:val="20"/>
          <w:color w:val="auto"/>
        </w:rPr>
      </w:pPr>
    </w:p>
    <w:p>
      <w:pPr>
        <w:jc w:val="both"/>
        <w:ind w:right="160"/>
        <w:spacing w:after="0" w:line="253" w:lineRule="auto"/>
        <w:rPr>
          <w:sz w:val="20"/>
          <w:szCs w:val="20"/>
          <w:color w:val="auto"/>
        </w:rPr>
      </w:pPr>
      <w:r>
        <w:rPr>
          <w:rFonts w:ascii="Arial" w:cs="Arial" w:eastAsia="Arial" w:hAnsi="Arial"/>
          <w:sz w:val="22"/>
          <w:szCs w:val="22"/>
          <w:color w:val="auto"/>
        </w:rPr>
        <w:t>Section 17.08</w:t>
      </w:r>
      <w:r>
        <w:rPr>
          <w:rFonts w:ascii="Arial" w:cs="Arial" w:eastAsia="Arial" w:hAnsi="Arial"/>
          <w:sz w:val="22"/>
          <w:szCs w:val="22"/>
          <w:i w:val="1"/>
          <w:iCs w:val="1"/>
          <w:color w:val="auto"/>
        </w:rPr>
        <w:t>. No Security Interest Created.</w:t>
      </w:r>
      <w:r>
        <w:rPr>
          <w:rFonts w:ascii="Arial" w:cs="Arial" w:eastAsia="Arial" w:hAnsi="Arial"/>
          <w:sz w:val="22"/>
          <w:szCs w:val="22"/>
          <w:color w:val="auto"/>
        </w:rPr>
        <w:t xml:space="preserve"> Nothing in this Indenture or in the Notes, expressed or implied, shall be construed to constitute a security interest under the Uniform Commercial Code or similar legislation, as now or hereafter enacted and in effect, in any jurisdiction.</w:t>
      </w:r>
    </w:p>
    <w:p>
      <w:pPr>
        <w:spacing w:after="0" w:line="132" w:lineRule="exact"/>
        <w:rPr>
          <w:sz w:val="20"/>
          <w:szCs w:val="20"/>
          <w:color w:val="auto"/>
        </w:rPr>
      </w:pPr>
    </w:p>
    <w:p>
      <w:pPr>
        <w:jc w:val="both"/>
        <w:ind w:right="20"/>
        <w:spacing w:after="0" w:line="312" w:lineRule="auto"/>
        <w:rPr>
          <w:sz w:val="20"/>
          <w:szCs w:val="20"/>
          <w:color w:val="auto"/>
        </w:rPr>
      </w:pPr>
      <w:r>
        <w:rPr>
          <w:rFonts w:ascii="Arial" w:cs="Arial" w:eastAsia="Arial" w:hAnsi="Arial"/>
          <w:sz w:val="19"/>
          <w:szCs w:val="19"/>
          <w:color w:val="auto"/>
        </w:rPr>
        <w:t>Section 17.09</w:t>
      </w:r>
      <w:r>
        <w:rPr>
          <w:rFonts w:ascii="Arial" w:cs="Arial" w:eastAsia="Arial" w:hAnsi="Arial"/>
          <w:sz w:val="19"/>
          <w:szCs w:val="19"/>
          <w:i w:val="1"/>
          <w:iCs w:val="1"/>
          <w:color w:val="auto"/>
        </w:rPr>
        <w:t>. Benefits of Indenture.</w:t>
      </w:r>
      <w:r>
        <w:rPr>
          <w:rFonts w:ascii="Arial" w:cs="Arial" w:eastAsia="Arial" w:hAnsi="Arial"/>
          <w:sz w:val="19"/>
          <w:szCs w:val="19"/>
          <w:color w:val="auto"/>
        </w:rPr>
        <w:t xml:space="preserve"> Nothing in this Indenture or in the Notes, expressed or implied, shall give to any Person, other than the parties hereto, any Paying Agent, any Conversion Agent, any authenticating agent, any Note Registrar and their successors hereunder or the Holders, any benefit or any legal or equitable right, remedy or claim under this Indenture.</w:t>
      </w:r>
    </w:p>
    <w:p>
      <w:pPr>
        <w:spacing w:after="0" w:line="80"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Section 17.10</w:t>
      </w:r>
      <w:r>
        <w:rPr>
          <w:rFonts w:ascii="Arial" w:cs="Arial" w:eastAsia="Arial" w:hAnsi="Arial"/>
          <w:sz w:val="22"/>
          <w:szCs w:val="22"/>
          <w:i w:val="1"/>
          <w:iCs w:val="1"/>
          <w:color w:val="auto"/>
        </w:rPr>
        <w:t>. Table of Contents, Headings, Etc.</w:t>
      </w:r>
      <w:r>
        <w:rPr>
          <w:rFonts w:ascii="Arial" w:cs="Arial" w:eastAsia="Arial" w:hAnsi="Arial"/>
          <w:sz w:val="22"/>
          <w:szCs w:val="22"/>
          <w:color w:val="auto"/>
        </w:rPr>
        <w:t xml:space="preserve">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32"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color w:val="auto"/>
        </w:rPr>
        <w:t>Section 17.11</w:t>
      </w:r>
      <w:r>
        <w:rPr>
          <w:rFonts w:ascii="Arial" w:cs="Arial" w:eastAsia="Arial" w:hAnsi="Arial"/>
          <w:sz w:val="22"/>
          <w:szCs w:val="22"/>
          <w:i w:val="1"/>
          <w:iCs w:val="1"/>
          <w:color w:val="auto"/>
        </w:rPr>
        <w:t>. Authenticating Agent.</w:t>
      </w:r>
      <w:r>
        <w:rPr>
          <w:rFonts w:ascii="Arial" w:cs="Arial" w:eastAsia="Arial" w:hAnsi="Arial"/>
          <w:sz w:val="22"/>
          <w:szCs w:val="22"/>
          <w:color w:val="auto"/>
        </w:rPr>
        <w:t xml:space="preserve"> The Trustee may appoint an authenticating agent that shall be authorized to act on its behalf and subject to its direction in the authentication and delivery of</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400"/>
          </w:cols>
          <w:pgMar w:left="240" w:top="375" w:right="259" w:bottom="1440" w:gutter="0" w:footer="0" w:header="0"/>
        </w:sectPr>
      </w:pPr>
    </w:p>
    <w:bookmarkStart w:id="163" w:name="page164"/>
    <w:bookmarkEnd w:id="163"/>
    <w:p>
      <w:pPr>
        <w:ind w:right="160"/>
        <w:spacing w:after="0" w:line="246" w:lineRule="auto"/>
        <w:rPr>
          <w:sz w:val="20"/>
          <w:szCs w:val="20"/>
          <w:color w:val="auto"/>
        </w:rPr>
      </w:pPr>
      <w:r>
        <w:rPr>
          <w:rFonts w:ascii="Arial" w:cs="Arial" w:eastAsia="Arial" w:hAnsi="Arial"/>
          <w:sz w:val="22"/>
          <w:szCs w:val="22"/>
          <w:color w:val="auto"/>
        </w:rPr>
        <w:t>Notes in connection with the original issuance thereof and transfers and exchanges of Notes hereunder, including under Section 2.04, Section 2.05, Section 2.06, Section 2.07, Section 10.04 and Section 15.04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w:t>
      </w:r>
    </w:p>
    <w:p>
      <w:pPr>
        <w:spacing w:after="0" w:line="195"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the corporate trust business of any authenticating agent, shall be the successor of the authenticating agent hereunder, if such successor corporation or other entity is otherwise eligible under this Section 17.11, without the execution or filing of any paper or any further act on the part of the parties hereto or the authenticating agent or such successor corporation or other entity.</w:t>
      </w:r>
    </w:p>
    <w:p>
      <w:pPr>
        <w:spacing w:after="0" w:line="180"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mail notice of such appointment to all Holders as the names and addresses of such Holders appear on the Note Register.</w:t>
      </w:r>
    </w:p>
    <w:p>
      <w:pPr>
        <w:spacing w:after="0" w:line="150" w:lineRule="exact"/>
        <w:rPr>
          <w:sz w:val="20"/>
          <w:szCs w:val="20"/>
          <w:color w:val="auto"/>
        </w:rPr>
      </w:pPr>
    </w:p>
    <w:p>
      <w:pPr>
        <w:ind w:right="20" w:firstLine="648"/>
        <w:spacing w:after="0" w:line="287" w:lineRule="auto"/>
        <w:rPr>
          <w:sz w:val="20"/>
          <w:szCs w:val="20"/>
          <w:color w:val="auto"/>
        </w:rPr>
      </w:pPr>
      <w:r>
        <w:rPr>
          <w:rFonts w:ascii="Arial" w:cs="Arial" w:eastAsia="Arial" w:hAnsi="Arial"/>
          <w:sz w:val="21"/>
          <w:szCs w:val="21"/>
          <w:color w:val="auto"/>
        </w:rPr>
        <w:t>The Company agrees to pay to the authenticating agent from time to time reasonable compensation for its services although the Company may terminate the authenticating agent, if it determines such agent’s fees to be unreasonable.</w:t>
      </w:r>
    </w:p>
    <w:p>
      <w:pPr>
        <w:spacing w:after="0" w:line="152" w:lineRule="exact"/>
        <w:rPr>
          <w:sz w:val="20"/>
          <w:szCs w:val="20"/>
          <w:color w:val="auto"/>
        </w:rPr>
      </w:pPr>
    </w:p>
    <w:p>
      <w:pPr>
        <w:ind w:right="620" w:firstLine="648"/>
        <w:spacing w:after="0" w:line="263" w:lineRule="auto"/>
        <w:rPr>
          <w:sz w:val="20"/>
          <w:szCs w:val="20"/>
          <w:color w:val="auto"/>
        </w:rPr>
      </w:pPr>
      <w:r>
        <w:rPr>
          <w:rFonts w:ascii="Arial" w:cs="Arial" w:eastAsia="Arial" w:hAnsi="Arial"/>
          <w:sz w:val="22"/>
          <w:szCs w:val="22"/>
          <w:color w:val="auto"/>
        </w:rPr>
        <w:t>The provisions of Section 7.02, Section 7.03, Section 7.04, Section 7.06, Section 8.03 and this Section 17.11 shall be applicable to any authenticating agent.</w:t>
      </w:r>
    </w:p>
    <w:p>
      <w:pPr>
        <w:spacing w:after="0" w:line="175" w:lineRule="exact"/>
        <w:rPr>
          <w:sz w:val="20"/>
          <w:szCs w:val="20"/>
          <w:color w:val="auto"/>
        </w:rPr>
      </w:pPr>
    </w:p>
    <w:p>
      <w:pPr>
        <w:ind w:right="180" w:firstLine="648"/>
        <w:spacing w:after="0" w:line="287" w:lineRule="auto"/>
        <w:rPr>
          <w:sz w:val="20"/>
          <w:szCs w:val="20"/>
          <w:color w:val="auto"/>
        </w:rPr>
      </w:pPr>
      <w:r>
        <w:rPr>
          <w:rFonts w:ascii="Arial" w:cs="Arial" w:eastAsia="Arial" w:hAnsi="Arial"/>
          <w:sz w:val="21"/>
          <w:szCs w:val="21"/>
          <w:color w:val="auto"/>
        </w:rPr>
        <w:t>If an authenticating agent is appointed pursuant to this Section 17.11, the Notes may have endorsed thereon, in addition to the Trustee’s certificate of authentication, an alternative certificate of authentication in the following form:</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w:t>
      </w:r>
    </w:p>
    <w:p>
      <w:pPr>
        <w:spacing w:after="0" w:line="22" w:lineRule="exact"/>
        <w:rPr>
          <w:sz w:val="20"/>
          <w:szCs w:val="20"/>
          <w:color w:val="auto"/>
        </w:rPr>
      </w:pPr>
    </w:p>
    <w:p>
      <w:pPr>
        <w:ind w:right="5160"/>
        <w:spacing w:after="0" w:line="246" w:lineRule="auto"/>
        <w:rPr>
          <w:sz w:val="20"/>
          <w:szCs w:val="20"/>
          <w:color w:val="auto"/>
        </w:rPr>
      </w:pPr>
      <w:r>
        <w:rPr>
          <w:rFonts w:ascii="Arial" w:cs="Arial" w:eastAsia="Arial" w:hAnsi="Arial"/>
          <w:sz w:val="22"/>
          <w:szCs w:val="22"/>
          <w:color w:val="auto"/>
        </w:rPr>
        <w:t>as Authenticating Agent, certifies that this is one of the Notes described in the within-named Indenture.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Authorized Officer.</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380"/>
          </w:cols>
          <w:pgMar w:left="240" w:top="375" w:right="279" w:bottom="1440" w:gutter="0" w:footer="0" w:header="0"/>
        </w:sectPr>
      </w:pPr>
    </w:p>
    <w:bookmarkStart w:id="164" w:name="page165"/>
    <w:bookmarkEnd w:id="164"/>
    <w:p>
      <w:pPr>
        <w:ind w:right="120"/>
        <w:spacing w:after="0" w:line="297" w:lineRule="auto"/>
        <w:rPr>
          <w:sz w:val="20"/>
          <w:szCs w:val="20"/>
          <w:color w:val="auto"/>
        </w:rPr>
      </w:pPr>
      <w:r>
        <w:rPr>
          <w:rFonts w:ascii="Arial" w:cs="Arial" w:eastAsia="Arial" w:hAnsi="Arial"/>
          <w:sz w:val="19"/>
          <w:szCs w:val="19"/>
          <w:color w:val="auto"/>
        </w:rPr>
        <w:t>Section 17.12</w:t>
      </w:r>
      <w:r>
        <w:rPr>
          <w:rFonts w:ascii="Arial" w:cs="Arial" w:eastAsia="Arial" w:hAnsi="Arial"/>
          <w:sz w:val="19"/>
          <w:szCs w:val="19"/>
          <w:i w:val="1"/>
          <w:iCs w:val="1"/>
          <w:color w:val="auto"/>
        </w:rPr>
        <w:t>. Execution in Counterparts.</w:t>
      </w:r>
      <w:r>
        <w:rPr>
          <w:rFonts w:ascii="Arial" w:cs="Arial" w:eastAsia="Arial" w:hAnsi="Arial"/>
          <w:sz w:val="19"/>
          <w:szCs w:val="19"/>
          <w:color w:val="auto"/>
        </w:rPr>
        <w:t xml:space="preserve"> 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93" w:lineRule="exact"/>
        <w:rPr>
          <w:sz w:val="20"/>
          <w:szCs w:val="20"/>
          <w:color w:val="auto"/>
        </w:rPr>
      </w:pPr>
    </w:p>
    <w:p>
      <w:pPr>
        <w:ind w:right="300"/>
        <w:spacing w:after="0" w:line="253" w:lineRule="auto"/>
        <w:rPr>
          <w:sz w:val="20"/>
          <w:szCs w:val="20"/>
          <w:color w:val="auto"/>
        </w:rPr>
      </w:pPr>
      <w:r>
        <w:rPr>
          <w:rFonts w:ascii="Arial" w:cs="Arial" w:eastAsia="Arial" w:hAnsi="Arial"/>
          <w:sz w:val="22"/>
          <w:szCs w:val="22"/>
          <w:color w:val="auto"/>
        </w:rPr>
        <w:t>Section 17.13</w:t>
      </w:r>
      <w:r>
        <w:rPr>
          <w:rFonts w:ascii="Arial" w:cs="Arial" w:eastAsia="Arial" w:hAnsi="Arial"/>
          <w:sz w:val="22"/>
          <w:szCs w:val="22"/>
          <w:i w:val="1"/>
          <w:iCs w:val="1"/>
          <w:color w:val="auto"/>
        </w:rPr>
        <w:t>. Severability.</w:t>
      </w:r>
      <w:r>
        <w:rPr>
          <w:rFonts w:ascii="Arial" w:cs="Arial" w:eastAsia="Arial" w:hAnsi="Arial"/>
          <w:sz w:val="22"/>
          <w:szCs w:val="22"/>
          <w:color w:val="auto"/>
        </w:rPr>
        <w:t xml:space="preserve"> In the event any provision of this Indenture or in the Notes shall be invalid, illegal or unenforceable, then (to the extent permitted by law) the validity, legality or enforceability of the remaining provisions shall not in any way be affected or impaired.</w:t>
      </w:r>
    </w:p>
    <w:p>
      <w:pPr>
        <w:spacing w:after="0" w:line="132" w:lineRule="exact"/>
        <w:rPr>
          <w:sz w:val="20"/>
          <w:szCs w:val="20"/>
          <w:color w:val="auto"/>
        </w:rPr>
      </w:pPr>
    </w:p>
    <w:p>
      <w:pPr>
        <w:ind w:right="60"/>
        <w:spacing w:after="0" w:line="289" w:lineRule="auto"/>
        <w:rPr>
          <w:sz w:val="20"/>
          <w:szCs w:val="20"/>
          <w:color w:val="auto"/>
        </w:rPr>
      </w:pPr>
      <w:r>
        <w:rPr>
          <w:rFonts w:ascii="Arial" w:cs="Arial" w:eastAsia="Arial" w:hAnsi="Arial"/>
          <w:sz w:val="19"/>
          <w:szCs w:val="19"/>
          <w:color w:val="auto"/>
        </w:rPr>
        <w:t>Section 17.14</w:t>
      </w:r>
      <w:r>
        <w:rPr>
          <w:rFonts w:ascii="Arial" w:cs="Arial" w:eastAsia="Arial" w:hAnsi="Arial"/>
          <w:sz w:val="19"/>
          <w:szCs w:val="19"/>
          <w:i w:val="1"/>
          <w:iCs w:val="1"/>
          <w:color w:val="auto"/>
        </w:rPr>
        <w:t>. Waiver of Jury Trial; Submission of Jurisdiction.</w:t>
      </w:r>
      <w:r>
        <w:rPr>
          <w:rFonts w:ascii="Arial" w:cs="Arial" w:eastAsia="Arial" w:hAnsi="Arial"/>
          <w:sz w:val="19"/>
          <w:szCs w:val="19"/>
          <w:color w:val="auto"/>
        </w:rPr>
        <w:t xml:space="preserve"> EACH OF THE COMPANY AND THE TRUSTEE HEREBY IRREVOCABLY WAIVES, TO THE FULLEST EXTENT PERMITTED BY APPLICABLE LAW, ANY AND ALL RIGHT TO TRIAL BY JURY IN ANY LEGAL PROCEEDING ARISING OUT OF OR RELATING TO THIS INDENTURE, THE NOTES OR THE TRANSACTIONS CONTEMPLATED HEREBY. EACH OF THE COMPANY AND THE TRUSTEE HEREBY IRREVOCABLY SUBMITS TO THE JURISDICTION OF ANY NEW YORK STATE COURT SITTING IN THE BOROUGH OF MANHATTAN IN THE CITY OF NEW YORK OR ANY FEDERAL COURT SITTING IN THE BOROUGH OF MANHATTAN IN THE CITY OF NEW YORK IN RESPECT OF ANY SUIT, ACTION OR PROCEEDING ARISING OUT OF OR RELATING TO THIS INDENTURE AND THE NOTES, AND IRREVOCABLY ACCEPTS FOR ITSELF AND IN RESPECT OF ITS PROPERTY, GENERALLY AND UNCONDITIONALLY, JURISDICTION OF THE AFORESAID COURTS.</w:t>
      </w:r>
    </w:p>
    <w:p>
      <w:pPr>
        <w:spacing w:after="0" w:line="104"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Section 17.15</w:t>
      </w:r>
      <w:r>
        <w:rPr>
          <w:rFonts w:ascii="Arial" w:cs="Arial" w:eastAsia="Arial" w:hAnsi="Arial"/>
          <w:sz w:val="19"/>
          <w:szCs w:val="19"/>
          <w:i w:val="1"/>
          <w:iCs w:val="1"/>
          <w:color w:val="auto"/>
        </w:rPr>
        <w:t>. Force Majeure.</w:t>
      </w:r>
      <w:r>
        <w:rPr>
          <w:rFonts w:ascii="Arial" w:cs="Arial" w:eastAsia="Arial" w:hAnsi="Arial"/>
          <w:sz w:val="19"/>
          <w:szCs w:val="19"/>
          <w:color w:val="auto"/>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spacing w:after="0" w:line="96" w:lineRule="exact"/>
        <w:rPr>
          <w:sz w:val="20"/>
          <w:szCs w:val="20"/>
          <w:color w:val="auto"/>
        </w:rPr>
      </w:pPr>
    </w:p>
    <w:p>
      <w:pPr>
        <w:ind w:right="120"/>
        <w:spacing w:after="0" w:line="289" w:lineRule="auto"/>
        <w:rPr>
          <w:sz w:val="20"/>
          <w:szCs w:val="20"/>
          <w:color w:val="auto"/>
        </w:rPr>
      </w:pPr>
      <w:r>
        <w:rPr>
          <w:rFonts w:ascii="Arial" w:cs="Arial" w:eastAsia="Arial" w:hAnsi="Arial"/>
          <w:sz w:val="19"/>
          <w:szCs w:val="19"/>
          <w:color w:val="auto"/>
        </w:rPr>
        <w:t>Section 17.16</w:t>
      </w:r>
      <w:r>
        <w:rPr>
          <w:rFonts w:ascii="Arial" w:cs="Arial" w:eastAsia="Arial" w:hAnsi="Arial"/>
          <w:sz w:val="19"/>
          <w:szCs w:val="19"/>
          <w:i w:val="1"/>
          <w:iCs w:val="1"/>
          <w:color w:val="auto"/>
        </w:rPr>
        <w:t>. Calculations</w:t>
      </w:r>
      <w:r>
        <w:rPr>
          <w:rFonts w:ascii="Arial" w:cs="Arial" w:eastAsia="Arial" w:hAnsi="Arial"/>
          <w:sz w:val="19"/>
          <w:szCs w:val="19"/>
          <w:color w:val="auto"/>
        </w:rPr>
        <w:t>. Except as otherwise provided herein, the Company shall be responsible for making all calculations called for under the Notes or this Indenture. These calculations include, but are not limited to, determinations of the Stock Price or Trading Price, the Last Reported Sale Prices of the Common Stock, the Daily VWAPs, the Daily Conversion Values, the Daily Settlement Amounts, accrued interest payable on the Notes and the Conversion Rate of the Notes. The Company shall make all these calculations in good faith and, absent manifest error, such calculations shall be final and binding on Holders of Notes, the Trustee and the Conversion Agent. The Company shall provide a schedule of its calculations to each of the Trustee and the Conversion Agent (if other than the Trustee), and each of the Trustee and Conversion Agent is entitled to rely conclusively upon the accuracy of such calculations without independent verification. The Trustee will forward the Company’s calculations to any Holder of Notes upon the written request of that Holder at the sole cost and expense of the Company. In no</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400"/>
          </w:cols>
          <w:pgMar w:left="240" w:top="375" w:right="259" w:bottom="1440" w:gutter="0" w:footer="0" w:header="0"/>
        </w:sectPr>
      </w:pPr>
    </w:p>
    <w:bookmarkStart w:id="165" w:name="page166"/>
    <w:bookmarkEnd w:id="165"/>
    <w:p>
      <w:pPr>
        <w:ind w:right="80"/>
        <w:spacing w:after="0" w:line="302" w:lineRule="auto"/>
        <w:rPr>
          <w:sz w:val="20"/>
          <w:szCs w:val="20"/>
          <w:color w:val="auto"/>
        </w:rPr>
      </w:pPr>
      <w:r>
        <w:rPr>
          <w:rFonts w:ascii="Arial" w:cs="Arial" w:eastAsia="Arial" w:hAnsi="Arial"/>
          <w:sz w:val="19"/>
          <w:szCs w:val="19"/>
          <w:color w:val="auto"/>
        </w:rPr>
        <w:t>event shall the Trustee or the Conversion Agent be charged with knowledge of or have any duty to monitor Stock Price or Measurement Period. Neither the Trustee nor the Conversion Agent shall have any responsibility for calculations or determinations of amounts, determining whether events requiring or permitting conversion have occurred, determining whether any adjustment is required to be made with respect to conversion rights and, if so, how much, or for the delivery of shares of Common Stock.</w:t>
      </w:r>
    </w:p>
    <w:p>
      <w:pPr>
        <w:spacing w:after="0" w:line="89" w:lineRule="exact"/>
        <w:rPr>
          <w:sz w:val="20"/>
          <w:szCs w:val="20"/>
          <w:color w:val="auto"/>
        </w:rPr>
      </w:pPr>
    </w:p>
    <w:p>
      <w:pPr>
        <w:ind w:right="20"/>
        <w:spacing w:after="0" w:line="248" w:lineRule="auto"/>
        <w:rPr>
          <w:sz w:val="20"/>
          <w:szCs w:val="20"/>
          <w:color w:val="auto"/>
        </w:rPr>
      </w:pPr>
      <w:r>
        <w:rPr>
          <w:rFonts w:ascii="Arial" w:cs="Arial" w:eastAsia="Arial" w:hAnsi="Arial"/>
          <w:sz w:val="22"/>
          <w:szCs w:val="22"/>
          <w:color w:val="auto"/>
        </w:rPr>
        <w:t xml:space="preserve">Section 17.17. </w:t>
      </w:r>
      <w:r>
        <w:rPr>
          <w:rFonts w:ascii="Arial" w:cs="Arial" w:eastAsia="Arial" w:hAnsi="Arial"/>
          <w:sz w:val="22"/>
          <w:szCs w:val="22"/>
          <w:i w:val="1"/>
          <w:iCs w:val="1"/>
          <w:color w:val="auto"/>
        </w:rPr>
        <w:t>U.S.A. Patriot Act.</w:t>
      </w:r>
      <w:r>
        <w:rPr>
          <w:rFonts w:ascii="Arial" w:cs="Arial" w:eastAsia="Arial" w:hAnsi="Arial"/>
          <w:sz w:val="22"/>
          <w:szCs w:val="22"/>
          <w:color w:val="auto"/>
        </w:rPr>
        <w:t xml:space="preserve">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is required to satisfy the requirements of the U.S.A. Patriot Act.</w:t>
      </w:r>
    </w:p>
    <w:p>
      <w:pPr>
        <w:spacing w:after="0" w:line="138" w:lineRule="exact"/>
        <w:rPr>
          <w:sz w:val="20"/>
          <w:szCs w:val="20"/>
          <w:color w:val="auto"/>
        </w:rPr>
      </w:pPr>
    </w:p>
    <w:p>
      <w:pPr>
        <w:spacing w:after="0" w:line="290" w:lineRule="auto"/>
        <w:rPr>
          <w:sz w:val="20"/>
          <w:szCs w:val="20"/>
          <w:color w:val="auto"/>
        </w:rPr>
      </w:pPr>
      <w:r>
        <w:rPr>
          <w:rFonts w:ascii="Arial" w:cs="Arial" w:eastAsia="Arial" w:hAnsi="Arial"/>
          <w:sz w:val="19"/>
          <w:szCs w:val="19"/>
          <w:color w:val="auto"/>
        </w:rPr>
        <w:t xml:space="preserve">Section 17.18. </w:t>
      </w:r>
      <w:r>
        <w:rPr>
          <w:rFonts w:ascii="Arial" w:cs="Arial" w:eastAsia="Arial" w:hAnsi="Arial"/>
          <w:sz w:val="19"/>
          <w:szCs w:val="19"/>
          <w:i w:val="1"/>
          <w:iCs w:val="1"/>
          <w:color w:val="auto"/>
        </w:rPr>
        <w:t>FATCA.</w:t>
      </w:r>
      <w:r>
        <w:rPr>
          <w:rFonts w:ascii="Arial" w:cs="Arial" w:eastAsia="Arial" w:hAnsi="Arial"/>
          <w:sz w:val="19"/>
          <w:szCs w:val="19"/>
          <w:color w:val="auto"/>
        </w:rPr>
        <w:t xml:space="preserve"> In order to enable the Company and the Trustee to comply with its obligation with respect to this Indenture and the Notes under Section 1471 through 1474 of the Code and any Treasury regulations thereunder (“FATCA”) (inclusive of official interpretations of FATCA promulgated by competent authorities), any applicable agreement entered into pursuant to Section 1471(b) of the Code and/or any applicable intergovernmental agreement entered into in order to implement FATCA, each of the Company and the Trstuee each agree (i) to provide to one another such reasonable information that is within its possession and is reasonably requested by the other to assist the other in determining whether it has tax related obligations under FATCA, and (ii) that the Trustee shall be entitled to make any withholding or deduction from payments under the Agreement to the extent necessary to comply with FATCA. The terms of this section shall survive the termination of this Indenture.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420"/>
          </w:cols>
          <w:pgMar w:left="240" w:top="375" w:right="239" w:bottom="1440" w:gutter="0" w:footer="0" w:header="0"/>
        </w:sectPr>
      </w:pPr>
    </w:p>
    <w:bookmarkStart w:id="166" w:name="page167"/>
    <w:bookmarkEnd w:id="166"/>
    <w:p>
      <w:pPr>
        <w:ind w:left="660"/>
        <w:spacing w:after="0"/>
        <w:rPr>
          <w:sz w:val="20"/>
          <w:szCs w:val="20"/>
          <w:color w:val="auto"/>
        </w:rPr>
      </w:pPr>
      <w:r>
        <w:rPr>
          <w:rFonts w:ascii="Arial" w:cs="Arial" w:eastAsia="Arial" w:hAnsi="Arial"/>
          <w:sz w:val="19"/>
          <w:szCs w:val="19"/>
          <w:color w:val="auto"/>
        </w:rPr>
        <w:t>IN WITNESS WHEREOF, the parties hereto have caused this Indenture to be duly executed as of the date first written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344" w:lineRule="exact"/>
        <w:rPr>
          <w:sz w:val="20"/>
          <w:szCs w:val="20"/>
          <w:color w:val="auto"/>
        </w:rPr>
      </w:pPr>
    </w:p>
    <w:p>
      <w:pPr>
        <w:ind w:left="7500"/>
        <w:spacing w:after="0"/>
        <w:rPr>
          <w:sz w:val="20"/>
          <w:szCs w:val="20"/>
          <w:color w:val="auto"/>
        </w:rPr>
      </w:pPr>
      <w:r>
        <w:rPr>
          <w:rFonts w:ascii="Arial" w:cs="Arial" w:eastAsia="Arial" w:hAnsi="Arial"/>
          <w:sz w:val="22"/>
          <w:szCs w:val="22"/>
          <w:b w:val="1"/>
          <w:bCs w:val="1"/>
          <w:color w:val="auto"/>
        </w:rPr>
        <w:t>ISSUER:</w:t>
      </w:r>
    </w:p>
    <w:p>
      <w:pPr>
        <w:spacing w:after="0" w:line="212" w:lineRule="exact"/>
        <w:rPr>
          <w:sz w:val="20"/>
          <w:szCs w:val="20"/>
          <w:color w:val="auto"/>
        </w:rPr>
      </w:pPr>
    </w:p>
    <w:p>
      <w:pPr>
        <w:jc w:val="right"/>
        <w:ind w:right="120"/>
        <w:spacing w:after="0"/>
        <w:rPr>
          <w:sz w:val="20"/>
          <w:szCs w:val="20"/>
          <w:color w:val="auto"/>
        </w:rPr>
      </w:pPr>
      <w:r>
        <w:rPr>
          <w:rFonts w:ascii="Arial" w:cs="Arial" w:eastAsia="Arial" w:hAnsi="Arial"/>
          <w:sz w:val="22"/>
          <w:szCs w:val="22"/>
          <w:color w:val="auto"/>
        </w:rPr>
        <w:t>MARRIOTT VACATIONS WORLDWIDE</w:t>
      </w:r>
    </w:p>
    <w:p>
      <w:pPr>
        <w:spacing w:after="0" w:line="8" w:lineRule="exact"/>
        <w:rPr>
          <w:sz w:val="20"/>
          <w:szCs w:val="20"/>
          <w:color w:val="auto"/>
        </w:rPr>
      </w:pPr>
    </w:p>
    <w:p>
      <w:pPr>
        <w:ind w:left="7820"/>
        <w:spacing w:after="0"/>
        <w:rPr>
          <w:sz w:val="20"/>
          <w:szCs w:val="20"/>
          <w:color w:val="auto"/>
        </w:rPr>
      </w:pPr>
      <w:r>
        <w:rPr>
          <w:rFonts w:ascii="Arial" w:cs="Arial" w:eastAsia="Arial" w:hAnsi="Arial"/>
          <w:sz w:val="22"/>
          <w:szCs w:val="22"/>
          <w:color w:val="auto"/>
        </w:rPr>
        <w:t>CORPORATION</w:t>
      </w:r>
    </w:p>
    <w:p>
      <w:pPr>
        <w:spacing w:after="0" w:line="200" w:lineRule="exact"/>
        <w:rPr>
          <w:sz w:val="20"/>
          <w:szCs w:val="20"/>
          <w:color w:val="auto"/>
        </w:rPr>
      </w:pPr>
    </w:p>
    <w:p>
      <w:pPr>
        <w:spacing w:after="0" w:line="258" w:lineRule="exact"/>
        <w:rPr>
          <w:sz w:val="20"/>
          <w:szCs w:val="20"/>
          <w:color w:val="auto"/>
        </w:rPr>
      </w:pPr>
    </w:p>
    <w:tbl>
      <w:tblPr>
        <w:tblLayout w:type="fixed"/>
        <w:tblInd w:w="7500" w:type="dxa"/>
        <w:tblCellMar>
          <w:top w:w="0" w:type="dxa"/>
          <w:left w:w="0" w:type="dxa"/>
          <w:bottom w:w="0" w:type="dxa"/>
          <w:right w:w="0" w:type="dxa"/>
        </w:tblCellMar>
      </w:tblPr>
      <w:tr>
        <w:trPr>
          <w:trHeight w:val="285"/>
        </w:trPr>
        <w:tc>
          <w:tcPr>
            <w:tcW w:w="400" w:type="dxa"/>
            <w:vAlign w:val="bottom"/>
          </w:tcPr>
          <w:p>
            <w:pPr>
              <w:spacing w:after="0"/>
              <w:rPr>
                <w:sz w:val="20"/>
                <w:szCs w:val="20"/>
                <w:color w:val="auto"/>
              </w:rPr>
            </w:pPr>
            <w:r>
              <w:rPr>
                <w:rFonts w:ascii="Arial" w:cs="Arial" w:eastAsia="Arial" w:hAnsi="Arial"/>
                <w:sz w:val="22"/>
                <w:szCs w:val="22"/>
                <w:color w:val="auto"/>
              </w:rPr>
              <w:t>By:</w:t>
            </w:r>
          </w:p>
        </w:tc>
        <w:tc>
          <w:tcPr>
            <w:tcW w:w="220" w:type="dxa"/>
            <w:vAlign w:val="bottom"/>
          </w:tcPr>
          <w:p>
            <w:pPr>
              <w:spacing w:after="0"/>
              <w:rPr>
                <w:sz w:val="24"/>
                <w:szCs w:val="24"/>
                <w:color w:val="auto"/>
              </w:rPr>
            </w:pPr>
          </w:p>
        </w:tc>
        <w:tc>
          <w:tcPr>
            <w:tcW w:w="33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John E. Geller, Jr.</w:t>
            </w:r>
          </w:p>
        </w:tc>
      </w:tr>
      <w:tr>
        <w:trPr>
          <w:trHeight w:val="275"/>
        </w:trPr>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300" w:type="dxa"/>
            <w:vAlign w:val="bottom"/>
          </w:tcPr>
          <w:p>
            <w:pPr>
              <w:spacing w:after="0"/>
              <w:rPr>
                <w:sz w:val="20"/>
                <w:szCs w:val="20"/>
                <w:color w:val="auto"/>
              </w:rPr>
            </w:pPr>
            <w:r>
              <w:rPr>
                <w:rFonts w:ascii="Arial" w:cs="Arial" w:eastAsia="Arial" w:hAnsi="Arial"/>
                <w:sz w:val="22"/>
                <w:szCs w:val="22"/>
                <w:color w:val="auto"/>
              </w:rPr>
              <w:t>Name: John E. Geller, Jr.</w:t>
            </w:r>
          </w:p>
        </w:tc>
      </w:tr>
      <w:tr>
        <w:trPr>
          <w:trHeight w:val="289"/>
        </w:trPr>
        <w:tc>
          <w:tcPr>
            <w:tcW w:w="400" w:type="dxa"/>
            <w:vAlign w:val="bottom"/>
          </w:tcPr>
          <w:p>
            <w:pPr>
              <w:spacing w:after="0"/>
              <w:rPr>
                <w:sz w:val="24"/>
                <w:szCs w:val="24"/>
                <w:color w:val="auto"/>
              </w:rPr>
            </w:pPr>
          </w:p>
        </w:tc>
        <w:tc>
          <w:tcPr>
            <w:tcW w:w="3520" w:type="dxa"/>
            <w:vAlign w:val="bottom"/>
            <w:gridSpan w:val="2"/>
          </w:tcPr>
          <w:p>
            <w:pPr>
              <w:ind w:left="80"/>
              <w:spacing w:after="0"/>
              <w:rPr>
                <w:sz w:val="20"/>
                <w:szCs w:val="20"/>
                <w:color w:val="auto"/>
              </w:rPr>
            </w:pPr>
            <w:r>
              <w:rPr>
                <w:rFonts w:ascii="Arial" w:cs="Arial" w:eastAsia="Arial" w:hAnsi="Arial"/>
                <w:sz w:val="22"/>
                <w:szCs w:val="22"/>
                <w:color w:val="auto"/>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Indenture]</w:t>
      </w:r>
    </w:p>
    <w:p>
      <w:pPr>
        <w:sectPr>
          <w:pgSz w:w="11900" w:h="16838" w:orient="portrait"/>
          <w:cols w:equalWidth="0" w:num="1">
            <w:col w:w="11420"/>
          </w:cols>
          <w:pgMar w:left="240" w:top="375" w:right="239" w:bottom="1440" w:gutter="0" w:footer="0" w:header="0"/>
        </w:sectPr>
      </w:pPr>
    </w:p>
    <w:bookmarkStart w:id="167" w:name="page168"/>
    <w:bookmarkEnd w:id="167"/>
    <w:p>
      <w:pPr>
        <w:spacing w:after="0" w:line="232"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THE BANK OF NEW YORK</w:t>
      </w:r>
    </w:p>
    <w:p>
      <w:pPr>
        <w:spacing w:after="0" w:line="8" w:lineRule="exact"/>
        <w:rPr>
          <w:sz w:val="20"/>
          <w:szCs w:val="20"/>
          <w:color w:val="auto"/>
        </w:rPr>
      </w:pPr>
    </w:p>
    <w:p>
      <w:pPr>
        <w:ind w:left="6780"/>
        <w:spacing w:after="0"/>
        <w:rPr>
          <w:sz w:val="20"/>
          <w:szCs w:val="20"/>
          <w:color w:val="auto"/>
        </w:rPr>
      </w:pPr>
      <w:r>
        <w:rPr>
          <w:rFonts w:ascii="Arial" w:cs="Arial" w:eastAsia="Arial" w:hAnsi="Arial"/>
          <w:sz w:val="19"/>
          <w:szCs w:val="19"/>
          <w:color w:val="auto"/>
        </w:rPr>
        <w:t>MELLON TRUST COMPANY, N.A.,</w:t>
      </w:r>
    </w:p>
    <w:p>
      <w:pPr>
        <w:spacing w:after="0" w:line="25"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58" w:lineRule="exact"/>
        <w:rPr>
          <w:sz w:val="20"/>
          <w:szCs w:val="20"/>
          <w:color w:val="auto"/>
        </w:rPr>
      </w:pPr>
    </w:p>
    <w:p>
      <w:pPr>
        <w:ind w:left="6780"/>
        <w:spacing w:after="0"/>
        <w:tabs>
          <w:tab w:leader="none" w:pos="7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Julie H. Ramos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4620260</wp:posOffset>
            </wp:positionH>
            <wp:positionV relativeFrom="paragraph">
              <wp:posOffset>24765</wp:posOffset>
            </wp:positionV>
            <wp:extent cx="18694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4" w:lineRule="exact"/>
        <w:rPr>
          <w:sz w:val="20"/>
          <w:szCs w:val="20"/>
          <w:color w:val="auto"/>
        </w:rPr>
      </w:pPr>
    </w:p>
    <w:p>
      <w:pPr>
        <w:ind w:left="7260"/>
        <w:spacing w:after="0"/>
        <w:rPr>
          <w:sz w:val="20"/>
          <w:szCs w:val="20"/>
          <w:color w:val="auto"/>
        </w:rPr>
      </w:pPr>
      <w:r>
        <w:rPr>
          <w:rFonts w:ascii="Arial" w:cs="Arial" w:eastAsia="Arial" w:hAnsi="Arial"/>
          <w:sz w:val="21"/>
          <w:szCs w:val="21"/>
          <w:color w:val="auto"/>
        </w:rPr>
        <w:t>Name: Julie Hoffman-Ramos</w:t>
      </w:r>
    </w:p>
    <w:p>
      <w:pPr>
        <w:spacing w:after="0" w:line="56" w:lineRule="exact"/>
        <w:rPr>
          <w:sz w:val="20"/>
          <w:szCs w:val="20"/>
          <w:color w:val="auto"/>
        </w:rPr>
      </w:pPr>
    </w:p>
    <w:p>
      <w:pPr>
        <w:ind w:left="726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[Signature Page to Indenture]</w:t>
      </w:r>
    </w:p>
    <w:p>
      <w:pPr>
        <w:sectPr>
          <w:pgSz w:w="11900" w:h="16838" w:orient="portrait"/>
          <w:cols w:equalWidth="0" w:num="1">
            <w:col w:w="10080"/>
          </w:cols>
          <w:pgMar w:left="1440" w:top="1440" w:right="379" w:bottom="1440" w:gutter="0" w:footer="0" w:header="0"/>
        </w:sectPr>
      </w:pPr>
    </w:p>
    <w:bookmarkStart w:id="168" w:name="page169"/>
    <w:bookmarkEnd w:id="168"/>
    <w:p>
      <w:pPr>
        <w:jc w:val="right"/>
        <w:spacing w:after="0"/>
        <w:rPr>
          <w:sz w:val="20"/>
          <w:szCs w:val="20"/>
          <w:color w:val="auto"/>
        </w:rPr>
      </w:pPr>
      <w:r>
        <w:rPr>
          <w:rFonts w:ascii="Arial" w:cs="Arial" w:eastAsia="Arial" w:hAnsi="Arial"/>
          <w:sz w:val="22"/>
          <w:szCs w:val="22"/>
          <w:b w:val="1"/>
          <w:bCs w:val="1"/>
          <w:color w:val="auto"/>
        </w:rPr>
        <w:t>EXHIBIT 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FACE OF NOTE]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[INCLUDE FOLLOWING LEGEND IF A GLOBAL NOTE]</w:t>
      </w:r>
    </w:p>
    <w:p>
      <w:pPr>
        <w:spacing w:after="0" w:line="16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41"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[INCLUDE FOLLOWING LEGEND IF A RESTRICTED SECURITY:</w:t>
      </w:r>
    </w:p>
    <w:p>
      <w:pPr>
        <w:spacing w:after="0" w:line="1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138" w:lineRule="exact"/>
        <w:rPr>
          <w:sz w:val="20"/>
          <w:szCs w:val="20"/>
          <w:color w:val="auto"/>
        </w:rPr>
      </w:pPr>
    </w:p>
    <w:p>
      <w:pPr>
        <w:ind w:left="1060" w:right="100" w:firstLine="650"/>
        <w:spacing w:after="0" w:line="312" w:lineRule="auto"/>
        <w:tabs>
          <w:tab w:leader="none" w:pos="2176" w:val="left"/>
        </w:tabs>
        <w:numPr>
          <w:ilvl w:val="0"/>
          <w:numId w:val="154"/>
        </w:numPr>
        <w:rPr>
          <w:rFonts w:ascii="Arial" w:cs="Arial" w:eastAsia="Arial" w:hAnsi="Arial"/>
          <w:sz w:val="19"/>
          <w:szCs w:val="19"/>
          <w:color w:val="auto"/>
        </w:rPr>
      </w:pPr>
      <w:r>
        <w:rPr>
          <w:rFonts w:ascii="Arial" w:cs="Arial" w:eastAsia="Arial" w:hAnsi="Arial"/>
          <w:sz w:val="19"/>
          <w:szCs w:val="19"/>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79" w:lineRule="exact"/>
        <w:rPr>
          <w:rFonts w:ascii="Arial" w:cs="Arial" w:eastAsia="Arial" w:hAnsi="Arial"/>
          <w:sz w:val="19"/>
          <w:szCs w:val="19"/>
          <w:color w:val="auto"/>
        </w:rPr>
      </w:pPr>
    </w:p>
    <w:p>
      <w:pPr>
        <w:ind w:left="1060" w:right="240" w:firstLine="650"/>
        <w:spacing w:after="0" w:line="294" w:lineRule="auto"/>
        <w:tabs>
          <w:tab w:leader="none" w:pos="2164" w:val="left"/>
        </w:tabs>
        <w:numPr>
          <w:ilvl w:val="0"/>
          <w:numId w:val="154"/>
        </w:numPr>
        <w:rPr>
          <w:rFonts w:ascii="Arial" w:cs="Arial" w:eastAsia="Arial" w:hAnsi="Arial"/>
          <w:sz w:val="19"/>
          <w:szCs w:val="19"/>
          <w:color w:val="auto"/>
        </w:rPr>
      </w:pPr>
      <w:r>
        <w:rPr>
          <w:rFonts w:ascii="Arial" w:cs="Arial" w:eastAsia="Arial" w:hAnsi="Arial"/>
          <w:sz w:val="19"/>
          <w:szCs w:val="19"/>
          <w:color w:val="auto"/>
        </w:rPr>
        <w:t>AGREES FOR THE BENEFIT OF MARRIOTT VACATIONS WORLDWIDE CORPORATION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96" w:lineRule="exact"/>
        <w:rPr>
          <w:sz w:val="20"/>
          <w:szCs w:val="20"/>
          <w:color w:val="auto"/>
        </w:rPr>
      </w:pPr>
    </w:p>
    <w:p>
      <w:pPr>
        <w:ind w:left="2220" w:hanging="510"/>
        <w:spacing w:after="0"/>
        <w:tabs>
          <w:tab w:leader="none" w:pos="222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TO THE COMPANY OR ANY SUBSIDIARY THEREOF;</w:t>
      </w:r>
    </w:p>
    <w:p>
      <w:pPr>
        <w:spacing w:after="0" w:line="165" w:lineRule="exact"/>
        <w:rPr>
          <w:rFonts w:ascii="Arial" w:cs="Arial" w:eastAsia="Arial" w:hAnsi="Arial"/>
          <w:sz w:val="22"/>
          <w:szCs w:val="22"/>
          <w:color w:val="auto"/>
        </w:rPr>
      </w:pPr>
    </w:p>
    <w:p>
      <w:pPr>
        <w:ind w:left="1060" w:right="740" w:firstLine="650"/>
        <w:spacing w:after="0" w:line="263" w:lineRule="auto"/>
        <w:tabs>
          <w:tab w:leader="none" w:pos="2212" w:val="left"/>
        </w:tabs>
        <w:numPr>
          <w:ilvl w:val="0"/>
          <w:numId w:val="155"/>
        </w:numPr>
        <w:rPr>
          <w:rFonts w:ascii="Arial" w:cs="Arial" w:eastAsia="Arial" w:hAnsi="Arial"/>
          <w:sz w:val="22"/>
          <w:szCs w:val="22"/>
          <w:color w:val="auto"/>
        </w:rPr>
      </w:pPr>
      <w:r>
        <w:rPr>
          <w:rFonts w:ascii="Arial" w:cs="Arial" w:eastAsia="Arial" w:hAnsi="Arial"/>
          <w:sz w:val="22"/>
          <w:szCs w:val="22"/>
          <w:color w:val="auto"/>
        </w:rPr>
        <w:t>PURSUANT TO AN EFFECTIVE REGISTRATION STATEMENT OF THE COMPANY THAT COVERS THE RESALE OF THIS SECURITY OR SUCH COMMON STOCK;</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A-1</w:t>
      </w:r>
    </w:p>
    <w:p>
      <w:pPr>
        <w:sectPr>
          <w:pgSz w:w="11900" w:h="16838" w:orient="portrait"/>
          <w:cols w:equalWidth="0" w:num="1">
            <w:col w:w="11420"/>
          </w:cols>
          <w:pgMar w:left="240" w:top="369" w:right="239" w:bottom="1440" w:gutter="0" w:footer="0" w:header="0"/>
        </w:sectPr>
      </w:pPr>
    </w:p>
    <w:bookmarkStart w:id="169" w:name="page170"/>
    <w:bookmarkEnd w:id="169"/>
    <w:p>
      <w:pPr>
        <w:ind w:left="1060" w:right="240" w:firstLine="650"/>
        <w:spacing w:after="0" w:line="263" w:lineRule="auto"/>
        <w:tabs>
          <w:tab w:leader="none" w:pos="2209"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TO A QUALIFIED INSTITUTIONAL BUYER IN COMPLIANCE WITH RULE 144A UNDER THE SECURITIES ACT; OR</w:t>
      </w:r>
    </w:p>
    <w:p>
      <w:pPr>
        <w:spacing w:after="0" w:line="120" w:lineRule="exact"/>
        <w:rPr>
          <w:rFonts w:ascii="Arial" w:cs="Arial" w:eastAsia="Arial" w:hAnsi="Arial"/>
          <w:sz w:val="22"/>
          <w:szCs w:val="22"/>
          <w:color w:val="auto"/>
        </w:rPr>
      </w:pPr>
    </w:p>
    <w:p>
      <w:pPr>
        <w:ind w:left="1060" w:firstLine="650"/>
        <w:spacing w:after="0" w:line="253" w:lineRule="auto"/>
        <w:tabs>
          <w:tab w:leader="none" w:pos="2224" w:val="left"/>
        </w:tabs>
        <w:numPr>
          <w:ilvl w:val="0"/>
          <w:numId w:val="156"/>
        </w:numPr>
        <w:rPr>
          <w:rFonts w:ascii="Arial" w:cs="Arial" w:eastAsia="Arial" w:hAnsi="Arial"/>
          <w:sz w:val="22"/>
          <w:szCs w:val="22"/>
          <w:color w:val="auto"/>
        </w:rPr>
      </w:pPr>
      <w:r>
        <w:rPr>
          <w:rFonts w:ascii="Arial" w:cs="Arial" w:eastAsia="Arial" w:hAnsi="Arial"/>
          <w:sz w:val="22"/>
          <w:szCs w:val="22"/>
          <w:color w:val="auto"/>
        </w:rPr>
        <w:t>PURSUANT TO AN EXEMPTION FROM REGISTRATION PROVIDED BY RULE 144 UNDER THE SECURITIES ACT OR ANY OTHER AVAILABLE EXEMPTION FROM THE REGISTRATION REQUIREMENTS OF THE SECURITIES ACT.</w:t>
      </w:r>
    </w:p>
    <w:p>
      <w:pPr>
        <w:spacing w:after="0" w:line="13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PRIOR TO THE REGISTRATION OF ANY TRANSFER IN ACCORDANCE WITH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A-2</w:t>
      </w:r>
    </w:p>
    <w:p>
      <w:pPr>
        <w:sectPr>
          <w:pgSz w:w="11900" w:h="16838" w:orient="portrait"/>
          <w:cols w:equalWidth="0" w:num="1">
            <w:col w:w="11420"/>
          </w:cols>
          <w:pgMar w:left="240" w:top="375" w:right="239" w:bottom="1440" w:gutter="0" w:footer="0" w:header="0"/>
        </w:sectPr>
      </w:pPr>
    </w:p>
    <w:bookmarkStart w:id="170" w:name="page171"/>
    <w:bookmarkEnd w:id="170"/>
    <w:p>
      <w:pPr>
        <w:jc w:val="center"/>
        <w:ind w:right="20"/>
        <w:spacing w:after="0"/>
        <w:rPr>
          <w:sz w:val="20"/>
          <w:szCs w:val="20"/>
          <w:color w:val="auto"/>
        </w:rPr>
      </w:pPr>
      <w:r>
        <w:rPr>
          <w:rFonts w:ascii="Arial" w:cs="Arial" w:eastAsia="Arial" w:hAnsi="Arial"/>
          <w:sz w:val="22"/>
          <w:szCs w:val="22"/>
          <w:color w:val="auto"/>
        </w:rPr>
        <w:t>MARRIOTT VACATIONS WORLDWIDE CORPORATION</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1.50% Convertible Senior Note due 2022</w:t>
      </w:r>
    </w:p>
    <w:p>
      <w:pPr>
        <w:spacing w:after="0" w:line="205"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No. [ ]</w:t>
      </w:r>
      <w:r>
        <w:rPr>
          <w:sz w:val="20"/>
          <w:szCs w:val="20"/>
          <w:color w:val="auto"/>
        </w:rPr>
        <w:tab/>
      </w:r>
      <w:r>
        <w:rPr>
          <w:rFonts w:ascii="Arial" w:cs="Arial" w:eastAsia="Arial" w:hAnsi="Arial"/>
          <w:sz w:val="21"/>
          <w:szCs w:val="21"/>
          <w:color w:val="auto"/>
        </w:rPr>
        <w:t>[Initially]</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 ]</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CUSIP No. [ ]</w:t>
      </w:r>
      <w:r>
        <w:rPr>
          <w:rFonts w:ascii="Arial" w:cs="Arial" w:eastAsia="Arial" w:hAnsi="Arial"/>
          <w:sz w:val="28"/>
          <w:szCs w:val="28"/>
          <w:color w:val="auto"/>
          <w:vertAlign w:val="superscript"/>
        </w:rPr>
        <w:t>2</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ISIN No.: [ ]</w:t>
      </w:r>
    </w:p>
    <w:p>
      <w:pPr>
        <w:spacing w:after="0" w:line="220" w:lineRule="exact"/>
        <w:rPr>
          <w:sz w:val="20"/>
          <w:szCs w:val="20"/>
          <w:color w:val="auto"/>
        </w:rPr>
      </w:pPr>
    </w:p>
    <w:p>
      <w:pPr>
        <w:ind w:right="80" w:firstLine="648"/>
        <w:spacing w:after="0" w:line="243" w:lineRule="auto"/>
        <w:rPr>
          <w:sz w:val="20"/>
          <w:szCs w:val="20"/>
          <w:color w:val="auto"/>
        </w:rPr>
      </w:pPr>
      <w:r>
        <w:rPr>
          <w:rFonts w:ascii="Arial" w:cs="Arial" w:eastAsia="Arial" w:hAnsi="Arial"/>
          <w:sz w:val="20"/>
          <w:szCs w:val="20"/>
          <w:color w:val="auto"/>
        </w:rPr>
        <w:t>Marriott Vacations Worldwide Corporation, a corporation duly organized and validly existing under the laws of the State of Delaware (the “</w:t>
      </w:r>
      <w:r>
        <w:rPr>
          <w:rFonts w:ascii="Arial" w:cs="Arial" w:eastAsia="Arial" w:hAnsi="Arial"/>
          <w:sz w:val="20"/>
          <w:szCs w:val="20"/>
          <w:b w:val="1"/>
          <w:bCs w:val="1"/>
          <w:color w:val="auto"/>
        </w:rPr>
        <w:t>Company</w:t>
      </w:r>
      <w:r>
        <w:rPr>
          <w:rFonts w:ascii="Arial" w:cs="Arial" w:eastAsia="Arial" w:hAnsi="Arial"/>
          <w:sz w:val="20"/>
          <w:szCs w:val="20"/>
          <w:color w:val="auto"/>
        </w:rPr>
        <w:t>,” which term includes any successor corporation or other entity under the Indenture referred to on the reverse hereof), for value received hereby promises to pay to [CEDE &amp; CO.]</w:t>
      </w:r>
      <w:r>
        <w:rPr>
          <w:rFonts w:ascii="Arial" w:cs="Arial" w:eastAsia="Arial" w:hAnsi="Arial"/>
          <w:sz w:val="26"/>
          <w:szCs w:val="26"/>
          <w:color w:val="auto"/>
          <w:vertAlign w:val="superscript"/>
        </w:rPr>
        <w:t>3</w:t>
      </w:r>
      <w:r>
        <w:rPr>
          <w:rFonts w:ascii="Arial" w:cs="Arial" w:eastAsia="Arial" w:hAnsi="Arial"/>
          <w:sz w:val="20"/>
          <w:szCs w:val="20"/>
          <w:color w:val="auto"/>
        </w:rPr>
        <w:t xml:space="preserve"> [ ]</w:t>
      </w:r>
      <w:r>
        <w:rPr>
          <w:rFonts w:ascii="Arial" w:cs="Arial" w:eastAsia="Arial" w:hAnsi="Arial"/>
          <w:sz w:val="26"/>
          <w:szCs w:val="26"/>
          <w:color w:val="auto"/>
          <w:vertAlign w:val="superscript"/>
        </w:rPr>
        <w:t>4</w:t>
      </w:r>
      <w:r>
        <w:rPr>
          <w:rFonts w:ascii="Arial" w:cs="Arial" w:eastAsia="Arial" w:hAnsi="Arial"/>
          <w:sz w:val="20"/>
          <w:szCs w:val="20"/>
          <w:color w:val="auto"/>
        </w:rPr>
        <w:t>, or registered assigns, the principal amount [as set forth in the “Schedule of Conversions of Notes” attached hereto]</w:t>
      </w:r>
      <w:r>
        <w:rPr>
          <w:rFonts w:ascii="Arial" w:cs="Arial" w:eastAsia="Arial" w:hAnsi="Arial"/>
          <w:sz w:val="26"/>
          <w:szCs w:val="26"/>
          <w:color w:val="auto"/>
          <w:vertAlign w:val="superscript"/>
        </w:rPr>
        <w:t>5</w:t>
      </w:r>
      <w:r>
        <w:rPr>
          <w:rFonts w:ascii="Arial" w:cs="Arial" w:eastAsia="Arial" w:hAnsi="Arial"/>
          <w:sz w:val="20"/>
          <w:szCs w:val="20"/>
          <w:color w:val="auto"/>
        </w:rPr>
        <w:t xml:space="preserve"> [of $[ ]]</w:t>
      </w:r>
      <w:r>
        <w:rPr>
          <w:rFonts w:ascii="Arial" w:cs="Arial" w:eastAsia="Arial" w:hAnsi="Arial"/>
          <w:sz w:val="26"/>
          <w:szCs w:val="26"/>
          <w:color w:val="auto"/>
          <w:vertAlign w:val="superscript"/>
        </w:rPr>
        <w:t>6</w:t>
      </w:r>
      <w:r>
        <w:rPr>
          <w:rFonts w:ascii="Arial" w:cs="Arial" w:eastAsia="Arial" w:hAnsi="Arial"/>
          <w:sz w:val="20"/>
          <w:szCs w:val="20"/>
          <w:color w:val="auto"/>
        </w:rPr>
        <w:t xml:space="preserve"> or such other amount as reflected on the books and records of the Trustee and the Depositary, on September 15, 2022 and interest thereon as set forth below.</w:t>
      </w:r>
    </w:p>
    <w:p>
      <w:pPr>
        <w:spacing w:after="0" w:line="141" w:lineRule="exact"/>
        <w:rPr>
          <w:sz w:val="20"/>
          <w:szCs w:val="20"/>
          <w:color w:val="auto"/>
        </w:rPr>
      </w:pPr>
    </w:p>
    <w:p>
      <w:pPr>
        <w:ind w:right="20" w:firstLine="648"/>
        <w:spacing w:after="0" w:line="288" w:lineRule="auto"/>
        <w:rPr>
          <w:sz w:val="20"/>
          <w:szCs w:val="20"/>
          <w:color w:val="auto"/>
        </w:rPr>
      </w:pPr>
      <w:r>
        <w:rPr>
          <w:rFonts w:ascii="Arial" w:cs="Arial" w:eastAsia="Arial" w:hAnsi="Arial"/>
          <w:sz w:val="19"/>
          <w:szCs w:val="19"/>
          <w:color w:val="auto"/>
        </w:rPr>
        <w:t>This Note shall bear interest at the rate of 1.50% per year from September 25, 2017 or from the most recent date to which interest had been paid or provided for to, but excluding, the next scheduled Interest Payment Date until September 15, 2022, unless earlier converted or repurchased. Accrued interest on this Note shall be computed on the basis of a 360-day year composed of twelve 30-day months and, for a partial month, on the basis of the number of days actually elapsed in a 30-day month. Interest is payable semi-annually in arrears on each March 15 and September 15, commencing on March 15, 2018, to Holders of record at the close of business on the preceding March 1 and September 1 (whether or not such day is a Business Day), respectively. Additional Interest will be payable as set forth in Section 4.06(d), Section 4.06(e) and Section 6.03 of the within-mentioned Indenture, and any reference to interest on, or in respect of, any Note therein shall be deemed to include Additional Interest if, in such context, Additional Interest is, was or would be payable pursuant to any of such Section 4.06(d), Section 4.06(e) or Section 6.03 and any express mention of the payment of Additional Interest in any provision therein and herein shall not be construed as excluding Additional Interest in those provisions thereof and hereof where such express mention is not made.</w:t>
      </w:r>
    </w:p>
    <w:p>
      <w:pPr>
        <w:spacing w:after="0" w:line="101"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Any Defaulted Amounts shall accrue interest per annum at the rate borne by the Notes from, and including, the relevant payment date to, but excluding, the date on which such Defaulted Amounts shall have been paid by the Company, at its election in accordance with Section 2.03(c) of the Indenture.</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w:t>
      </w:r>
    </w:p>
    <w:p>
      <w:pPr>
        <w:spacing w:after="0" w:line="98" w:lineRule="exact"/>
        <w:rPr>
          <w:sz w:val="20"/>
          <w:szCs w:val="20"/>
          <w:color w:val="auto"/>
        </w:rPr>
      </w:pPr>
    </w:p>
    <w:p>
      <w:pPr>
        <w:ind w:left="760" w:hanging="104"/>
        <w:spacing w:after="0"/>
        <w:tabs>
          <w:tab w:leader="none" w:pos="760" w:val="left"/>
        </w:tabs>
        <w:numPr>
          <w:ilvl w:val="0"/>
          <w:numId w:val="157"/>
        </w:numPr>
        <w:rPr>
          <w:rFonts w:ascii="Arial" w:cs="Arial" w:eastAsia="Arial" w:hAnsi="Arial"/>
          <w:sz w:val="25"/>
          <w:szCs w:val="25"/>
          <w:color w:val="auto"/>
          <w:vertAlign w:val="superscript"/>
        </w:rPr>
      </w:pPr>
      <w:r>
        <w:rPr>
          <w:rFonts w:ascii="Arial" w:cs="Arial" w:eastAsia="Arial" w:hAnsi="Arial"/>
          <w:sz w:val="18"/>
          <w:szCs w:val="18"/>
          <w:color w:val="auto"/>
        </w:rPr>
        <w:t>Include if a global note.</w:t>
      </w:r>
    </w:p>
    <w:p>
      <w:pPr>
        <w:ind w:firstLine="656"/>
        <w:spacing w:after="0" w:line="223" w:lineRule="auto"/>
        <w:tabs>
          <w:tab w:leader="none" w:pos="756" w:val="left"/>
        </w:tabs>
        <w:numPr>
          <w:ilvl w:val="0"/>
          <w:numId w:val="158"/>
        </w:numPr>
        <w:rPr>
          <w:rFonts w:ascii="Arial" w:cs="Arial" w:eastAsia="Arial" w:hAnsi="Arial"/>
          <w:sz w:val="25"/>
          <w:szCs w:val="25"/>
          <w:color w:val="auto"/>
          <w:vertAlign w:val="superscript"/>
        </w:rPr>
      </w:pPr>
      <w:r>
        <w:rPr>
          <w:rFonts w:ascii="Arial" w:cs="Arial" w:eastAsia="Arial" w:hAnsi="Arial"/>
          <w:sz w:val="18"/>
          <w:szCs w:val="18"/>
          <w:color w:val="auto"/>
        </w:rPr>
        <w:t>At such time as the Company delivers to the Trustee the certificate included in Exhibit B to the Indenture, the legend set forth on the immediately preceding page [Insert if a Global Note: (other than the first paragraph thereof)] pursuant to Section 2.05(b) of the Indenture shall be deemed removed and the CUSIP and ISIN numbers for this Note shall be deemed to be 57164Y AB3 and US57164YAB39, respectively.</w:t>
      </w:r>
    </w:p>
    <w:p>
      <w:pPr>
        <w:ind w:left="660"/>
        <w:spacing w:after="0" w:line="181"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3</w:t>
      </w:r>
      <w:r>
        <w:rPr>
          <w:rFonts w:ascii="Arial" w:cs="Arial" w:eastAsia="Arial" w:hAnsi="Arial"/>
          <w:sz w:val="18"/>
          <w:szCs w:val="18"/>
          <w:color w:val="auto"/>
        </w:rPr>
        <w:t xml:space="preserve"> Include if a global note.</w:t>
      </w:r>
    </w:p>
    <w:p>
      <w:pPr>
        <w:ind w:left="660"/>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4</w:t>
      </w:r>
      <w:r>
        <w:rPr>
          <w:rFonts w:ascii="Arial" w:cs="Arial" w:eastAsia="Arial" w:hAnsi="Arial"/>
          <w:sz w:val="18"/>
          <w:szCs w:val="18"/>
          <w:color w:val="auto"/>
        </w:rPr>
        <w:t xml:space="preserve"> Include if a certificated note.</w:t>
      </w:r>
    </w:p>
    <w:p>
      <w:pPr>
        <w:ind w:left="660"/>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5</w:t>
      </w:r>
      <w:r>
        <w:rPr>
          <w:rFonts w:ascii="Arial" w:cs="Arial" w:eastAsia="Arial" w:hAnsi="Arial"/>
          <w:sz w:val="18"/>
          <w:szCs w:val="18"/>
          <w:color w:val="auto"/>
        </w:rPr>
        <w:t xml:space="preserve"> Include if a global note.</w:t>
      </w:r>
    </w:p>
    <w:p>
      <w:pPr>
        <w:ind w:left="660"/>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6</w:t>
      </w:r>
      <w:r>
        <w:rPr>
          <w:rFonts w:ascii="Arial" w:cs="Arial" w:eastAsia="Arial" w:hAnsi="Arial"/>
          <w:sz w:val="18"/>
          <w:szCs w:val="18"/>
          <w:color w:val="auto"/>
        </w:rPr>
        <w:t xml:space="preserve"> Include if a certificated note.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Exhibit A-3</w:t>
      </w:r>
    </w:p>
    <w:p>
      <w:pPr>
        <w:sectPr>
          <w:pgSz w:w="11900" w:h="16838" w:orient="portrait"/>
          <w:cols w:equalWidth="0" w:num="1">
            <w:col w:w="11400"/>
          </w:cols>
          <w:pgMar w:left="240" w:top="375" w:right="259" w:bottom="1440" w:gutter="0" w:footer="0" w:header="0"/>
        </w:sectPr>
      </w:pPr>
    </w:p>
    <w:bookmarkStart w:id="171" w:name="page172"/>
    <w:bookmarkEnd w:id="171"/>
    <w:p>
      <w:pPr>
        <w:ind w:right="160" w:firstLine="648"/>
        <w:spacing w:after="0" w:line="294" w:lineRule="auto"/>
        <w:rPr>
          <w:sz w:val="20"/>
          <w:szCs w:val="20"/>
          <w:color w:val="auto"/>
        </w:rPr>
      </w:pPr>
      <w:r>
        <w:rPr>
          <w:rFonts w:ascii="Arial" w:cs="Arial" w:eastAsia="Arial" w:hAnsi="Arial"/>
          <w:sz w:val="19"/>
          <w:szCs w:val="19"/>
          <w:color w:val="auto"/>
        </w:rPr>
        <w:t>The Company shall pay the principal of and interest on this Note, so long as such Note is a Global Note, in immediately available funds to the Depositary or its nominee, as the case may be, as the registered Holder of such Note. As provided in and subject to the provisions of the Indenture, the Company shall pay the principal of any Notes (other than Notes that are Global Notes) upon presentation thereof at the office or agency designated by the Company for that purpose. The Company has initially designated the Trustee as its Paying Agent and Note Registrar in respect of the Notes and its agency in Jacksonville, Florida as a place where Notes may be presented for payment or for registration of transfer.</w:t>
      </w:r>
    </w:p>
    <w:p>
      <w:pPr>
        <w:spacing w:after="0" w:line="150" w:lineRule="exact"/>
        <w:rPr>
          <w:sz w:val="20"/>
          <w:szCs w:val="20"/>
          <w:color w:val="auto"/>
        </w:rPr>
      </w:pPr>
    </w:p>
    <w:p>
      <w:pPr>
        <w:ind w:right="300" w:firstLine="648"/>
        <w:spacing w:after="0" w:line="287" w:lineRule="auto"/>
        <w:rPr>
          <w:sz w:val="20"/>
          <w:szCs w:val="20"/>
          <w:color w:val="auto"/>
        </w:rPr>
      </w:pPr>
      <w:r>
        <w:rPr>
          <w:rFonts w:ascii="Arial" w:cs="Arial" w:eastAsia="Arial" w:hAnsi="Arial"/>
          <w:sz w:val="21"/>
          <w:szCs w:val="21"/>
          <w:color w:val="auto"/>
        </w:rPr>
        <w:t>Upon conversion of a Note, the Company shall, at its election, pay or issue, as the case may be, cash shares of common stock of the Company or a combination of cash and shares of common stock of the Company.</w:t>
      </w:r>
    </w:p>
    <w:p>
      <w:pPr>
        <w:spacing w:after="0" w:line="15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Reference is made to the further provisions of this Note set forth on the reverse hereof. Such further provisions shall for all purposes have the same effect as though fully set forth at this place.</w:t>
      </w:r>
    </w:p>
    <w:p>
      <w:pPr>
        <w:spacing w:after="0" w:line="169" w:lineRule="exact"/>
        <w:rPr>
          <w:sz w:val="20"/>
          <w:szCs w:val="20"/>
          <w:color w:val="auto"/>
        </w:rPr>
      </w:pPr>
    </w:p>
    <w:p>
      <w:pPr>
        <w:ind w:right="760" w:firstLine="648"/>
        <w:spacing w:after="0" w:line="269" w:lineRule="auto"/>
        <w:rPr>
          <w:sz w:val="20"/>
          <w:szCs w:val="20"/>
          <w:color w:val="auto"/>
        </w:rPr>
      </w:pPr>
      <w:r>
        <w:rPr>
          <w:rFonts w:ascii="Arial" w:cs="Arial" w:eastAsia="Arial" w:hAnsi="Arial"/>
          <w:sz w:val="22"/>
          <w:szCs w:val="22"/>
          <w:b w:val="1"/>
          <w:bCs w:val="1"/>
          <w:color w:val="auto"/>
        </w:rPr>
        <w:t>This Note, and any claim, controversy or dispute arising under or related to this Note, shall be construed in accordance with and governed by the laws of the State of New York.</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the case of any conflict between this Note and the Indenture, the provisions of the Indenture shall control and govern.</w:t>
      </w:r>
    </w:p>
    <w:p>
      <w:pPr>
        <w:spacing w:after="0" w:line="254" w:lineRule="exact"/>
        <w:rPr>
          <w:sz w:val="20"/>
          <w:szCs w:val="20"/>
          <w:color w:val="auto"/>
        </w:rPr>
      </w:pPr>
    </w:p>
    <w:p>
      <w:pPr>
        <w:ind w:right="160" w:firstLine="648"/>
        <w:spacing w:after="0" w:line="287" w:lineRule="auto"/>
        <w:rPr>
          <w:sz w:val="20"/>
          <w:szCs w:val="20"/>
          <w:color w:val="auto"/>
        </w:rPr>
      </w:pPr>
      <w:r>
        <w:rPr>
          <w:rFonts w:ascii="Arial" w:cs="Arial" w:eastAsia="Arial" w:hAnsi="Arial"/>
          <w:sz w:val="21"/>
          <w:szCs w:val="21"/>
          <w:color w:val="auto"/>
        </w:rPr>
        <w:t>This Note shall not be valid or become obligatory for any purpose until the certificate of authentication hereon shall have been manually signed by the Trustee or a duly authorized authenticating agent under the Indenture.</w:t>
      </w:r>
    </w:p>
    <w:p>
      <w:pPr>
        <w:spacing w:after="0" w:line="152"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6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Exhibit A-4</w:t>
      </w:r>
    </w:p>
    <w:p>
      <w:pPr>
        <w:sectPr>
          <w:pgSz w:w="11900" w:h="16838" w:orient="portrait"/>
          <w:cols w:equalWidth="0" w:num="1">
            <w:col w:w="11280"/>
          </w:cols>
          <w:pgMar w:left="240" w:top="375" w:right="379" w:bottom="1440" w:gutter="0" w:footer="0" w:header="0"/>
        </w:sectPr>
      </w:pPr>
    </w:p>
    <w:bookmarkStart w:id="172" w:name="page173"/>
    <w:bookmarkEnd w:id="172"/>
    <w:p>
      <w:pPr>
        <w:ind w:left="2120"/>
        <w:spacing w:after="0"/>
        <w:rPr>
          <w:sz w:val="20"/>
          <w:szCs w:val="20"/>
          <w:color w:val="auto"/>
        </w:rPr>
      </w:pPr>
      <w:r>
        <w:rPr>
          <w:rFonts w:ascii="Arial" w:cs="Arial" w:eastAsia="Arial" w:hAnsi="Arial"/>
          <w:sz w:val="22"/>
          <w:szCs w:val="22"/>
          <w:color w:val="auto"/>
        </w:rPr>
        <w:t>IN WITNESS WHEREOF, the Company has caused this Note to be duly executed.</w:t>
      </w:r>
    </w:p>
    <w:p>
      <w:pPr>
        <w:spacing w:after="0" w:line="368" w:lineRule="exact"/>
        <w:rPr>
          <w:sz w:val="20"/>
          <w:szCs w:val="20"/>
          <w:color w:val="auto"/>
        </w:rPr>
      </w:pPr>
    </w:p>
    <w:p>
      <w:pPr>
        <w:ind w:left="7740"/>
        <w:spacing w:after="0"/>
        <w:rPr>
          <w:sz w:val="20"/>
          <w:szCs w:val="20"/>
          <w:color w:val="auto"/>
        </w:rPr>
      </w:pPr>
      <w:r>
        <w:rPr>
          <w:rFonts w:ascii="Arial" w:cs="Arial" w:eastAsia="Arial" w:hAnsi="Arial"/>
          <w:sz w:val="22"/>
          <w:szCs w:val="22"/>
          <w:color w:val="auto"/>
        </w:rPr>
        <w:t>MARRIOTT VACATIONS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WORLDWIDE CORPORATION</w:t>
      </w:r>
    </w:p>
    <w:p>
      <w:pPr>
        <w:spacing w:after="0" w:line="200" w:lineRule="exact"/>
        <w:rPr>
          <w:sz w:val="20"/>
          <w:szCs w:val="20"/>
          <w:color w:val="auto"/>
        </w:rPr>
      </w:pPr>
    </w:p>
    <w:p>
      <w:pPr>
        <w:spacing w:after="0" w:line="258" w:lineRule="exact"/>
        <w:rPr>
          <w:sz w:val="20"/>
          <w:szCs w:val="20"/>
          <w:color w:val="auto"/>
        </w:rPr>
      </w:pPr>
    </w:p>
    <w:p>
      <w:pPr>
        <w:ind w:left="77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24765</wp:posOffset>
            </wp:positionV>
            <wp:extent cx="20154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4" w:lineRule="exact"/>
        <w:rPr>
          <w:sz w:val="20"/>
          <w:szCs w:val="20"/>
          <w:color w:val="auto"/>
        </w:rPr>
      </w:pPr>
    </w:p>
    <w:p>
      <w:pPr>
        <w:ind w:left="828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82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TRUSTEE’S CERTIFICATE OF AUTHENTICATION</w:t>
      </w:r>
    </w:p>
    <w:p>
      <w:pPr>
        <w:spacing w:after="0" w:line="260" w:lineRule="exact"/>
        <w:rPr>
          <w:sz w:val="20"/>
          <w:szCs w:val="20"/>
          <w:color w:val="auto"/>
        </w:rPr>
      </w:pPr>
    </w:p>
    <w:p>
      <w:pPr>
        <w:jc w:val="right"/>
        <w:ind w:right="7400"/>
        <w:spacing w:after="0"/>
        <w:rPr>
          <w:sz w:val="20"/>
          <w:szCs w:val="20"/>
          <w:color w:val="auto"/>
        </w:rPr>
      </w:pPr>
      <w:r>
        <w:rPr>
          <w:rFonts w:ascii="Arial" w:cs="Arial" w:eastAsia="Arial" w:hAnsi="Arial"/>
          <w:sz w:val="21"/>
          <w:szCs w:val="21"/>
          <w:color w:val="auto"/>
        </w:rPr>
        <w:t>THE BANK OF NEW YORK MELLON</w:t>
      </w:r>
    </w:p>
    <w:p>
      <w:pPr>
        <w:spacing w:after="0" w:line="33" w:lineRule="exact"/>
        <w:rPr>
          <w:sz w:val="20"/>
          <w:szCs w:val="20"/>
          <w:color w:val="auto"/>
        </w:rPr>
      </w:pPr>
    </w:p>
    <w:p>
      <w:pPr>
        <w:jc w:val="right"/>
        <w:ind w:right="7440"/>
        <w:spacing w:after="0"/>
        <w:rPr>
          <w:sz w:val="20"/>
          <w:szCs w:val="20"/>
          <w:color w:val="auto"/>
        </w:rPr>
      </w:pPr>
      <w:r>
        <w:rPr>
          <w:rFonts w:ascii="Arial" w:cs="Arial" w:eastAsia="Arial" w:hAnsi="Arial"/>
          <w:sz w:val="21"/>
          <w:szCs w:val="21"/>
          <w:color w:val="auto"/>
        </w:rPr>
        <w:t>TRUST COMPANY, N.A., as Trustee,</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certifies that this is one of the Notes described</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the within-named Indenture.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45" w:lineRule="exact"/>
        <w:rPr>
          <w:sz w:val="20"/>
          <w:szCs w:val="20"/>
          <w:color w:val="auto"/>
        </w:rPr>
      </w:pPr>
    </w:p>
    <w:p>
      <w:pPr>
        <w:jc w:val="center"/>
        <w:ind w:right="-439"/>
        <w:spacing w:after="0"/>
        <w:rPr>
          <w:sz w:val="20"/>
          <w:szCs w:val="20"/>
          <w:color w:val="auto"/>
        </w:rPr>
      </w:pPr>
      <w:r>
        <w:rPr>
          <w:rFonts w:ascii="Arial" w:cs="Arial" w:eastAsia="Arial" w:hAnsi="Arial"/>
          <w:sz w:val="22"/>
          <w:szCs w:val="22"/>
          <w:color w:val="auto"/>
        </w:rPr>
        <w:t>Exhibit A-5</w:t>
      </w:r>
    </w:p>
    <w:p>
      <w:pPr>
        <w:sectPr>
          <w:pgSz w:w="11900" w:h="16838" w:orient="portrait"/>
          <w:cols w:equalWidth="0" w:num="1">
            <w:col w:w="11000"/>
          </w:cols>
          <w:pgMar w:left="240" w:top="375" w:right="659" w:bottom="1440" w:gutter="0" w:footer="0" w:header="0"/>
        </w:sectPr>
      </w:pPr>
    </w:p>
    <w:bookmarkStart w:id="173" w:name="page174"/>
    <w:bookmarkEnd w:id="173"/>
    <w:p>
      <w:pPr>
        <w:jc w:val="center"/>
        <w:ind w:right="-19"/>
        <w:spacing w:after="0"/>
        <w:rPr>
          <w:sz w:val="20"/>
          <w:szCs w:val="20"/>
          <w:color w:val="auto"/>
        </w:rPr>
      </w:pPr>
      <w:r>
        <w:rPr>
          <w:rFonts w:ascii="Arial" w:cs="Arial" w:eastAsia="Arial" w:hAnsi="Arial"/>
          <w:sz w:val="22"/>
          <w:szCs w:val="22"/>
          <w:color w:val="auto"/>
        </w:rPr>
        <w:t>[FORM OF REVERSE OF NOTE]</w:t>
      </w:r>
    </w:p>
    <w:p>
      <w:pPr>
        <w:spacing w:after="0" w:line="16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MARRIOTT VACATIONS WORLDWIDE 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1.50% Convertible Senior Note due 2022</w:t>
      </w:r>
    </w:p>
    <w:p>
      <w:pPr>
        <w:spacing w:after="0" w:line="148" w:lineRule="exact"/>
        <w:rPr>
          <w:sz w:val="20"/>
          <w:szCs w:val="20"/>
          <w:color w:val="auto"/>
        </w:rPr>
      </w:pPr>
    </w:p>
    <w:p>
      <w:pPr>
        <w:ind w:right="20" w:firstLine="648"/>
        <w:spacing w:after="0" w:line="288" w:lineRule="auto"/>
        <w:rPr>
          <w:sz w:val="20"/>
          <w:szCs w:val="20"/>
          <w:color w:val="auto"/>
        </w:rPr>
      </w:pPr>
      <w:r>
        <w:rPr>
          <w:rFonts w:ascii="Arial" w:cs="Arial" w:eastAsia="Arial" w:hAnsi="Arial"/>
          <w:sz w:val="19"/>
          <w:szCs w:val="19"/>
          <w:color w:val="auto"/>
        </w:rPr>
        <w:t>This Note is one of a duly authorized issue of Notes of the Company, designated as its 1.50% Convertible Senior Notes due 2022 (the “</w:t>
      </w:r>
      <w:r>
        <w:rPr>
          <w:rFonts w:ascii="Arial" w:cs="Arial" w:eastAsia="Arial" w:hAnsi="Arial"/>
          <w:sz w:val="19"/>
          <w:szCs w:val="19"/>
          <w:b w:val="1"/>
          <w:bCs w:val="1"/>
          <w:color w:val="auto"/>
        </w:rPr>
        <w:t>Notes</w:t>
      </w:r>
      <w:r>
        <w:rPr>
          <w:rFonts w:ascii="Arial" w:cs="Arial" w:eastAsia="Arial" w:hAnsi="Arial"/>
          <w:sz w:val="19"/>
          <w:szCs w:val="19"/>
          <w:color w:val="auto"/>
        </w:rPr>
        <w:t>”), limited to the aggregate principal amount of $[ ] all issued under and pursuant to an Indenture dated as of September 25, 2017 (the “</w:t>
      </w:r>
      <w:r>
        <w:rPr>
          <w:rFonts w:ascii="Arial" w:cs="Arial" w:eastAsia="Arial" w:hAnsi="Arial"/>
          <w:sz w:val="19"/>
          <w:szCs w:val="19"/>
          <w:b w:val="1"/>
          <w:bCs w:val="1"/>
          <w:color w:val="auto"/>
        </w:rPr>
        <w:t>Indenture</w:t>
      </w:r>
      <w:r>
        <w:rPr>
          <w:rFonts w:ascii="Arial" w:cs="Arial" w:eastAsia="Arial" w:hAnsi="Arial"/>
          <w:sz w:val="19"/>
          <w:szCs w:val="19"/>
          <w:color w:val="auto"/>
        </w:rPr>
        <w:t>”), between the Company and The Bank of New York Mellon Trust Company, N.A., as trustee (the “</w:t>
      </w:r>
      <w:r>
        <w:rPr>
          <w:rFonts w:ascii="Arial" w:cs="Arial" w:eastAsia="Arial" w:hAnsi="Arial"/>
          <w:sz w:val="19"/>
          <w:szCs w:val="19"/>
          <w:b w:val="1"/>
          <w:bCs w:val="1"/>
          <w:color w:val="auto"/>
        </w:rPr>
        <w:t>Trustee</w:t>
      </w:r>
      <w:r>
        <w:rPr>
          <w:rFonts w:ascii="Arial" w:cs="Arial" w:eastAsia="Arial" w:hAnsi="Arial"/>
          <w:sz w:val="19"/>
          <w:szCs w:val="19"/>
          <w:color w:val="auto"/>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 The Notes represent the aggregate principal amount of outstanding Notes from time to time endorsed hereon and the aggregate principal amount of outstanding Notes represented hereby may from time to time be increased or reduced to reflect purchases, cancellations, conversions or transfers permitted by the Indenture.</w:t>
      </w:r>
    </w:p>
    <w:p>
      <w:pPr>
        <w:spacing w:after="0" w:line="106"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In case certain Events of Default, as defined in the Indenture, relating to a bankruptcy (or similar proceeding) with respect to the Company shall have occurred, the principal of, and interest on, all Notes shall automatically become immediately due and payable, as set forth in the Indenture. In case any other Event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26" w:lineRule="exact"/>
        <w:rPr>
          <w:sz w:val="20"/>
          <w:szCs w:val="20"/>
          <w:color w:val="auto"/>
        </w:rPr>
      </w:pPr>
    </w:p>
    <w:p>
      <w:pPr>
        <w:ind w:right="100" w:firstLine="648"/>
        <w:spacing w:after="0" w:line="247" w:lineRule="auto"/>
        <w:rPr>
          <w:sz w:val="20"/>
          <w:szCs w:val="20"/>
          <w:color w:val="auto"/>
        </w:rPr>
      </w:pPr>
      <w:r>
        <w:rPr>
          <w:rFonts w:ascii="Arial" w:cs="Arial" w:eastAsia="Arial" w:hAnsi="Arial"/>
          <w:sz w:val="22"/>
          <w:szCs w:val="22"/>
          <w:color w:val="auto"/>
        </w:rPr>
        <w:t>Subject to the terms and conditions of the Indenture, the Company will make all payments and deliveries in respect of the Fundamental Change Repurchase Price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 Upon conversion of any Note, the Company shall, at its election, pay or deliver, as the case may be, cash, shares of Common Stock or a combination of cash and shares of Common Stock.</w:t>
      </w:r>
    </w:p>
    <w:p>
      <w:pPr>
        <w:spacing w:after="0" w:line="140"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A-6</w:t>
      </w:r>
    </w:p>
    <w:p>
      <w:pPr>
        <w:sectPr>
          <w:pgSz w:w="11900" w:h="16838" w:orient="portrait"/>
          <w:cols w:equalWidth="0" w:num="1">
            <w:col w:w="11420"/>
          </w:cols>
          <w:pgMar w:left="240" w:top="375" w:right="239" w:bottom="1440" w:gutter="0" w:footer="0" w:header="0"/>
        </w:sectPr>
      </w:pPr>
    </w:p>
    <w:bookmarkStart w:id="174" w:name="page175"/>
    <w:bookmarkEnd w:id="174"/>
    <w:p>
      <w:pPr>
        <w:ind w:right="20" w:firstLine="648"/>
        <w:spacing w:after="0" w:line="302" w:lineRule="auto"/>
        <w:rPr>
          <w:sz w:val="20"/>
          <w:szCs w:val="20"/>
          <w:color w:val="auto"/>
        </w:rPr>
      </w:pPr>
      <w:r>
        <w:rPr>
          <w:rFonts w:ascii="Arial" w:cs="Arial" w:eastAsia="Arial" w:hAnsi="Arial"/>
          <w:sz w:val="19"/>
          <w:szCs w:val="19"/>
          <w:color w:val="auto"/>
        </w:rPr>
        <w:t>No reference herein to the Indenture and no provision of this Note or of the Indenture shall alter or impair the obligation of the Company, which is absolute and unconditional, to pay or deliver, as the case may be, the principal (including the Fundamental Change Repurchase Price, if applicable) of, accrued and unpaid interest on, and the consideration due upon conversion of, this Note at the place, at the respective times, at the rate and in the lawful money, herein prescribed.</w:t>
      </w:r>
    </w:p>
    <w:p>
      <w:pPr>
        <w:spacing w:after="0" w:line="89"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The Notes are issuable in registered form without coupons in minimum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Notes are not subject to redemption through the operation of any sinking fund or otherwise.</w:t>
      </w:r>
    </w:p>
    <w:p>
      <w:pPr>
        <w:spacing w:after="0" w:line="166"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Upon the occurrence of a Fundamental Change, the Holder has the right, at such Holder’s option exercised in the manner specified in the Indenture, to require the Company to repurchase for cash all of such Holder’s Notes or any portion thereof (in principal amounts of $1,000 or integral multiples thereof) on the Fundamental Change Repurchase Date at a price equal to the Fundamental Change Repurchase Price.</w:t>
      </w:r>
    </w:p>
    <w:p>
      <w:pPr>
        <w:spacing w:after="0" w:line="134"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thereof, into cash, shares of Common Stock or a combination of each and shares of Common Stock, at the Company’s election, at the Conversion Rate specified in the Indenture, as adjusted from time to time as provided in the Indenture.</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Terms used in this Note and defined in the Indenture are used herein as therein defined.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A-7</w:t>
      </w:r>
    </w:p>
    <w:p>
      <w:pPr>
        <w:sectPr>
          <w:pgSz w:w="11900" w:h="16838" w:orient="portrait"/>
          <w:cols w:equalWidth="0" w:num="1">
            <w:col w:w="11420"/>
          </w:cols>
          <w:pgMar w:left="240" w:top="375" w:right="239" w:bottom="1440" w:gutter="0" w:footer="0" w:header="0"/>
        </w:sectPr>
      </w:pPr>
    </w:p>
    <w:bookmarkStart w:id="175" w:name="page176"/>
    <w:bookmarkEnd w:id="175"/>
    <w:p>
      <w:pPr>
        <w:jc w:val="center"/>
        <w:ind w:right="-279"/>
        <w:spacing w:after="0"/>
        <w:rPr>
          <w:sz w:val="20"/>
          <w:szCs w:val="20"/>
          <w:color w:val="auto"/>
        </w:rPr>
      </w:pPr>
      <w:r>
        <w:rPr>
          <w:rFonts w:ascii="Arial" w:cs="Arial" w:eastAsia="Arial" w:hAnsi="Arial"/>
          <w:sz w:val="22"/>
          <w:szCs w:val="22"/>
          <w:color w:val="auto"/>
        </w:rPr>
        <w:t>ABBREVIATIONS</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following abbreviations, when used in the inscription of the face of this Note, shall be construed as though they were written out in full according to applicable laws or regulations: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TEN COM = as tenants in common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UNIF GIFT MIN ACT = Uniform Gifts to Minors Act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CUST = Custodian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TEN ENT = as tenants by the entireties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JT TEN = joint tenants with right of survivorship and not as tenants in common</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Additional abbreviations may also be used though not in the above list.</w:t>
      </w:r>
    </w:p>
    <w:p>
      <w:pPr>
        <w:spacing w:after="0" w:line="200" w:lineRule="exact"/>
        <w:rPr>
          <w:sz w:val="20"/>
          <w:szCs w:val="20"/>
          <w:color w:val="auto"/>
        </w:rPr>
      </w:pPr>
    </w:p>
    <w:p>
      <w:pPr>
        <w:spacing w:after="0" w:line="258"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Exhibit A-8</w:t>
      </w:r>
    </w:p>
    <w:p>
      <w:pPr>
        <w:sectPr>
          <w:pgSz w:w="11900" w:h="16838" w:orient="portrait"/>
          <w:cols w:equalWidth="0" w:num="1">
            <w:col w:w="11140"/>
          </w:cols>
          <w:pgMar w:left="240" w:top="375" w:right="519" w:bottom="1440" w:gutter="0" w:footer="0" w:header="0"/>
        </w:sectPr>
      </w:pPr>
    </w:p>
    <w:bookmarkStart w:id="176" w:name="page177"/>
    <w:bookmarkEnd w:id="176"/>
    <w:p>
      <w:pPr>
        <w:jc w:val="right"/>
        <w:spacing w:after="0"/>
        <w:rPr>
          <w:sz w:val="20"/>
          <w:szCs w:val="20"/>
          <w:color w:val="auto"/>
        </w:rPr>
      </w:pPr>
      <w:r>
        <w:rPr>
          <w:rFonts w:ascii="Arial" w:cs="Arial" w:eastAsia="Arial" w:hAnsi="Arial"/>
          <w:sz w:val="22"/>
          <w:szCs w:val="22"/>
          <w:b w:val="1"/>
          <w:bCs w:val="1"/>
          <w:color w:val="auto"/>
        </w:rPr>
        <w:t>SCHEDULE A</w:t>
      </w:r>
      <w:r>
        <w:rPr>
          <w:rFonts w:ascii="Arial" w:cs="Arial" w:eastAsia="Arial" w:hAnsi="Arial"/>
          <w:sz w:val="28"/>
          <w:szCs w:val="28"/>
          <w:b w:val="1"/>
          <w:bCs w:val="1"/>
          <w:color w:val="auto"/>
          <w:vertAlign w:val="superscript"/>
        </w:rPr>
        <w:t>6</w:t>
      </w:r>
    </w:p>
    <w:p>
      <w:pPr>
        <w:spacing w:after="0" w:line="165"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SCHEDULE OF CONVERSIONS OF NOTES</w:t>
      </w:r>
    </w:p>
    <w:p>
      <w:pPr>
        <w:spacing w:after="0" w:line="220"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MARRIOTT VACATIONS WORLDWIDE CORPORATION</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1.50% Convertible Senior Notes due 2022</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initial principal amount of this Global Note is ___________ DOLLARS ($[______]). The following increases or</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decreases in this Global Note have been made:</w:t>
      </w:r>
    </w:p>
    <w:p>
      <w:pPr>
        <w:spacing w:after="0" w:line="357"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Amount of decrease in</w:t>
            </w:r>
          </w:p>
        </w:tc>
        <w:tc>
          <w:tcPr>
            <w:tcW w:w="220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Amount of increase in</w:t>
            </w:r>
          </w:p>
        </w:tc>
        <w:tc>
          <w:tcPr>
            <w:tcW w:w="22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Principal Amount of this</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Signature of authorized</w:t>
            </w:r>
          </w:p>
        </w:tc>
      </w:tr>
      <w:tr>
        <w:trPr>
          <w:trHeight w:val="216"/>
        </w:trPr>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Principal Amount of this</w:t>
            </w:r>
          </w:p>
        </w:tc>
        <w:tc>
          <w:tcPr>
            <w:tcW w:w="220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Principal Amount of this</w:t>
            </w:r>
          </w:p>
        </w:tc>
        <w:tc>
          <w:tcPr>
            <w:tcW w:w="22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Global Note following</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signatory of Trustee or</w:t>
            </w:r>
          </w:p>
        </w:tc>
      </w:tr>
      <w:tr>
        <w:trPr>
          <w:trHeight w:val="230"/>
        </w:trPr>
        <w:tc>
          <w:tcPr>
            <w:tcW w:w="2340" w:type="dxa"/>
            <w:vAlign w:val="bottom"/>
            <w:gridSpan w:val="2"/>
          </w:tcPr>
          <w:p>
            <w:pPr>
              <w:ind w:left="480"/>
              <w:spacing w:after="0"/>
              <w:rPr>
                <w:sz w:val="20"/>
                <w:szCs w:val="20"/>
                <w:color w:val="auto"/>
              </w:rPr>
            </w:pPr>
            <w:r>
              <w:rPr>
                <w:rFonts w:ascii="Arial" w:cs="Arial" w:eastAsia="Arial" w:hAnsi="Arial"/>
                <w:sz w:val="18"/>
                <w:szCs w:val="18"/>
                <w:color w:val="auto"/>
              </w:rPr>
              <w:t>Date of Exchange</w:t>
            </w: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Global Note</w:t>
            </w:r>
          </w:p>
        </w:tc>
        <w:tc>
          <w:tcPr>
            <w:tcW w:w="220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Global Note</w:t>
            </w:r>
          </w:p>
        </w:tc>
        <w:tc>
          <w:tcPr>
            <w:tcW w:w="222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such decrease or increase</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Custodian</w:t>
            </w:r>
          </w:p>
        </w:tc>
      </w:tr>
      <w:tr>
        <w:trPr>
          <w:trHeight w:val="27"/>
        </w:trPr>
        <w:tc>
          <w:tcPr>
            <w:tcW w:w="2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91"/>
        </w:trPr>
        <w:tc>
          <w:tcPr>
            <w:tcW w:w="2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291"/>
        </w:trPr>
        <w:tc>
          <w:tcPr>
            <w:tcW w:w="2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291"/>
        </w:trPr>
        <w:tc>
          <w:tcPr>
            <w:tcW w:w="2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291"/>
        </w:trPr>
        <w:tc>
          <w:tcPr>
            <w:tcW w:w="2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291"/>
        </w:trPr>
        <w:tc>
          <w:tcPr>
            <w:tcW w:w="2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291"/>
        </w:trPr>
        <w:tc>
          <w:tcPr>
            <w:tcW w:w="2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291"/>
        </w:trPr>
        <w:tc>
          <w:tcPr>
            <w:tcW w:w="2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291"/>
        </w:trPr>
        <w:tc>
          <w:tcPr>
            <w:tcW w:w="2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291"/>
        </w:trPr>
        <w:tc>
          <w:tcPr>
            <w:tcW w:w="2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291"/>
        </w:trPr>
        <w:tc>
          <w:tcPr>
            <w:tcW w:w="2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291"/>
        </w:trPr>
        <w:tc>
          <w:tcPr>
            <w:tcW w:w="2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291"/>
        </w:trPr>
        <w:tc>
          <w:tcPr>
            <w:tcW w:w="2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291"/>
        </w:trPr>
        <w:tc>
          <w:tcPr>
            <w:tcW w:w="2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291"/>
        </w:trPr>
        <w:tc>
          <w:tcPr>
            <w:tcW w:w="2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291"/>
        </w:trPr>
        <w:tc>
          <w:tcPr>
            <w:tcW w:w="2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291"/>
        </w:trPr>
        <w:tc>
          <w:tcPr>
            <w:tcW w:w="2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291"/>
        </w:trPr>
        <w:tc>
          <w:tcPr>
            <w:tcW w:w="2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291"/>
        </w:trPr>
        <w:tc>
          <w:tcPr>
            <w:tcW w:w="2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291"/>
        </w:trPr>
        <w:tc>
          <w:tcPr>
            <w:tcW w:w="2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291"/>
        </w:trPr>
        <w:tc>
          <w:tcPr>
            <w:tcW w:w="2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291"/>
        </w:trPr>
        <w:tc>
          <w:tcPr>
            <w:tcW w:w="2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291"/>
        </w:trPr>
        <w:tc>
          <w:tcPr>
            <w:tcW w:w="2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291"/>
        </w:trPr>
        <w:tc>
          <w:tcPr>
            <w:tcW w:w="2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291"/>
        </w:trPr>
        <w:tc>
          <w:tcPr>
            <w:tcW w:w="2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291"/>
        </w:trPr>
        <w:tc>
          <w:tcPr>
            <w:tcW w:w="2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47" w:lineRule="exact"/>
        <w:rPr>
          <w:sz w:val="20"/>
          <w:szCs w:val="20"/>
          <w:color w:val="auto"/>
        </w:rPr>
      </w:pPr>
    </w:p>
    <w:p>
      <w:pPr>
        <w:ind w:left="620" w:hanging="126"/>
        <w:spacing w:after="0"/>
        <w:tabs>
          <w:tab w:leader="none" w:pos="620" w:val="left"/>
        </w:tabs>
        <w:numPr>
          <w:ilvl w:val="0"/>
          <w:numId w:val="159"/>
        </w:numPr>
        <w:rPr>
          <w:rFonts w:ascii="Arial" w:cs="Arial" w:eastAsia="Arial" w:hAnsi="Arial"/>
          <w:sz w:val="29"/>
          <w:szCs w:val="29"/>
          <w:color w:val="auto"/>
          <w:vertAlign w:val="superscript"/>
        </w:rPr>
      </w:pPr>
      <w:r>
        <w:rPr>
          <w:rFonts w:ascii="Arial" w:cs="Arial" w:eastAsia="Arial" w:hAnsi="Arial"/>
          <w:sz w:val="22"/>
          <w:szCs w:val="22"/>
          <w:color w:val="auto"/>
        </w:rPr>
        <w:t>Include if a global note.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Exhibit A-9</w:t>
      </w:r>
    </w:p>
    <w:p>
      <w:pPr>
        <w:sectPr>
          <w:pgSz w:w="11900" w:h="16838" w:orient="portrait"/>
          <w:cols w:equalWidth="0" w:num="1">
            <w:col w:w="11360"/>
          </w:cols>
          <w:pgMar w:left="240" w:top="360" w:right="299" w:bottom="1440" w:gutter="0" w:footer="0" w:header="0"/>
        </w:sectPr>
      </w:pPr>
    </w:p>
    <w:bookmarkStart w:id="177" w:name="page178"/>
    <w:bookmarkEnd w:id="177"/>
    <w:p>
      <w:pPr>
        <w:jc w:val="right"/>
        <w:spacing w:after="0"/>
        <w:rPr>
          <w:sz w:val="20"/>
          <w:szCs w:val="20"/>
          <w:color w:val="auto"/>
        </w:rPr>
      </w:pPr>
      <w:r>
        <w:rPr>
          <w:rFonts w:ascii="Arial" w:cs="Arial" w:eastAsia="Arial" w:hAnsi="Arial"/>
          <w:sz w:val="22"/>
          <w:szCs w:val="22"/>
          <w:b w:val="1"/>
          <w:bCs w:val="1"/>
          <w:color w:val="auto"/>
        </w:rPr>
        <w:t>ATTACHMENT 1</w:t>
      </w:r>
    </w:p>
    <w:p>
      <w:pPr>
        <w:spacing w:after="0" w:line="226"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[FORM OF NOTICE OF CONVERSION]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To: Marriott Vacations Worldwide Corporation</w:t>
      </w:r>
    </w:p>
    <w:p>
      <w:pPr>
        <w:spacing w:after="0" w:line="220" w:lineRule="exact"/>
        <w:rPr>
          <w:sz w:val="20"/>
          <w:szCs w:val="20"/>
          <w:color w:val="auto"/>
        </w:rPr>
      </w:pPr>
    </w:p>
    <w:p>
      <w:pPr>
        <w:ind w:right="20" w:firstLine="648"/>
        <w:spacing w:after="0" w:line="288" w:lineRule="auto"/>
        <w:rPr>
          <w:sz w:val="20"/>
          <w:szCs w:val="20"/>
          <w:color w:val="auto"/>
        </w:rPr>
      </w:pPr>
      <w:r>
        <w:rPr>
          <w:rFonts w:ascii="Arial" w:cs="Arial" w:eastAsia="Arial" w:hAnsi="Arial"/>
          <w:sz w:val="19"/>
          <w:szCs w:val="19"/>
          <w:color w:val="auto"/>
        </w:rPr>
        <w:t>The undersigned registered owner of this Note hereby exercises the option to convert this Note, or the portion hereof (that is $1,000 principal amount or an integral multiple thereof) below designated, into cash, shares of Common Stock or a combination of cash and shares of Common Stock, at the Company’s election,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the case of Certificated Notes, the certificate numbers of the Notes to be repurchased are as set forth below:</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780" w:val="left"/>
          <w:tab w:leader="none" w:pos="3260" w:val="left"/>
        </w:tabs>
        <w:rPr>
          <w:sz w:val="20"/>
          <w:szCs w:val="20"/>
          <w:color w:val="auto"/>
        </w:rPr>
      </w:pPr>
      <w:r>
        <w:rPr>
          <w:rFonts w:ascii="Arial" w:cs="Arial" w:eastAsia="Arial" w:hAnsi="Arial"/>
          <w:sz w:val="22"/>
          <w:szCs w:val="22"/>
          <w:color w:val="auto"/>
        </w:rPr>
        <w:t>Dated:</w:t>
        <w:tab/>
        <w:t>_____________________</w:t>
      </w:r>
      <w:r>
        <w:rPr>
          <w:sz w:val="20"/>
          <w:szCs w:val="20"/>
          <w:color w:val="auto"/>
        </w:rPr>
        <w:tab/>
      </w:r>
      <w:r>
        <w:rPr>
          <w:rFonts w:ascii="Arial" w:cs="Arial" w:eastAsia="Arial" w:hAnsi="Arial"/>
          <w:sz w:val="19"/>
          <w:szCs w:val="19"/>
          <w:color w:val="auto"/>
        </w:rPr>
        <w:t>________________________________</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________________________________</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Signature(s) must be guaranteed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by an eligible Guarantor Institution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(banks, stock brokers, savings and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loan associations and credit unions)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with membership in an approved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medallion program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pursuant to Securities and Exchange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Commission Rule 17Ad-15 if shares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Attachment 1-1</w:t>
      </w:r>
    </w:p>
    <w:p>
      <w:pPr>
        <w:sectPr>
          <w:pgSz w:w="11900" w:h="16838" w:orient="portrait"/>
          <w:cols w:equalWidth="0" w:num="1">
            <w:col w:w="11420"/>
          </w:cols>
          <w:pgMar w:left="240" w:top="842" w:right="239" w:bottom="1440" w:gutter="0" w:footer="0" w:header="0"/>
        </w:sectPr>
      </w:pPr>
    </w:p>
    <w:bookmarkStart w:id="178" w:name="page179"/>
    <w:bookmarkEnd w:id="178"/>
    <w:p>
      <w:pPr>
        <w:spacing w:after="0"/>
        <w:rPr>
          <w:sz w:val="20"/>
          <w:szCs w:val="20"/>
          <w:color w:val="auto"/>
        </w:rPr>
      </w:pPr>
      <w:r>
        <w:rPr>
          <w:rFonts w:ascii="Arial" w:cs="Arial" w:eastAsia="Arial" w:hAnsi="Arial"/>
          <w:sz w:val="22"/>
          <w:szCs w:val="22"/>
          <w:color w:val="auto"/>
        </w:rPr>
        <w:t>of Common Stock are to be issued, or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Notes are to be delivered, other than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to and in the name of the registered holder.</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Fill in for registration of shares if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to be issued, and Notes if to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be delivered, other than to and in the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name of the registered holder:</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(Street Address)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(City, State and Zip Code)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Please print name and address</w:t>
      </w:r>
    </w:p>
    <w:p>
      <w:pPr>
        <w:spacing w:after="0" w:line="20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Principal amount to be converted (if less than all): $______,000</w:t>
      </w:r>
    </w:p>
    <w:p>
      <w:pPr>
        <w:spacing w:after="0" w:line="220" w:lineRule="exact"/>
        <w:rPr>
          <w:sz w:val="20"/>
          <w:szCs w:val="20"/>
          <w:color w:val="auto"/>
        </w:rPr>
      </w:pPr>
    </w:p>
    <w:p>
      <w:pPr>
        <w:jc w:val="both"/>
        <w:ind w:left="3240"/>
        <w:spacing w:after="0" w:line="253" w:lineRule="auto"/>
        <w:rPr>
          <w:sz w:val="20"/>
          <w:szCs w:val="20"/>
          <w:color w:val="auto"/>
        </w:rPr>
      </w:pPr>
      <w:r>
        <w:rPr>
          <w:rFonts w:ascii="Arial" w:cs="Arial" w:eastAsia="Arial" w:hAnsi="Arial"/>
          <w:sz w:val="22"/>
          <w:szCs w:val="22"/>
          <w:color w:val="auto"/>
        </w:rPr>
        <w:t>NOTICE: The above signature(s) of the Holder(s) hereof must correspond with the name as written upon the face of the Note in every particular without alteration or enlargement or any change whatever.</w:t>
      </w:r>
    </w:p>
    <w:p>
      <w:pPr>
        <w:spacing w:after="0" w:line="18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_________________________</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Social Security or Other Taxpayer</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Identification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Attachment 1-2</w:t>
      </w:r>
    </w:p>
    <w:p>
      <w:pPr>
        <w:sectPr>
          <w:pgSz w:w="11900" w:h="16838" w:orient="portrait"/>
          <w:cols w:equalWidth="0" w:num="1">
            <w:col w:w="11280"/>
          </w:cols>
          <w:pgMar w:left="240" w:top="375" w:right="379" w:bottom="1440" w:gutter="0" w:footer="0" w:header="0"/>
        </w:sectPr>
      </w:pPr>
    </w:p>
    <w:bookmarkStart w:id="179" w:name="page180"/>
    <w:bookmarkEnd w:id="179"/>
    <w:p>
      <w:pPr>
        <w:jc w:val="right"/>
        <w:spacing w:after="0"/>
        <w:rPr>
          <w:sz w:val="20"/>
          <w:szCs w:val="20"/>
          <w:color w:val="auto"/>
        </w:rPr>
      </w:pPr>
      <w:r>
        <w:rPr>
          <w:rFonts w:ascii="Arial" w:cs="Arial" w:eastAsia="Arial" w:hAnsi="Arial"/>
          <w:sz w:val="22"/>
          <w:szCs w:val="22"/>
          <w:b w:val="1"/>
          <w:bCs w:val="1"/>
          <w:color w:val="auto"/>
        </w:rPr>
        <w:t>ATTACHMENT 2</w:t>
      </w:r>
    </w:p>
    <w:p>
      <w:pPr>
        <w:spacing w:after="0" w:line="226" w:lineRule="exact"/>
        <w:rPr>
          <w:sz w:val="20"/>
          <w:szCs w:val="20"/>
          <w:color w:val="auto"/>
        </w:rPr>
      </w:pPr>
    </w:p>
    <w:p>
      <w:pPr>
        <w:ind w:right="2700" w:firstLine="2692"/>
        <w:spacing w:after="0" w:line="448" w:lineRule="auto"/>
        <w:rPr>
          <w:sz w:val="20"/>
          <w:szCs w:val="20"/>
          <w:color w:val="auto"/>
        </w:rPr>
      </w:pPr>
      <w:r>
        <w:rPr>
          <w:rFonts w:ascii="Arial" w:cs="Arial" w:eastAsia="Arial" w:hAnsi="Arial"/>
          <w:sz w:val="22"/>
          <w:szCs w:val="22"/>
          <w:color w:val="auto"/>
        </w:rPr>
        <w:t>[FORM OF FUNDAMENTAL CHANGE REPURCHASE NOTICE] To: Marriott Vacations Worldwide Corporation</w:t>
      </w:r>
    </w:p>
    <w:p>
      <w:pPr>
        <w:spacing w:after="0" w:line="1" w:lineRule="exact"/>
        <w:rPr>
          <w:sz w:val="20"/>
          <w:szCs w:val="20"/>
          <w:color w:val="auto"/>
        </w:rPr>
      </w:pPr>
    </w:p>
    <w:p>
      <w:pPr>
        <w:ind w:right="20" w:firstLine="648"/>
        <w:spacing w:after="0" w:line="292" w:lineRule="auto"/>
        <w:rPr>
          <w:sz w:val="20"/>
          <w:szCs w:val="20"/>
          <w:color w:val="auto"/>
        </w:rPr>
      </w:pPr>
      <w:r>
        <w:rPr>
          <w:rFonts w:ascii="Arial" w:cs="Arial" w:eastAsia="Arial" w:hAnsi="Arial"/>
          <w:sz w:val="19"/>
          <w:szCs w:val="19"/>
          <w:color w:val="auto"/>
        </w:rPr>
        <w:t>The undersigned registered owner of this Note hereby acknowledges receipt of a notice from Marriott Vacations Worldwide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Regular Record Date and on or prior to the corresponding Interest Payment Date, accrued and unpaid interest, if any, thereon to, but excluding, such Fundamental Change Repurchase Date.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the case of Certificated Notes, the certificate numbers of the Notes to be repurchased are as set forth below:</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w:t>
      </w:r>
    </w:p>
    <w:p>
      <w:pPr>
        <w:spacing w:after="0" w:line="202"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19"/>
          <w:szCs w:val="19"/>
          <w:color w:val="auto"/>
        </w:rPr>
        <w:t>_____________________</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________________________________</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Signature(s)</w:t>
      </w:r>
    </w:p>
    <w:p>
      <w:pPr>
        <w:spacing w:after="0" w:line="200" w:lineRule="exact"/>
        <w:rPr>
          <w:sz w:val="20"/>
          <w:szCs w:val="20"/>
          <w:color w:val="auto"/>
        </w:rPr>
      </w:pPr>
    </w:p>
    <w:p>
      <w:pPr>
        <w:spacing w:after="0" w:line="25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_________________________</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Social Security or Other Taxpayer</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Identification Number</w:t>
      </w:r>
    </w:p>
    <w:p>
      <w:pPr>
        <w:spacing w:after="0" w:line="20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Principal amount to be repaid (if less than all): $______,000</w:t>
      </w:r>
    </w:p>
    <w:p>
      <w:pPr>
        <w:spacing w:after="0" w:line="220" w:lineRule="exact"/>
        <w:rPr>
          <w:sz w:val="20"/>
          <w:szCs w:val="20"/>
          <w:color w:val="auto"/>
        </w:rPr>
      </w:pPr>
    </w:p>
    <w:p>
      <w:pPr>
        <w:jc w:val="both"/>
        <w:ind w:left="3240" w:right="140"/>
        <w:spacing w:after="0" w:line="253" w:lineRule="auto"/>
        <w:rPr>
          <w:sz w:val="20"/>
          <w:szCs w:val="20"/>
          <w:color w:val="auto"/>
        </w:rPr>
      </w:pPr>
      <w:r>
        <w:rPr>
          <w:rFonts w:ascii="Arial" w:cs="Arial" w:eastAsia="Arial" w:hAnsi="Arial"/>
          <w:sz w:val="22"/>
          <w:szCs w:val="22"/>
          <w:color w:val="auto"/>
        </w:rPr>
        <w:t>NOTICE: The above signature(s) of the Holder(s) hereof must correspond with the name as written upon the face of the Note in every particular without alteration or enlargement or any change whatever.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Attachment 2-1</w:t>
      </w:r>
    </w:p>
    <w:p>
      <w:pPr>
        <w:sectPr>
          <w:pgSz w:w="11900" w:h="16838" w:orient="portrait"/>
          <w:cols w:equalWidth="0" w:num="1">
            <w:col w:w="11420"/>
          </w:cols>
          <w:pgMar w:left="240" w:top="369"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22"/>
          <w:szCs w:val="22"/>
          <w:b w:val="1"/>
          <w:bCs w:val="1"/>
          <w:color w:val="auto"/>
        </w:rPr>
        <w:t>ATTACHMENT 3</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ASSIGNMENT AND TRANSFER]</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For value received ____________________________ hereby sell(s), assign(s) and transfer(s) unto _________________ (Please</w:t>
      </w:r>
    </w:p>
    <w:p>
      <w:pPr>
        <w:spacing w:after="0" w:line="56" w:lineRule="exact"/>
        <w:rPr>
          <w:sz w:val="20"/>
          <w:szCs w:val="20"/>
          <w:color w:val="auto"/>
        </w:rPr>
      </w:pPr>
    </w:p>
    <w:p>
      <w:pPr>
        <w:ind w:right="140"/>
        <w:spacing w:after="0" w:line="245" w:lineRule="auto"/>
        <w:rPr>
          <w:sz w:val="20"/>
          <w:szCs w:val="20"/>
          <w:color w:val="auto"/>
        </w:rPr>
      </w:pPr>
      <w:r>
        <w:rPr>
          <w:rFonts w:ascii="Arial" w:cs="Arial" w:eastAsia="Arial" w:hAnsi="Arial"/>
          <w:sz w:val="22"/>
          <w:szCs w:val="22"/>
          <w:color w:val="auto"/>
        </w:rPr>
        <w:t>insert social security or Taxpayer Identification Number of assignee) the within Note, and hereby irrevocably constitutes and appoints _____________________ attorney to transfer the said Note on the books of the Company, with full power of substitution in the premises.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color w:val="auto"/>
        </w:rPr>
        <w:t>In connection with any transfer of the within Note occurring prior to the Resale Restriction Termination Date, as defined in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Indenture governing such Note, the undersigned confirms that such Note is being transferred:</w:t>
      </w:r>
    </w:p>
    <w:p>
      <w:pPr>
        <w:spacing w:after="0" w:line="202" w:lineRule="exact"/>
        <w:rPr>
          <w:sz w:val="20"/>
          <w:szCs w:val="20"/>
          <w:color w:val="auto"/>
        </w:rPr>
      </w:pPr>
    </w:p>
    <w:p>
      <w:pPr>
        <w:ind w:left="360" w:hanging="352"/>
        <w:spacing w:after="0"/>
        <w:tabs>
          <w:tab w:leader="none" w:pos="36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To Marriott Vacations Worldwide Corporation or a Subsidiary thereof; or</w:t>
      </w:r>
    </w:p>
    <w:p>
      <w:pPr>
        <w:spacing w:after="0" w:line="219" w:lineRule="exact"/>
        <w:rPr>
          <w:rFonts w:ascii="Arial" w:cs="Arial" w:eastAsia="Arial" w:hAnsi="Arial"/>
          <w:sz w:val="22"/>
          <w:szCs w:val="22"/>
          <w:color w:val="auto"/>
        </w:rPr>
      </w:pPr>
    </w:p>
    <w:p>
      <w:pPr>
        <w:ind w:left="360" w:hanging="352"/>
        <w:spacing w:after="0"/>
        <w:tabs>
          <w:tab w:leader="none" w:pos="36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Pursuant to a registration statement that has become or been declared effective under the Securities Act of 1933, as amended; or</w:t>
      </w:r>
    </w:p>
    <w:p>
      <w:pPr>
        <w:spacing w:after="0" w:line="254" w:lineRule="exact"/>
        <w:rPr>
          <w:rFonts w:ascii="Arial" w:cs="Arial" w:eastAsia="Arial" w:hAnsi="Arial"/>
          <w:sz w:val="19"/>
          <w:szCs w:val="19"/>
          <w:color w:val="auto"/>
        </w:rPr>
      </w:pPr>
    </w:p>
    <w:p>
      <w:pPr>
        <w:ind w:left="360" w:hanging="352"/>
        <w:spacing w:after="0"/>
        <w:tabs>
          <w:tab w:leader="none" w:pos="36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Pursuant to and in compliance with Rule 144A under the Securities Act of 1933, as amended; or</w:t>
      </w:r>
    </w:p>
    <w:p>
      <w:pPr>
        <w:spacing w:after="0" w:line="219" w:lineRule="exact"/>
        <w:rPr>
          <w:rFonts w:ascii="Arial" w:cs="Arial" w:eastAsia="Arial" w:hAnsi="Arial"/>
          <w:sz w:val="22"/>
          <w:szCs w:val="22"/>
          <w:color w:val="auto"/>
        </w:rPr>
      </w:pPr>
    </w:p>
    <w:p>
      <w:pPr>
        <w:ind w:right="240" w:firstLine="8"/>
        <w:spacing w:after="0" w:line="263" w:lineRule="auto"/>
        <w:tabs>
          <w:tab w:leader="none" w:pos="347" w:val="left"/>
        </w:tabs>
        <w:numPr>
          <w:ilvl w:val="0"/>
          <w:numId w:val="160"/>
        </w:numPr>
        <w:rPr>
          <w:rFonts w:ascii="Arial" w:cs="Arial" w:eastAsia="Arial" w:hAnsi="Arial"/>
          <w:sz w:val="22"/>
          <w:szCs w:val="22"/>
          <w:color w:val="auto"/>
        </w:rPr>
      </w:pPr>
      <w:r>
        <w:rPr>
          <w:rFonts w:ascii="Arial" w:cs="Arial" w:eastAsia="Arial" w:hAnsi="Arial"/>
          <w:sz w:val="22"/>
          <w:szCs w:val="22"/>
          <w:color w:val="auto"/>
        </w:rPr>
        <w:t>Pursuant to and in compliance with Rule 144 under the Securities Act of 1933, as amended, or any other available exemption from the registration requirements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Attachment 3-1</w:t>
      </w:r>
    </w:p>
    <w:p>
      <w:pPr>
        <w:sectPr>
          <w:pgSz w:w="11900" w:h="16838" w:orient="portrait"/>
          <w:cols w:equalWidth="0" w:num="1">
            <w:col w:w="11420"/>
          </w:cols>
          <w:pgMar w:left="240" w:top="369" w:right="239" w:bottom="1440" w:gutter="0" w:footer="0" w:header="0"/>
        </w:sectPr>
      </w:pPr>
    </w:p>
    <w:bookmarkStart w:id="181" w:name="page182"/>
    <w:bookmarkEnd w:id="181"/>
    <w:p>
      <w:pPr>
        <w:spacing w:after="0"/>
        <w:rPr>
          <w:sz w:val="20"/>
          <w:szCs w:val="20"/>
          <w:color w:val="auto"/>
        </w:rPr>
      </w:pPr>
      <w:r>
        <w:rPr>
          <w:rFonts w:ascii="Arial" w:cs="Arial" w:eastAsia="Arial" w:hAnsi="Arial"/>
          <w:sz w:val="22"/>
          <w:szCs w:val="22"/>
          <w:color w:val="auto"/>
        </w:rPr>
        <w:t>Dated: ________________________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Signature(s)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Signature(s) must be guaranteed by an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eligible Guarantor Institution (banks, stock</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brokers, savings and loan associations and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credit unions) with membership in an approved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medallion program pursuant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to Securities and Exchange Commission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Rule 17Ad-15 if Notes are to be delivered, other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than to and in the name of the registered holder.</w:t>
      </w: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NOTICE: The signature on the assignment must correspond with the name as written upon the face of the Note in every particular without alteration or enlargement or any change whatever.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Attachment 3-2</w:t>
      </w:r>
    </w:p>
    <w:p>
      <w:pPr>
        <w:sectPr>
          <w:pgSz w:w="11900" w:h="16838" w:orient="portrait"/>
          <w:cols w:equalWidth="0" w:num="1">
            <w:col w:w="11260"/>
          </w:cols>
          <w:pgMar w:left="240" w:top="375" w:right="399" w:bottom="1440" w:gutter="0" w:footer="0" w:header="0"/>
        </w:sectPr>
      </w:pPr>
    </w:p>
    <w:bookmarkStart w:id="182" w:name="page183"/>
    <w:bookmarkEnd w:id="182"/>
    <w:p>
      <w:pPr>
        <w:jc w:val="right"/>
        <w:spacing w:after="0"/>
        <w:rPr>
          <w:sz w:val="20"/>
          <w:szCs w:val="20"/>
          <w:color w:val="auto"/>
        </w:rPr>
      </w:pPr>
      <w:r>
        <w:rPr>
          <w:rFonts w:ascii="Arial" w:cs="Arial" w:eastAsia="Arial" w:hAnsi="Arial"/>
          <w:sz w:val="22"/>
          <w:szCs w:val="22"/>
          <w:b w:val="1"/>
          <w:bCs w:val="1"/>
          <w:color w:val="auto"/>
        </w:rPr>
        <w:t>EXHIBIT B</w:t>
      </w:r>
    </w:p>
    <w:p>
      <w:pPr>
        <w:spacing w:after="0" w:line="22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FORM OF FREE TRANSFERABILITY CERTIFICATE</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[Date]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Marriott Vacations Worldwide Corporation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6649 Westwood Boulevard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Orlando, Florida 32821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General Counsel</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The Bank of New York Mellon Trust Company, N.A., as Trustee</w:t>
      </w:r>
    </w:p>
    <w:p>
      <w:pPr>
        <w:spacing w:after="0" w:line="207" w:lineRule="auto"/>
        <w:rPr>
          <w:sz w:val="20"/>
          <w:szCs w:val="20"/>
          <w:color w:val="auto"/>
        </w:rPr>
      </w:pPr>
      <w:r>
        <w:rPr>
          <w:rFonts w:ascii="Arial" w:cs="Arial" w:eastAsia="Arial" w:hAnsi="Arial"/>
          <w:sz w:val="22"/>
          <w:szCs w:val="22"/>
          <w:color w:val="auto"/>
        </w:rPr>
        <w:t>10161 Centurion Parkway, 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Jacksonville, Florida 32256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Corporate Trust Administration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 (904) 998-4747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(904) 645-1921</w:t>
      </w:r>
    </w:p>
    <w:p>
      <w:pPr>
        <w:spacing w:after="0" w:line="200" w:lineRule="exact"/>
        <w:rPr>
          <w:sz w:val="20"/>
          <w:szCs w:val="20"/>
          <w:color w:val="auto"/>
        </w:rPr>
      </w:pPr>
    </w:p>
    <w:p>
      <w:pPr>
        <w:spacing w:after="0" w:line="25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1.50% Convertible Senior Notes due 2022</w:t>
      </w:r>
    </w:p>
    <w:p>
      <w:pPr>
        <w:spacing w:after="0" w:line="220" w:lineRule="exact"/>
        <w:rPr>
          <w:sz w:val="20"/>
          <w:szCs w:val="20"/>
          <w:color w:val="auto"/>
        </w:rPr>
      </w:pPr>
    </w:p>
    <w:p>
      <w:pPr>
        <w:ind w:right="160" w:firstLine="648"/>
        <w:spacing w:after="0" w:line="253" w:lineRule="auto"/>
        <w:rPr>
          <w:sz w:val="20"/>
          <w:szCs w:val="20"/>
          <w:color w:val="auto"/>
        </w:rPr>
      </w:pPr>
      <w:r>
        <w:rPr>
          <w:rFonts w:ascii="Arial" w:cs="Arial" w:eastAsia="Arial" w:hAnsi="Arial"/>
          <w:sz w:val="22"/>
          <w:szCs w:val="22"/>
          <w:color w:val="auto"/>
        </w:rPr>
        <w:t>ARTICLE 1. Reference is hereby made to the Indenture, dated as of September 25, 2017 (the “</w:t>
      </w:r>
      <w:r>
        <w:rPr>
          <w:rFonts w:ascii="Arial" w:cs="Arial" w:eastAsia="Arial" w:hAnsi="Arial"/>
          <w:sz w:val="22"/>
          <w:szCs w:val="22"/>
          <w:u w:val="single" w:color="auto"/>
          <w:color w:val="auto"/>
        </w:rPr>
        <w:t>Indenture</w:t>
      </w:r>
      <w:r>
        <w:rPr>
          <w:rFonts w:ascii="Arial" w:cs="Arial" w:eastAsia="Arial" w:hAnsi="Arial"/>
          <w:sz w:val="22"/>
          <w:szCs w:val="22"/>
          <w:color w:val="auto"/>
        </w:rPr>
        <w:t>”), between Marriott Vacations Worldwide Corporation and the Trustee. Capitalized terms used but not defined herein shall have the meanings given to them in the Indenture.</w:t>
      </w:r>
    </w:p>
    <w:p>
      <w:pPr>
        <w:spacing w:after="0" w:line="186"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ARTICLE 2. Whereas the Resale Restriction Termination Date with respect to the 1.50% Convertible Senior Notes due 2022 represented by Global Note CUSIP number 57164Y AA5 and ISIN number US57164YAA55 (the “</w:t>
      </w:r>
      <w:r>
        <w:rPr>
          <w:rFonts w:ascii="Arial" w:cs="Arial" w:eastAsia="Arial" w:hAnsi="Arial"/>
          <w:sz w:val="22"/>
          <w:szCs w:val="22"/>
          <w:u w:val="single" w:color="auto"/>
          <w:color w:val="auto"/>
        </w:rPr>
        <w:t>Notes</w:t>
      </w:r>
      <w:r>
        <w:rPr>
          <w:rFonts w:ascii="Arial" w:cs="Arial" w:eastAsia="Arial" w:hAnsi="Arial"/>
          <w:sz w:val="22"/>
          <w:szCs w:val="22"/>
          <w:color w:val="auto"/>
        </w:rPr>
        <w:t>”) has occurred, the Company hereby instructs you that:</w:t>
      </w:r>
    </w:p>
    <w:p>
      <w:pPr>
        <w:spacing w:after="0" w:line="186" w:lineRule="exact"/>
        <w:rPr>
          <w:sz w:val="20"/>
          <w:szCs w:val="20"/>
          <w:color w:val="auto"/>
        </w:rPr>
      </w:pPr>
    </w:p>
    <w:p>
      <w:pPr>
        <w:ind w:left="660" w:right="20" w:firstLine="645"/>
        <w:spacing w:after="0" w:line="253" w:lineRule="auto"/>
        <w:tabs>
          <w:tab w:leader="none" w:pos="1566"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the restrictive legend required by Section 2.05(b) of the Indenture and set forth on the Notes shall be deemed removed from the Notes, in accordance with the terms and conditions of the Notes and as provided in the Indenture, without further action on the part of Holders; and</w:t>
      </w:r>
    </w:p>
    <w:p>
      <w:pPr>
        <w:spacing w:after="0" w:line="185" w:lineRule="exact"/>
        <w:rPr>
          <w:rFonts w:ascii="Arial" w:cs="Arial" w:eastAsia="Arial" w:hAnsi="Arial"/>
          <w:sz w:val="22"/>
          <w:szCs w:val="22"/>
          <w:color w:val="auto"/>
        </w:rPr>
      </w:pPr>
    </w:p>
    <w:p>
      <w:pPr>
        <w:jc w:val="both"/>
        <w:ind w:left="660" w:right="60" w:firstLine="645"/>
        <w:spacing w:after="0" w:line="253" w:lineRule="auto"/>
        <w:tabs>
          <w:tab w:leader="none" w:pos="1626"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the Company shall instruct DTC to change the CUSIP number and ISIN number for the Notes to the unrestricted CUSIP number (57164Y AB3) and unrestricted ISIN number (US57164YAB39), respectively, without further action on the part of Holders.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B-1</w:t>
      </w:r>
    </w:p>
    <w:p>
      <w:pPr>
        <w:sectPr>
          <w:pgSz w:w="11900" w:h="16838" w:orient="portrait"/>
          <w:cols w:equalWidth="0" w:num="1">
            <w:col w:w="11420"/>
          </w:cols>
          <w:pgMar w:left="240" w:top="369" w:right="239" w:bottom="1440" w:gutter="0" w:footer="0" w:header="0"/>
        </w:sectPr>
      </w:pPr>
    </w:p>
    <w:bookmarkStart w:id="183" w:name="page184"/>
    <w:bookmarkEnd w:id="183"/>
    <w:p>
      <w:pPr>
        <w:ind w:left="4040"/>
        <w:spacing w:after="0"/>
        <w:rPr>
          <w:sz w:val="20"/>
          <w:szCs w:val="20"/>
          <w:color w:val="auto"/>
        </w:rPr>
      </w:pPr>
      <w:r>
        <w:rPr>
          <w:rFonts w:ascii="Arial" w:cs="Arial" w:eastAsia="Arial" w:hAnsi="Arial"/>
          <w:sz w:val="19"/>
          <w:szCs w:val="19"/>
          <w:color w:val="auto"/>
        </w:rPr>
        <w:t>MARRIOTT VACATIONS WORLDWIDE CORPORATION</w:t>
      </w:r>
    </w:p>
    <w:p>
      <w:pPr>
        <w:spacing w:after="0" w:line="200" w:lineRule="exact"/>
        <w:rPr>
          <w:sz w:val="20"/>
          <w:szCs w:val="20"/>
          <w:color w:val="auto"/>
        </w:rPr>
      </w:pPr>
    </w:p>
    <w:p>
      <w:pPr>
        <w:spacing w:after="0" w:line="311"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3110865</wp:posOffset>
            </wp:positionH>
            <wp:positionV relativeFrom="paragraph">
              <wp:posOffset>24765</wp:posOffset>
            </wp:positionV>
            <wp:extent cx="33788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80"/>
        <w:spacing w:after="0"/>
        <w:rPr>
          <w:sz w:val="20"/>
          <w:szCs w:val="20"/>
          <w:color w:val="auto"/>
        </w:rPr>
      </w:pPr>
      <w:r>
        <w:rPr>
          <w:rFonts w:ascii="Arial" w:cs="Arial" w:eastAsia="Arial" w:hAnsi="Arial"/>
          <w:sz w:val="21"/>
          <w:szCs w:val="21"/>
          <w:color w:val="auto"/>
        </w:rPr>
        <w:t>Exhibit B-2</w:t>
      </w:r>
    </w:p>
    <w:p>
      <w:pPr>
        <w:sectPr>
          <w:pgSz w:w="11900" w:h="16838" w:orient="portrait"/>
          <w:cols w:equalWidth="0" w:num="1">
            <w:col w:w="9400"/>
          </w:cols>
          <w:pgMar w:left="1440" w:top="1428" w:right="105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10.1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[Dealer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[Dealer Address]</w:t>
      </w:r>
    </w:p>
    <w:p>
      <w:pPr>
        <w:spacing w:after="0" w:line="15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[__________], 20[__]</w:t>
      </w:r>
    </w:p>
    <w:p>
      <w:pPr>
        <w:sectPr>
          <w:pgSz w:w="11900" w:h="16838" w:orient="portrait"/>
          <w:cols w:equalWidth="0" w:num="1">
            <w:col w:w="11420"/>
          </w:cols>
          <w:pgMar w:left="240" w:top="121" w:right="23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Marriott Vacations Worldwide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6649 Westwood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Orlando, FL 32821</w:t>
      </w:r>
    </w:p>
    <w:p>
      <w:pPr>
        <w:spacing w:after="0" w:line="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[__________]</w:t>
      </w:r>
    </w:p>
    <w:p>
      <w:pPr>
        <w:spacing w:after="0" w:line="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Telephone No.:</w:t>
      </w:r>
      <w:r>
        <w:rPr>
          <w:sz w:val="20"/>
          <w:szCs w:val="20"/>
          <w:color w:val="auto"/>
        </w:rPr>
        <w:tab/>
      </w:r>
      <w:r>
        <w:rPr>
          <w:rFonts w:ascii="Arial" w:cs="Arial" w:eastAsia="Arial" w:hAnsi="Arial"/>
          <w:sz w:val="16"/>
          <w:szCs w:val="16"/>
          <w:color w:val="auto"/>
        </w:rPr>
        <w:t>[__________]</w:t>
      </w:r>
    </w:p>
    <w:p>
      <w:pPr>
        <w:spacing w:after="0" w:line="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Facsimile No.:</w:t>
      </w:r>
      <w:r>
        <w:rPr>
          <w:sz w:val="20"/>
          <w:szCs w:val="20"/>
          <w:color w:val="auto"/>
        </w:rPr>
        <w:tab/>
      </w:r>
      <w:r>
        <w:rPr>
          <w:rFonts w:ascii="Arial" w:cs="Arial" w:eastAsia="Arial" w:hAnsi="Arial"/>
          <w:sz w:val="16"/>
          <w:szCs w:val="16"/>
          <w:color w:val="auto"/>
        </w:rPr>
        <w:t>[__________]</w:t>
      </w:r>
    </w:p>
    <w:p>
      <w:pPr>
        <w:spacing w:after="0" w:line="200" w:lineRule="exact"/>
        <w:rPr>
          <w:sz w:val="20"/>
          <w:szCs w:val="20"/>
          <w:color w:val="auto"/>
        </w:rPr>
      </w:pPr>
    </w:p>
    <w:p>
      <w:pPr>
        <w:sectPr>
          <w:pgSz w:w="11900" w:h="16838" w:orient="portrait"/>
          <w:cols w:equalWidth="0" w:num="2">
            <w:col w:w="240" w:space="420"/>
            <w:col w:w="10760"/>
          </w:cols>
          <w:pgMar w:left="240" w:top="121" w:right="239" w:bottom="1440" w:gutter="0" w:footer="0" w:header="0"/>
          <w:type w:val="continuous"/>
        </w:sectPr>
      </w:pPr>
    </w:p>
    <w:p>
      <w:pPr>
        <w:spacing w:after="0" w:line="22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[Base][Additional] Call Option Transaction</w:t>
      </w:r>
    </w:p>
    <w:p>
      <w:pPr>
        <w:spacing w:after="0" w:line="18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purpose of this letter agreement (this “</w:t>
      </w:r>
      <w:r>
        <w:rPr>
          <w:rFonts w:ascii="Arial" w:cs="Arial" w:eastAsia="Arial" w:hAnsi="Arial"/>
          <w:sz w:val="16"/>
          <w:szCs w:val="16"/>
          <w:b w:val="1"/>
          <w:bCs w:val="1"/>
          <w:color w:val="auto"/>
        </w:rPr>
        <w:t>Confirmation</w:t>
      </w:r>
      <w:r>
        <w:rPr>
          <w:rFonts w:ascii="Arial" w:cs="Arial" w:eastAsia="Arial" w:hAnsi="Arial"/>
          <w:sz w:val="16"/>
          <w:szCs w:val="16"/>
          <w:color w:val="auto"/>
        </w:rPr>
        <w:t>”) is to confirm the terms and conditions of the call option transaction entered into between [Dealer] (“</w:t>
      </w:r>
      <w:r>
        <w:rPr>
          <w:rFonts w:ascii="Arial" w:cs="Arial" w:eastAsia="Arial" w:hAnsi="Arial"/>
          <w:sz w:val="16"/>
          <w:szCs w:val="16"/>
          <w:b w:val="1"/>
          <w:bCs w:val="1"/>
          <w:color w:val="auto"/>
        </w:rPr>
        <w:t>Dealer</w:t>
      </w:r>
      <w:r>
        <w:rPr>
          <w:rFonts w:ascii="Arial" w:cs="Arial" w:eastAsia="Arial" w:hAnsi="Arial"/>
          <w:sz w:val="16"/>
          <w:szCs w:val="16"/>
          <w:color w:val="auto"/>
        </w:rPr>
        <w:t>”) and Marriott Vacations Worldwide Corporation (“</w:t>
      </w:r>
      <w:r>
        <w:rPr>
          <w:rFonts w:ascii="Arial" w:cs="Arial" w:eastAsia="Arial" w:hAnsi="Arial"/>
          <w:sz w:val="16"/>
          <w:szCs w:val="16"/>
          <w:b w:val="1"/>
          <w:bCs w:val="1"/>
          <w:color w:val="auto"/>
        </w:rPr>
        <w:t>Counterparty</w:t>
      </w:r>
      <w:r>
        <w:rPr>
          <w:rFonts w:ascii="Arial" w:cs="Arial" w:eastAsia="Arial" w:hAnsi="Arial"/>
          <w:sz w:val="16"/>
          <w:szCs w:val="16"/>
          <w:color w:val="auto"/>
        </w:rPr>
        <w:t>”) as of the Trade Date specified below (the “</w:t>
      </w:r>
      <w:r>
        <w:rPr>
          <w:rFonts w:ascii="Arial" w:cs="Arial" w:eastAsia="Arial" w:hAnsi="Arial"/>
          <w:sz w:val="16"/>
          <w:szCs w:val="16"/>
          <w:b w:val="1"/>
          <w:bCs w:val="1"/>
          <w:color w:val="auto"/>
        </w:rPr>
        <w:t>Transaction</w:t>
      </w:r>
      <w:r>
        <w:rPr>
          <w:rFonts w:ascii="Arial" w:cs="Arial" w:eastAsia="Arial" w:hAnsi="Arial"/>
          <w:sz w:val="16"/>
          <w:szCs w:val="16"/>
          <w:color w:val="auto"/>
        </w:rPr>
        <w:t>”). This letter agreement constitutes a “Confirmation” as referred to in the ISDA Master Agreement specified below. Each party further agrees that this Confirmation together with the Agreement evidence a complete binding agreement between Counterparty and Dealer as to the subject matter and terms of the Transaction to which this Confirmation relates, and shall supersede all prior or contemporaneous written or oral communications with respect thereto.</w:t>
      </w:r>
    </w:p>
    <w:p>
      <w:pPr>
        <w:spacing w:after="0" w:line="11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7"/>
          <w:szCs w:val="17"/>
          <w:color w:val="auto"/>
        </w:rPr>
        <w:t>The definitions and provisions contained in the 2002 ISDA Equity Derivatives Definitions (the “</w:t>
      </w:r>
      <w:r>
        <w:rPr>
          <w:rFonts w:ascii="Arial" w:cs="Arial" w:eastAsia="Arial" w:hAnsi="Arial"/>
          <w:sz w:val="17"/>
          <w:szCs w:val="17"/>
          <w:b w:val="1"/>
          <w:bCs w:val="1"/>
          <w:color w:val="auto"/>
        </w:rPr>
        <w:t>Equity Definitions</w:t>
      </w:r>
      <w:r>
        <w:rPr>
          <w:rFonts w:ascii="Arial" w:cs="Arial" w:eastAsia="Arial" w:hAnsi="Arial"/>
          <w:sz w:val="17"/>
          <w:szCs w:val="17"/>
          <w:color w:val="auto"/>
        </w:rPr>
        <w:t>”), as published by the International Swaps and Derivatives Association, Inc. (“</w:t>
      </w:r>
      <w:r>
        <w:rPr>
          <w:rFonts w:ascii="Arial" w:cs="Arial" w:eastAsia="Arial" w:hAnsi="Arial"/>
          <w:sz w:val="17"/>
          <w:szCs w:val="17"/>
          <w:b w:val="1"/>
          <w:bCs w:val="1"/>
          <w:color w:val="auto"/>
        </w:rPr>
        <w:t>ISDA</w:t>
      </w:r>
      <w:r>
        <w:rPr>
          <w:rFonts w:ascii="Arial" w:cs="Arial" w:eastAsia="Arial" w:hAnsi="Arial"/>
          <w:sz w:val="17"/>
          <w:szCs w:val="17"/>
          <w:color w:val="auto"/>
        </w:rPr>
        <w:t>”) are incorporated into this Confirmation. In the event of any inconsistency between the Equity Definitions and this Confirmation, this Confirmation shall govern. Certain defined terms used herein are based on terms that are defined in the Offering Memorandum dated September 20, 2017 (the “</w:t>
      </w:r>
      <w:r>
        <w:rPr>
          <w:rFonts w:ascii="Arial" w:cs="Arial" w:eastAsia="Arial" w:hAnsi="Arial"/>
          <w:sz w:val="17"/>
          <w:szCs w:val="17"/>
          <w:b w:val="1"/>
          <w:bCs w:val="1"/>
          <w:color w:val="auto"/>
        </w:rPr>
        <w:t>Offering Memorandum</w:t>
      </w:r>
      <w:r>
        <w:rPr>
          <w:rFonts w:ascii="Arial" w:cs="Arial" w:eastAsia="Arial" w:hAnsi="Arial"/>
          <w:sz w:val="17"/>
          <w:szCs w:val="17"/>
          <w:color w:val="auto"/>
        </w:rPr>
        <w:t>”) relating to the 1.5% Convertible Senior Notes due 2022 (as originally issued by Counterparty, the “</w:t>
      </w:r>
      <w:r>
        <w:rPr>
          <w:rFonts w:ascii="Arial" w:cs="Arial" w:eastAsia="Arial" w:hAnsi="Arial"/>
          <w:sz w:val="17"/>
          <w:szCs w:val="17"/>
          <w:b w:val="1"/>
          <w:bCs w:val="1"/>
          <w:color w:val="auto"/>
        </w:rPr>
        <w:t>Convertible Notes</w:t>
      </w:r>
      <w:r>
        <w:rPr>
          <w:rFonts w:ascii="Arial" w:cs="Arial" w:eastAsia="Arial" w:hAnsi="Arial"/>
          <w:sz w:val="17"/>
          <w:szCs w:val="17"/>
          <w:color w:val="auto"/>
        </w:rPr>
        <w:t>” and each USD 1,000 principal amount of Convertible Notes, a “</w:t>
      </w:r>
      <w:r>
        <w:rPr>
          <w:rFonts w:ascii="Arial" w:cs="Arial" w:eastAsia="Arial" w:hAnsi="Arial"/>
          <w:sz w:val="17"/>
          <w:szCs w:val="17"/>
          <w:b w:val="1"/>
          <w:bCs w:val="1"/>
          <w:color w:val="auto"/>
        </w:rPr>
        <w:t>Convertible Note</w:t>
      </w:r>
      <w:r>
        <w:rPr>
          <w:rFonts w:ascii="Arial" w:cs="Arial" w:eastAsia="Arial" w:hAnsi="Arial"/>
          <w:sz w:val="17"/>
          <w:szCs w:val="17"/>
          <w:color w:val="auto"/>
        </w:rPr>
        <w:t>”) issued by Counterparty in an aggregate initial principal amount of USD 200,000,000 (as increased [to][up to]</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an aggregate principal amount of USD 230,000,000 [if and to the extent that]</w:t>
      </w:r>
      <w:r>
        <w:rPr>
          <w:rFonts w:ascii="Arial" w:cs="Arial" w:eastAsia="Arial" w:hAnsi="Arial"/>
          <w:sz w:val="24"/>
          <w:szCs w:val="24"/>
          <w:color w:val="auto"/>
          <w:vertAlign w:val="superscript"/>
        </w:rPr>
        <w:t>2</w:t>
      </w:r>
      <w:r>
        <w:rPr>
          <w:rFonts w:ascii="Arial" w:cs="Arial" w:eastAsia="Arial" w:hAnsi="Arial"/>
          <w:sz w:val="17"/>
          <w:szCs w:val="17"/>
          <w:color w:val="auto"/>
        </w:rPr>
        <w:t xml:space="preserve"> [pursuant to the exercise by]</w:t>
      </w:r>
      <w:r>
        <w:rPr>
          <w:rFonts w:ascii="Arial" w:cs="Arial" w:eastAsia="Arial" w:hAnsi="Arial"/>
          <w:sz w:val="24"/>
          <w:szCs w:val="24"/>
          <w:color w:val="auto"/>
          <w:vertAlign w:val="superscript"/>
        </w:rPr>
        <w:t>3</w:t>
      </w:r>
      <w:r>
        <w:rPr>
          <w:rFonts w:ascii="Arial" w:cs="Arial" w:eastAsia="Arial" w:hAnsi="Arial"/>
          <w:sz w:val="17"/>
          <w:szCs w:val="17"/>
          <w:color w:val="auto"/>
        </w:rPr>
        <w:t xml:space="preserve"> the Initial Purchasers (as defined herein) [exercises]</w:t>
      </w:r>
      <w:r>
        <w:rPr>
          <w:rFonts w:ascii="Arial" w:cs="Arial" w:eastAsia="Arial" w:hAnsi="Arial"/>
          <w:sz w:val="24"/>
          <w:szCs w:val="24"/>
          <w:color w:val="auto"/>
          <w:vertAlign w:val="superscript"/>
        </w:rPr>
        <w:t>4</w:t>
      </w:r>
      <w:r>
        <w:rPr>
          <w:rFonts w:ascii="Arial" w:cs="Arial" w:eastAsia="Arial" w:hAnsi="Arial"/>
          <w:sz w:val="17"/>
          <w:szCs w:val="17"/>
          <w:color w:val="auto"/>
        </w:rPr>
        <w:t>[of]</w:t>
      </w:r>
      <w:r>
        <w:rPr>
          <w:rFonts w:ascii="Arial" w:cs="Arial" w:eastAsia="Arial" w:hAnsi="Arial"/>
          <w:sz w:val="24"/>
          <w:szCs w:val="24"/>
          <w:color w:val="auto"/>
          <w:vertAlign w:val="superscript"/>
        </w:rPr>
        <w:t>5</w:t>
      </w:r>
      <w:r>
        <w:rPr>
          <w:rFonts w:ascii="Arial" w:cs="Arial" w:eastAsia="Arial" w:hAnsi="Arial"/>
          <w:sz w:val="17"/>
          <w:szCs w:val="17"/>
          <w:color w:val="auto"/>
        </w:rPr>
        <w:t xml:space="preserve"> its option to purchase additional Convertible Notes pursuant to the Purchase Agreement (as defined herein)) pursuant to an Indenture [to be]</w:t>
      </w:r>
      <w:r>
        <w:rPr>
          <w:rFonts w:ascii="Arial" w:cs="Arial" w:eastAsia="Arial" w:hAnsi="Arial"/>
          <w:sz w:val="24"/>
          <w:szCs w:val="24"/>
          <w:color w:val="auto"/>
          <w:vertAlign w:val="superscript"/>
        </w:rPr>
        <w:t>6</w:t>
      </w:r>
      <w:r>
        <w:rPr>
          <w:rFonts w:ascii="Arial" w:cs="Arial" w:eastAsia="Arial" w:hAnsi="Arial"/>
          <w:sz w:val="17"/>
          <w:szCs w:val="17"/>
          <w:color w:val="auto"/>
        </w:rPr>
        <w:t xml:space="preserve"> dated September 25, 2017, between Counterparty and The Bank of New York Mellon Trust Company, N.A., as trustee (the “</w:t>
      </w:r>
      <w:r>
        <w:rPr>
          <w:rFonts w:ascii="Arial" w:cs="Arial" w:eastAsia="Arial" w:hAnsi="Arial"/>
          <w:sz w:val="17"/>
          <w:szCs w:val="17"/>
          <w:b w:val="1"/>
          <w:bCs w:val="1"/>
          <w:color w:val="auto"/>
        </w:rPr>
        <w:t>Indenture</w:t>
      </w:r>
      <w:r>
        <w:rPr>
          <w:rFonts w:ascii="Arial" w:cs="Arial" w:eastAsia="Arial" w:hAnsi="Arial"/>
          <w:sz w:val="17"/>
          <w:szCs w:val="17"/>
          <w:color w:val="auto"/>
        </w:rPr>
        <w:t>”).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which are also defined herein by reference to the Indenture and (ii) sections of the Indenture that are referred to herein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used herein are based on the [draft of the Indenture last reviewed by Dealer as of the date of this Confirmation, and if any such section numbers are changed in the Indenture as executed, the parties will amend this Confirmation in good faith to preserve the intent of the parties]</w:t>
      </w:r>
      <w:r>
        <w:rPr>
          <w:rFonts w:ascii="Arial" w:cs="Arial" w:eastAsia="Arial" w:hAnsi="Arial"/>
          <w:sz w:val="24"/>
          <w:szCs w:val="24"/>
          <w:color w:val="auto"/>
          <w:vertAlign w:val="superscript"/>
        </w:rPr>
        <w:t>7</w:t>
      </w:r>
      <w:r>
        <w:rPr>
          <w:rFonts w:ascii="Arial" w:cs="Arial" w:eastAsia="Arial" w:hAnsi="Arial"/>
          <w:sz w:val="17"/>
          <w:szCs w:val="17"/>
          <w:color w:val="auto"/>
        </w:rPr>
        <w:t>[Indenture as executed]</w:t>
      </w:r>
      <w:r>
        <w:rPr>
          <w:rFonts w:ascii="Arial" w:cs="Arial" w:eastAsia="Arial" w:hAnsi="Arial"/>
          <w:sz w:val="24"/>
          <w:szCs w:val="24"/>
          <w:color w:val="auto"/>
          <w:vertAlign w:val="superscript"/>
        </w:rPr>
        <w:t>8</w:t>
      </w:r>
      <w:r>
        <w:rPr>
          <w:rFonts w:ascii="Arial" w:cs="Arial" w:eastAsia="Arial" w:hAnsi="Arial"/>
          <w:sz w:val="17"/>
          <w:szCs w:val="17"/>
          <w:color w:val="auto"/>
        </w:rPr>
        <w:t>. Subject to the foregoing, references to the Indenture herein are references to the Indenture as in effect [on the date hereof and] on the date of its execution, and if the Indenture is amended or supplemented following such date (other than any amendment or supplement (x) pursuant to Section 10.01(k) of the Indenture that, as determined by the Calculation Agent, conforms the Indenture to the description of</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w:t>
      </w:r>
    </w:p>
    <w:p>
      <w:pPr>
        <w:spacing w:after="0" w:line="9" w:lineRule="exact"/>
        <w:rPr>
          <w:sz w:val="20"/>
          <w:szCs w:val="20"/>
          <w:color w:val="auto"/>
        </w:rPr>
      </w:pPr>
    </w:p>
    <w:p>
      <w:pPr>
        <w:ind w:left="100" w:hanging="92"/>
        <w:spacing w:after="0"/>
        <w:tabs>
          <w:tab w:leader="none" w:pos="100" w:val="left"/>
        </w:tabs>
        <w:numPr>
          <w:ilvl w:val="0"/>
          <w:numId w:val="162"/>
        </w:numPr>
        <w:rPr>
          <w:rFonts w:ascii="Arial" w:cs="Arial" w:eastAsia="Arial" w:hAnsi="Arial"/>
          <w:sz w:val="22"/>
          <w:szCs w:val="22"/>
          <w:color w:val="auto"/>
          <w:vertAlign w:val="superscript"/>
        </w:rPr>
      </w:pPr>
      <w:r>
        <w:rPr>
          <w:rFonts w:ascii="Arial" w:cs="Arial" w:eastAsia="Arial" w:hAnsi="Arial"/>
          <w:sz w:val="16"/>
          <w:szCs w:val="16"/>
          <w:color w:val="auto"/>
        </w:rPr>
        <w:t>Include in the Base Call Option Confirmation.</w:t>
      </w:r>
    </w:p>
    <w:p>
      <w:pPr>
        <w:spacing w:after="0" w:line="187"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Include in the Base Call Option Confirmation.</w:t>
      </w:r>
    </w:p>
    <w:p>
      <w:pPr>
        <w:spacing w:after="0" w:line="187"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3</w:t>
      </w:r>
      <w:r>
        <w:rPr>
          <w:rFonts w:ascii="Arial" w:cs="Arial" w:eastAsia="Arial" w:hAnsi="Arial"/>
          <w:sz w:val="16"/>
          <w:szCs w:val="16"/>
          <w:color w:val="auto"/>
        </w:rPr>
        <w:t xml:space="preserve"> Include in the Additional Call Option Confirmation.</w:t>
      </w:r>
    </w:p>
    <w:p>
      <w:pPr>
        <w:spacing w:after="0" w:line="187"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4</w:t>
      </w:r>
      <w:r>
        <w:rPr>
          <w:rFonts w:ascii="Arial" w:cs="Arial" w:eastAsia="Arial" w:hAnsi="Arial"/>
          <w:sz w:val="16"/>
          <w:szCs w:val="16"/>
          <w:color w:val="auto"/>
        </w:rPr>
        <w:t xml:space="preserve"> Include in the Base Call Option Confirmation.</w:t>
      </w:r>
    </w:p>
    <w:p>
      <w:pPr>
        <w:spacing w:after="0" w:line="187"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5</w:t>
      </w:r>
      <w:r>
        <w:rPr>
          <w:rFonts w:ascii="Arial" w:cs="Arial" w:eastAsia="Arial" w:hAnsi="Arial"/>
          <w:sz w:val="16"/>
          <w:szCs w:val="16"/>
          <w:color w:val="auto"/>
        </w:rPr>
        <w:t xml:space="preserve"> Include in the Additional Call Option Confirmation.</w:t>
      </w:r>
    </w:p>
    <w:p>
      <w:pPr>
        <w:spacing w:after="0" w:line="187"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6</w:t>
      </w:r>
      <w:r>
        <w:rPr>
          <w:rFonts w:ascii="Arial" w:cs="Arial" w:eastAsia="Arial" w:hAnsi="Arial"/>
          <w:sz w:val="16"/>
          <w:szCs w:val="16"/>
          <w:color w:val="auto"/>
        </w:rPr>
        <w:t xml:space="preserve"> Insert if Indenture is not completed at the time of the Confirmation.</w:t>
      </w:r>
    </w:p>
    <w:p>
      <w:pPr>
        <w:jc w:val="both"/>
        <w:ind w:right="1820"/>
        <w:spacing w:after="0" w:line="237" w:lineRule="auto"/>
        <w:rPr>
          <w:rFonts w:ascii="Arial" w:cs="Arial" w:eastAsia="Arial" w:hAnsi="Arial"/>
          <w:sz w:val="22"/>
          <w:szCs w:val="22"/>
          <w:color w:val="auto"/>
          <w:vertAlign w:val="superscript"/>
        </w:rPr>
      </w:pPr>
      <w:r>
        <w:rPr>
          <w:rFonts w:ascii="Arial" w:cs="Arial" w:eastAsia="Arial" w:hAnsi="Arial"/>
          <w:sz w:val="20"/>
          <w:szCs w:val="20"/>
          <w:color w:val="auto"/>
          <w:vertAlign w:val="superscript"/>
        </w:rPr>
        <w:t>7</w:t>
      </w:r>
      <w:r>
        <w:rPr>
          <w:rFonts w:ascii="Arial" w:cs="Arial" w:eastAsia="Arial" w:hAnsi="Arial"/>
          <w:sz w:val="15"/>
          <w:szCs w:val="15"/>
          <w:color w:val="auto"/>
        </w:rPr>
        <w:t xml:space="preserve"> Include in the Base Call Option Confirmation. Include in the Additional Call Option Confirmation if it is executed before closing of the base deal. </w:t>
      </w:r>
      <w:r>
        <w:rPr>
          <w:rFonts w:ascii="Arial" w:cs="Arial" w:eastAsia="Arial" w:hAnsi="Arial"/>
          <w:sz w:val="20"/>
          <w:szCs w:val="20"/>
          <w:color w:val="auto"/>
          <w:vertAlign w:val="superscript"/>
        </w:rPr>
        <w:t>8</w:t>
      </w:r>
      <w:r>
        <w:rPr>
          <w:rFonts w:ascii="Arial" w:cs="Arial" w:eastAsia="Arial" w:hAnsi="Arial"/>
          <w:sz w:val="15"/>
          <w:szCs w:val="15"/>
          <w:color w:val="auto"/>
        </w:rPr>
        <w:t xml:space="preserve"> Include in the Additional Call Option Confirmation, but only if the Additional Call Option Confirmation is executed after closing of the base deal.</w:t>
      </w:r>
    </w:p>
    <w:p>
      <w:pPr>
        <w:sectPr>
          <w:pgSz w:w="11900" w:h="16838" w:orient="portrait"/>
          <w:cols w:equalWidth="0" w:num="1">
            <w:col w:w="11420"/>
          </w:cols>
          <w:pgMar w:left="240" w:top="121" w:right="239" w:bottom="1440" w:gutter="0" w:footer="0" w:header="0"/>
          <w:type w:val="continuous"/>
        </w:sectPr>
      </w:pPr>
    </w:p>
    <w:bookmarkStart w:id="185" w:name="page186"/>
    <w:bookmarkEnd w:id="185"/>
    <w:p>
      <w:pPr>
        <w:jc w:val="both"/>
        <w:spacing w:after="0" w:line="264" w:lineRule="auto"/>
        <w:rPr>
          <w:sz w:val="20"/>
          <w:szCs w:val="20"/>
          <w:color w:val="auto"/>
        </w:rPr>
      </w:pPr>
      <w:r>
        <w:rPr>
          <w:rFonts w:ascii="Arial" w:cs="Arial" w:eastAsia="Arial" w:hAnsi="Arial"/>
          <w:sz w:val="18"/>
          <w:szCs w:val="18"/>
          <w:color w:val="auto"/>
        </w:rPr>
        <w:t>Convertible Notes in the Offering Memorandum or (y) pursuant to Section 14.07 of the Indenture, subject, in the case of this clause (y), to the second paragraph under “Method of Adjustment” in Section 3), any such amendment or supplement will be disregarded for purposes of this Confirmation (other than as provided in Section 9(i)(ii) below) unless the parties agree otherwise in writing.</w:t>
      </w:r>
    </w:p>
    <w:p>
      <w:pPr>
        <w:spacing w:after="0" w:line="1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68" w:lineRule="exact"/>
        <w:rPr>
          <w:sz w:val="20"/>
          <w:szCs w:val="20"/>
          <w:color w:val="auto"/>
        </w:rPr>
      </w:pPr>
    </w:p>
    <w:p>
      <w:pPr>
        <w:jc w:val="both"/>
        <w:ind w:firstLine="8"/>
        <w:spacing w:after="0" w:line="301" w:lineRule="auto"/>
        <w:tabs>
          <w:tab w:leader="none" w:pos="78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ISDA 2002 Master Agreement (the “</w:t>
      </w:r>
      <w:r>
        <w:rPr>
          <w:rFonts w:ascii="Arial" w:cs="Arial" w:eastAsia="Arial" w:hAnsi="Arial"/>
          <w:sz w:val="18"/>
          <w:szCs w:val="18"/>
          <w:b w:val="1"/>
          <w:bCs w:val="1"/>
          <w:color w:val="auto"/>
        </w:rPr>
        <w:t>Agreement</w:t>
      </w:r>
      <w:r>
        <w:rPr>
          <w:rFonts w:ascii="Arial" w:cs="Arial" w:eastAsia="Arial" w:hAnsi="Arial"/>
          <w:sz w:val="18"/>
          <w:szCs w:val="18"/>
          <w:color w:val="auto"/>
        </w:rPr>
        <w:t>”) as if Dealer and Counterparty had executed an agreement in such form (but without any Schedule except for the election of the laws of the State of New York as the governing law (without reference to choice of law doctrine)) on the Trade Date.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 and that the Transaction shall be deemed not to be a Transaction under, or otherwise be governed by, any other existing or deemed ISDA Master Agreement between the parties hereto.</w:t>
      </w:r>
    </w:p>
    <w:p>
      <w:pPr>
        <w:spacing w:after="0" w:line="124" w:lineRule="exact"/>
        <w:rPr>
          <w:rFonts w:ascii="Arial" w:cs="Arial" w:eastAsia="Arial" w:hAnsi="Arial"/>
          <w:sz w:val="18"/>
          <w:szCs w:val="18"/>
          <w:color w:val="auto"/>
        </w:rPr>
      </w:pPr>
    </w:p>
    <w:p>
      <w:pPr>
        <w:ind w:left="320" w:hanging="312"/>
        <w:spacing w:after="0"/>
        <w:tabs>
          <w:tab w:leader="none" w:pos="3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terms of the particular Transaction to which this Confirmation relates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gridSpan w:val="3"/>
          </w:tcPr>
          <w:p>
            <w:pPr>
              <w:jc w:val="right"/>
              <w:ind w:right="1680"/>
              <w:spacing w:after="0"/>
              <w:rPr>
                <w:sz w:val="20"/>
                <w:szCs w:val="20"/>
                <w:color w:val="auto"/>
              </w:rPr>
            </w:pPr>
            <w:r>
              <w:rPr>
                <w:rFonts w:ascii="Arial" w:cs="Arial" w:eastAsia="Arial" w:hAnsi="Arial"/>
                <w:sz w:val="18"/>
                <w:szCs w:val="18"/>
                <w:i w:val="1"/>
                <w:iCs w:val="1"/>
                <w:color w:val="auto"/>
              </w:rPr>
              <w:t>General Terms</w:t>
            </w:r>
            <w:r>
              <w:rPr>
                <w:rFonts w:ascii="Arial" w:cs="Arial" w:eastAsia="Arial" w:hAnsi="Arial"/>
                <w:sz w:val="18"/>
                <w:szCs w:val="18"/>
                <w:color w:val="auto"/>
              </w:rPr>
              <w:t>.</w:t>
            </w:r>
          </w:p>
        </w:tc>
        <w:tc>
          <w:tcPr>
            <w:tcW w:w="796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2780" w:type="dxa"/>
            <w:vAlign w:val="bottom"/>
            <w:gridSpan w:val="2"/>
          </w:tcPr>
          <w:p>
            <w:pPr>
              <w:ind w:left="320"/>
              <w:spacing w:after="0"/>
              <w:rPr>
                <w:sz w:val="20"/>
                <w:szCs w:val="20"/>
                <w:color w:val="auto"/>
              </w:rPr>
            </w:pPr>
            <w:r>
              <w:rPr>
                <w:rFonts w:ascii="Arial" w:cs="Arial" w:eastAsia="Arial" w:hAnsi="Arial"/>
                <w:sz w:val="18"/>
                <w:szCs w:val="18"/>
                <w:color w:val="auto"/>
              </w:rPr>
              <w:t>Trade Date:</w:t>
            </w:r>
          </w:p>
        </w:tc>
        <w:tc>
          <w:tcPr>
            <w:tcW w:w="7960" w:type="dxa"/>
            <w:vAlign w:val="bottom"/>
          </w:tcPr>
          <w:p>
            <w:pPr>
              <w:ind w:left="780"/>
              <w:spacing w:after="0"/>
              <w:rPr>
                <w:sz w:val="20"/>
                <w:szCs w:val="20"/>
                <w:color w:val="auto"/>
              </w:rPr>
            </w:pPr>
            <w:r>
              <w:rPr>
                <w:rFonts w:ascii="Arial" w:cs="Arial" w:eastAsia="Arial" w:hAnsi="Arial"/>
                <w:sz w:val="18"/>
                <w:szCs w:val="18"/>
                <w:color w:val="auto"/>
              </w:rPr>
              <w:t>[__________], 20[__]</w:t>
            </w:r>
          </w:p>
        </w:tc>
      </w:tr>
      <w:tr>
        <w:trPr>
          <w:trHeight w:val="392"/>
        </w:trPr>
        <w:tc>
          <w:tcPr>
            <w:tcW w:w="660" w:type="dxa"/>
            <w:vAlign w:val="bottom"/>
          </w:tcPr>
          <w:p>
            <w:pPr>
              <w:spacing w:after="0"/>
              <w:rPr>
                <w:sz w:val="24"/>
                <w:szCs w:val="24"/>
                <w:color w:val="auto"/>
              </w:rPr>
            </w:pPr>
          </w:p>
        </w:tc>
        <w:tc>
          <w:tcPr>
            <w:tcW w:w="2780" w:type="dxa"/>
            <w:vAlign w:val="bottom"/>
            <w:gridSpan w:val="2"/>
          </w:tcPr>
          <w:p>
            <w:pPr>
              <w:ind w:left="320"/>
              <w:spacing w:after="0"/>
              <w:rPr>
                <w:sz w:val="20"/>
                <w:szCs w:val="20"/>
                <w:color w:val="auto"/>
              </w:rPr>
            </w:pPr>
            <w:r>
              <w:rPr>
                <w:rFonts w:ascii="Arial" w:cs="Arial" w:eastAsia="Arial" w:hAnsi="Arial"/>
                <w:sz w:val="18"/>
                <w:szCs w:val="18"/>
                <w:color w:val="auto"/>
              </w:rPr>
              <w:t>Effective Date:</w:t>
            </w:r>
          </w:p>
        </w:tc>
        <w:tc>
          <w:tcPr>
            <w:tcW w:w="7960" w:type="dxa"/>
            <w:vAlign w:val="bottom"/>
          </w:tcPr>
          <w:p>
            <w:pPr>
              <w:ind w:left="780"/>
              <w:spacing w:after="0"/>
              <w:rPr>
                <w:sz w:val="20"/>
                <w:szCs w:val="20"/>
                <w:color w:val="auto"/>
              </w:rPr>
            </w:pPr>
            <w:r>
              <w:rPr>
                <w:rFonts w:ascii="Arial" w:cs="Arial" w:eastAsia="Arial" w:hAnsi="Arial"/>
                <w:sz w:val="18"/>
                <w:szCs w:val="18"/>
                <w:color w:val="auto"/>
              </w:rPr>
              <w:t>The second Exchange Business Day immediately prior to the Premium Payment Date</w:t>
            </w:r>
          </w:p>
        </w:tc>
      </w:tr>
      <w:tr>
        <w:trPr>
          <w:trHeight w:val="392"/>
        </w:trPr>
        <w:tc>
          <w:tcPr>
            <w:tcW w:w="660" w:type="dxa"/>
            <w:vAlign w:val="bottom"/>
          </w:tcPr>
          <w:p>
            <w:pPr>
              <w:spacing w:after="0"/>
              <w:rPr>
                <w:sz w:val="24"/>
                <w:szCs w:val="24"/>
                <w:color w:val="auto"/>
              </w:rPr>
            </w:pPr>
          </w:p>
        </w:tc>
        <w:tc>
          <w:tcPr>
            <w:tcW w:w="2780" w:type="dxa"/>
            <w:vAlign w:val="bottom"/>
            <w:gridSpan w:val="2"/>
          </w:tcPr>
          <w:p>
            <w:pPr>
              <w:ind w:left="320"/>
              <w:spacing w:after="0"/>
              <w:rPr>
                <w:sz w:val="20"/>
                <w:szCs w:val="20"/>
                <w:color w:val="auto"/>
              </w:rPr>
            </w:pPr>
            <w:r>
              <w:rPr>
                <w:rFonts w:ascii="Arial" w:cs="Arial" w:eastAsia="Arial" w:hAnsi="Arial"/>
                <w:sz w:val="18"/>
                <w:szCs w:val="18"/>
                <w:color w:val="auto"/>
              </w:rPr>
              <w:t>Option Style:</w:t>
            </w:r>
          </w:p>
        </w:tc>
        <w:tc>
          <w:tcPr>
            <w:tcW w:w="7960" w:type="dxa"/>
            <w:vAlign w:val="bottom"/>
          </w:tcPr>
          <w:p>
            <w:pPr>
              <w:ind w:left="780"/>
              <w:spacing w:after="0"/>
              <w:rPr>
                <w:sz w:val="20"/>
                <w:szCs w:val="20"/>
                <w:color w:val="auto"/>
              </w:rPr>
            </w:pPr>
            <w:r>
              <w:rPr>
                <w:rFonts w:ascii="Arial" w:cs="Arial" w:eastAsia="Arial" w:hAnsi="Arial"/>
                <w:sz w:val="18"/>
                <w:szCs w:val="18"/>
                <w:color w:val="auto"/>
              </w:rPr>
              <w:t>“Modified American”, as described under “Procedures for Exercise” below</w:t>
            </w:r>
          </w:p>
        </w:tc>
      </w:tr>
      <w:tr>
        <w:trPr>
          <w:trHeight w:val="392"/>
        </w:trPr>
        <w:tc>
          <w:tcPr>
            <w:tcW w:w="660" w:type="dxa"/>
            <w:vAlign w:val="bottom"/>
          </w:tcPr>
          <w:p>
            <w:pPr>
              <w:spacing w:after="0"/>
              <w:rPr>
                <w:sz w:val="24"/>
                <w:szCs w:val="24"/>
                <w:color w:val="auto"/>
              </w:rPr>
            </w:pPr>
          </w:p>
        </w:tc>
        <w:tc>
          <w:tcPr>
            <w:tcW w:w="2780" w:type="dxa"/>
            <w:vAlign w:val="bottom"/>
            <w:gridSpan w:val="2"/>
          </w:tcPr>
          <w:p>
            <w:pPr>
              <w:ind w:left="320"/>
              <w:spacing w:after="0"/>
              <w:rPr>
                <w:sz w:val="20"/>
                <w:szCs w:val="20"/>
                <w:color w:val="auto"/>
              </w:rPr>
            </w:pPr>
            <w:r>
              <w:rPr>
                <w:rFonts w:ascii="Arial" w:cs="Arial" w:eastAsia="Arial" w:hAnsi="Arial"/>
                <w:sz w:val="18"/>
                <w:szCs w:val="18"/>
                <w:color w:val="auto"/>
              </w:rPr>
              <w:t>Option Type:</w:t>
            </w:r>
          </w:p>
        </w:tc>
        <w:tc>
          <w:tcPr>
            <w:tcW w:w="7960" w:type="dxa"/>
            <w:vAlign w:val="bottom"/>
          </w:tcPr>
          <w:p>
            <w:pPr>
              <w:ind w:left="780"/>
              <w:spacing w:after="0"/>
              <w:rPr>
                <w:sz w:val="20"/>
                <w:szCs w:val="20"/>
                <w:color w:val="auto"/>
              </w:rPr>
            </w:pPr>
            <w:r>
              <w:rPr>
                <w:rFonts w:ascii="Arial" w:cs="Arial" w:eastAsia="Arial" w:hAnsi="Arial"/>
                <w:sz w:val="18"/>
                <w:szCs w:val="18"/>
                <w:color w:val="auto"/>
              </w:rPr>
              <w:t>Call</w:t>
            </w:r>
          </w:p>
        </w:tc>
      </w:tr>
      <w:tr>
        <w:trPr>
          <w:trHeight w:val="392"/>
        </w:trPr>
        <w:tc>
          <w:tcPr>
            <w:tcW w:w="660" w:type="dxa"/>
            <w:vAlign w:val="bottom"/>
          </w:tcPr>
          <w:p>
            <w:pPr>
              <w:spacing w:after="0"/>
              <w:rPr>
                <w:sz w:val="24"/>
                <w:szCs w:val="24"/>
                <w:color w:val="auto"/>
              </w:rPr>
            </w:pPr>
          </w:p>
        </w:tc>
        <w:tc>
          <w:tcPr>
            <w:tcW w:w="2780" w:type="dxa"/>
            <w:vAlign w:val="bottom"/>
            <w:gridSpan w:val="2"/>
          </w:tcPr>
          <w:p>
            <w:pPr>
              <w:ind w:left="320"/>
              <w:spacing w:after="0"/>
              <w:rPr>
                <w:sz w:val="20"/>
                <w:szCs w:val="20"/>
                <w:color w:val="auto"/>
              </w:rPr>
            </w:pPr>
            <w:r>
              <w:rPr>
                <w:rFonts w:ascii="Arial" w:cs="Arial" w:eastAsia="Arial" w:hAnsi="Arial"/>
                <w:sz w:val="18"/>
                <w:szCs w:val="18"/>
                <w:color w:val="auto"/>
              </w:rPr>
              <w:t>Buyer:</w:t>
            </w:r>
          </w:p>
        </w:tc>
        <w:tc>
          <w:tcPr>
            <w:tcW w:w="7960" w:type="dxa"/>
            <w:vAlign w:val="bottom"/>
          </w:tcPr>
          <w:p>
            <w:pPr>
              <w:ind w:left="780"/>
              <w:spacing w:after="0"/>
              <w:rPr>
                <w:sz w:val="20"/>
                <w:szCs w:val="20"/>
                <w:color w:val="auto"/>
              </w:rPr>
            </w:pPr>
            <w:r>
              <w:rPr>
                <w:rFonts w:ascii="Arial" w:cs="Arial" w:eastAsia="Arial" w:hAnsi="Arial"/>
                <w:sz w:val="18"/>
                <w:szCs w:val="18"/>
                <w:color w:val="auto"/>
              </w:rPr>
              <w:t>Counterparty</w:t>
            </w:r>
          </w:p>
        </w:tc>
      </w:tr>
      <w:tr>
        <w:trPr>
          <w:trHeight w:val="392"/>
        </w:trPr>
        <w:tc>
          <w:tcPr>
            <w:tcW w:w="660" w:type="dxa"/>
            <w:vAlign w:val="bottom"/>
          </w:tcPr>
          <w:p>
            <w:pPr>
              <w:spacing w:after="0"/>
              <w:rPr>
                <w:sz w:val="24"/>
                <w:szCs w:val="24"/>
                <w:color w:val="auto"/>
              </w:rPr>
            </w:pPr>
          </w:p>
        </w:tc>
        <w:tc>
          <w:tcPr>
            <w:tcW w:w="2780" w:type="dxa"/>
            <w:vAlign w:val="bottom"/>
            <w:gridSpan w:val="2"/>
          </w:tcPr>
          <w:p>
            <w:pPr>
              <w:ind w:left="320"/>
              <w:spacing w:after="0"/>
              <w:rPr>
                <w:sz w:val="20"/>
                <w:szCs w:val="20"/>
                <w:color w:val="auto"/>
              </w:rPr>
            </w:pPr>
            <w:r>
              <w:rPr>
                <w:rFonts w:ascii="Arial" w:cs="Arial" w:eastAsia="Arial" w:hAnsi="Arial"/>
                <w:sz w:val="18"/>
                <w:szCs w:val="18"/>
                <w:color w:val="auto"/>
              </w:rPr>
              <w:t>Seller:</w:t>
            </w:r>
          </w:p>
        </w:tc>
        <w:tc>
          <w:tcPr>
            <w:tcW w:w="7960" w:type="dxa"/>
            <w:vAlign w:val="bottom"/>
          </w:tcPr>
          <w:p>
            <w:pPr>
              <w:ind w:left="780"/>
              <w:spacing w:after="0"/>
              <w:rPr>
                <w:sz w:val="20"/>
                <w:szCs w:val="20"/>
                <w:color w:val="auto"/>
              </w:rPr>
            </w:pPr>
            <w:r>
              <w:rPr>
                <w:rFonts w:ascii="Arial" w:cs="Arial" w:eastAsia="Arial" w:hAnsi="Arial"/>
                <w:sz w:val="18"/>
                <w:szCs w:val="18"/>
                <w:color w:val="auto"/>
              </w:rPr>
              <w:t>Dealer</w:t>
            </w:r>
          </w:p>
        </w:tc>
      </w:tr>
      <w:tr>
        <w:trPr>
          <w:trHeight w:val="392"/>
        </w:trPr>
        <w:tc>
          <w:tcPr>
            <w:tcW w:w="660" w:type="dxa"/>
            <w:vAlign w:val="bottom"/>
          </w:tcPr>
          <w:p>
            <w:pPr>
              <w:spacing w:after="0"/>
              <w:rPr>
                <w:sz w:val="24"/>
                <w:szCs w:val="24"/>
                <w:color w:val="auto"/>
              </w:rPr>
            </w:pPr>
          </w:p>
        </w:tc>
        <w:tc>
          <w:tcPr>
            <w:tcW w:w="2780" w:type="dxa"/>
            <w:vAlign w:val="bottom"/>
            <w:gridSpan w:val="2"/>
          </w:tcPr>
          <w:p>
            <w:pPr>
              <w:ind w:left="320"/>
              <w:spacing w:after="0"/>
              <w:rPr>
                <w:sz w:val="20"/>
                <w:szCs w:val="20"/>
                <w:color w:val="auto"/>
              </w:rPr>
            </w:pPr>
            <w:r>
              <w:rPr>
                <w:rFonts w:ascii="Arial" w:cs="Arial" w:eastAsia="Arial" w:hAnsi="Arial"/>
                <w:sz w:val="18"/>
                <w:szCs w:val="18"/>
                <w:color w:val="auto"/>
              </w:rPr>
              <w:t>Shares:</w:t>
            </w:r>
          </w:p>
        </w:tc>
        <w:tc>
          <w:tcPr>
            <w:tcW w:w="7960" w:type="dxa"/>
            <w:vAlign w:val="bottom"/>
          </w:tcPr>
          <w:p>
            <w:pPr>
              <w:ind w:left="780"/>
              <w:spacing w:after="0"/>
              <w:rPr>
                <w:sz w:val="20"/>
                <w:szCs w:val="20"/>
                <w:color w:val="auto"/>
              </w:rPr>
            </w:pPr>
            <w:r>
              <w:rPr>
                <w:rFonts w:ascii="Arial" w:cs="Arial" w:eastAsia="Arial" w:hAnsi="Arial"/>
                <w:sz w:val="18"/>
                <w:szCs w:val="18"/>
                <w:color w:val="auto"/>
                <w:w w:val="95"/>
              </w:rPr>
              <w:t>The common stock of Counterparty, par value USD 0.01 per share (Exchange symbol “VAC”).</w:t>
            </w:r>
          </w:p>
        </w:tc>
      </w:tr>
      <w:tr>
        <w:trPr>
          <w:trHeight w:val="377"/>
        </w:trPr>
        <w:tc>
          <w:tcPr>
            <w:tcW w:w="660" w:type="dxa"/>
            <w:vAlign w:val="bottom"/>
          </w:tcPr>
          <w:p>
            <w:pPr>
              <w:spacing w:after="0"/>
              <w:rPr>
                <w:sz w:val="24"/>
                <w:szCs w:val="24"/>
                <w:color w:val="auto"/>
              </w:rPr>
            </w:pPr>
          </w:p>
        </w:tc>
        <w:tc>
          <w:tcPr>
            <w:tcW w:w="2780" w:type="dxa"/>
            <w:vAlign w:val="bottom"/>
            <w:gridSpan w:val="2"/>
          </w:tcPr>
          <w:p>
            <w:pPr>
              <w:ind w:left="320"/>
              <w:spacing w:after="0"/>
              <w:rPr>
                <w:sz w:val="20"/>
                <w:szCs w:val="20"/>
                <w:color w:val="auto"/>
              </w:rPr>
            </w:pPr>
            <w:r>
              <w:rPr>
                <w:rFonts w:ascii="Arial" w:cs="Arial" w:eastAsia="Arial" w:hAnsi="Arial"/>
                <w:sz w:val="18"/>
                <w:szCs w:val="18"/>
                <w:color w:val="auto"/>
              </w:rPr>
              <w:t>Number of Options:</w:t>
            </w:r>
          </w:p>
        </w:tc>
        <w:tc>
          <w:tcPr>
            <w:tcW w:w="7960" w:type="dxa"/>
            <w:vAlign w:val="bottom"/>
          </w:tcPr>
          <w:p>
            <w:pPr>
              <w:ind w:left="780"/>
              <w:spacing w:after="0"/>
              <w:rPr>
                <w:sz w:val="20"/>
                <w:szCs w:val="20"/>
                <w:color w:val="auto"/>
              </w:rPr>
            </w:pPr>
            <w:r>
              <w:rPr>
                <w:rFonts w:ascii="Arial" w:cs="Arial" w:eastAsia="Arial" w:hAnsi="Arial"/>
                <w:sz w:val="18"/>
                <w:szCs w:val="18"/>
                <w:color w:val="auto"/>
                <w:w w:val="93"/>
              </w:rPr>
              <w:t>[_______]</w:t>
            </w:r>
            <w:r>
              <w:rPr>
                <w:rFonts w:ascii="Arial" w:cs="Arial" w:eastAsia="Arial" w:hAnsi="Arial"/>
                <w:sz w:val="25"/>
                <w:szCs w:val="25"/>
                <w:color w:val="auto"/>
                <w:w w:val="93"/>
                <w:vertAlign w:val="superscript"/>
              </w:rPr>
              <w:t>9</w:t>
            </w:r>
            <w:r>
              <w:rPr>
                <w:rFonts w:ascii="Arial" w:cs="Arial" w:eastAsia="Arial" w:hAnsi="Arial"/>
                <w:sz w:val="18"/>
                <w:szCs w:val="18"/>
                <w:color w:val="auto"/>
                <w:w w:val="93"/>
              </w:rPr>
              <w:t>. For the avoidance of doubt, the Number of Options shall be reduced by any Options</w:t>
            </w:r>
          </w:p>
        </w:tc>
      </w:tr>
      <w:tr>
        <w:trPr>
          <w:trHeight w:val="230"/>
        </w:trPr>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960" w:type="dxa"/>
            <w:vAlign w:val="bottom"/>
          </w:tcPr>
          <w:p>
            <w:pPr>
              <w:ind w:left="780"/>
              <w:spacing w:after="0"/>
              <w:rPr>
                <w:sz w:val="20"/>
                <w:szCs w:val="20"/>
                <w:color w:val="auto"/>
              </w:rPr>
            </w:pPr>
            <w:r>
              <w:rPr>
                <w:rFonts w:ascii="Arial" w:cs="Arial" w:eastAsia="Arial" w:hAnsi="Arial"/>
                <w:sz w:val="18"/>
                <w:szCs w:val="18"/>
                <w:color w:val="auto"/>
              </w:rPr>
              <w:t>exercised by Counterparty. In no event will the Number of Options be less than zero.</w:t>
            </w:r>
          </w:p>
        </w:tc>
      </w:tr>
      <w:tr>
        <w:trPr>
          <w:trHeight w:val="392"/>
        </w:trPr>
        <w:tc>
          <w:tcPr>
            <w:tcW w:w="660" w:type="dxa"/>
            <w:vAlign w:val="bottom"/>
          </w:tcPr>
          <w:p>
            <w:pPr>
              <w:spacing w:after="0"/>
              <w:rPr>
                <w:sz w:val="24"/>
                <w:szCs w:val="24"/>
                <w:color w:val="auto"/>
              </w:rPr>
            </w:pPr>
          </w:p>
        </w:tc>
        <w:tc>
          <w:tcPr>
            <w:tcW w:w="2780" w:type="dxa"/>
            <w:vAlign w:val="bottom"/>
            <w:gridSpan w:val="2"/>
          </w:tcPr>
          <w:p>
            <w:pPr>
              <w:ind w:left="320"/>
              <w:spacing w:after="0"/>
              <w:rPr>
                <w:sz w:val="20"/>
                <w:szCs w:val="20"/>
                <w:color w:val="auto"/>
              </w:rPr>
            </w:pPr>
            <w:r>
              <w:rPr>
                <w:rFonts w:ascii="Arial" w:cs="Arial" w:eastAsia="Arial" w:hAnsi="Arial"/>
                <w:sz w:val="18"/>
                <w:szCs w:val="18"/>
                <w:color w:val="auto"/>
              </w:rPr>
              <w:t>Applicable Percentage:</w:t>
            </w:r>
          </w:p>
        </w:tc>
        <w:tc>
          <w:tcPr>
            <w:tcW w:w="7960" w:type="dxa"/>
            <w:vAlign w:val="bottom"/>
          </w:tcPr>
          <w:p>
            <w:pPr>
              <w:ind w:left="780"/>
              <w:spacing w:after="0"/>
              <w:rPr>
                <w:sz w:val="20"/>
                <w:szCs w:val="20"/>
                <w:color w:val="auto"/>
              </w:rPr>
            </w:pPr>
            <w:r>
              <w:rPr>
                <w:rFonts w:ascii="Arial" w:cs="Arial" w:eastAsia="Arial" w:hAnsi="Arial"/>
                <w:sz w:val="18"/>
                <w:szCs w:val="18"/>
                <w:color w:val="auto"/>
              </w:rPr>
              <w:t>[__]%</w:t>
            </w:r>
          </w:p>
        </w:tc>
      </w:tr>
      <w:tr>
        <w:trPr>
          <w:trHeight w:val="490"/>
        </w:trPr>
        <w:tc>
          <w:tcPr>
            <w:tcW w:w="660" w:type="dxa"/>
            <w:vAlign w:val="bottom"/>
          </w:tcPr>
          <w:p>
            <w:pPr>
              <w:spacing w:after="0"/>
              <w:rPr>
                <w:sz w:val="24"/>
                <w:szCs w:val="24"/>
                <w:color w:val="auto"/>
              </w:rPr>
            </w:pPr>
          </w:p>
        </w:tc>
        <w:tc>
          <w:tcPr>
            <w:tcW w:w="2780" w:type="dxa"/>
            <w:vAlign w:val="bottom"/>
            <w:gridSpan w:val="2"/>
          </w:tcPr>
          <w:p>
            <w:pPr>
              <w:ind w:left="320"/>
              <w:spacing w:after="0"/>
              <w:rPr>
                <w:sz w:val="20"/>
                <w:szCs w:val="20"/>
                <w:color w:val="auto"/>
              </w:rPr>
            </w:pPr>
            <w:r>
              <w:rPr>
                <w:rFonts w:ascii="Arial" w:cs="Arial" w:eastAsia="Arial" w:hAnsi="Arial"/>
                <w:sz w:val="18"/>
                <w:szCs w:val="18"/>
                <w:color w:val="auto"/>
              </w:rPr>
              <w:t>Option Entitlement:</w:t>
            </w:r>
          </w:p>
        </w:tc>
        <w:tc>
          <w:tcPr>
            <w:tcW w:w="7960" w:type="dxa"/>
            <w:vAlign w:val="bottom"/>
          </w:tcPr>
          <w:p>
            <w:pPr>
              <w:ind w:left="780"/>
              <w:spacing w:after="0"/>
              <w:rPr>
                <w:sz w:val="20"/>
                <w:szCs w:val="20"/>
                <w:color w:val="auto"/>
              </w:rPr>
            </w:pPr>
            <w:r>
              <w:rPr>
                <w:rFonts w:ascii="Arial" w:cs="Arial" w:eastAsia="Arial" w:hAnsi="Arial"/>
                <w:sz w:val="18"/>
                <w:szCs w:val="18"/>
                <w:color w:val="auto"/>
              </w:rPr>
              <w:t>A number equal to the product of the Applicable Percentage and [______]</w:t>
            </w:r>
            <w:r>
              <w:rPr>
                <w:rFonts w:ascii="Arial" w:cs="Arial" w:eastAsia="Arial" w:hAnsi="Arial"/>
                <w:sz w:val="25"/>
                <w:szCs w:val="25"/>
                <w:color w:val="auto"/>
                <w:vertAlign w:val="superscript"/>
              </w:rPr>
              <w:t>10</w:t>
            </w:r>
            <w:r>
              <w:rPr>
                <w:rFonts w:ascii="Arial" w:cs="Arial" w:eastAsia="Arial" w:hAnsi="Arial"/>
                <w:sz w:val="18"/>
                <w:szCs w:val="18"/>
                <w:color w:val="auto"/>
              </w:rPr>
              <w:t>.</w:t>
            </w:r>
          </w:p>
        </w:tc>
      </w:tr>
      <w:tr>
        <w:trPr>
          <w:trHeight w:val="293"/>
        </w:trPr>
        <w:tc>
          <w:tcPr>
            <w:tcW w:w="660" w:type="dxa"/>
            <w:vAlign w:val="bottom"/>
          </w:tcPr>
          <w:p>
            <w:pPr>
              <w:spacing w:after="0"/>
              <w:rPr>
                <w:sz w:val="24"/>
                <w:szCs w:val="24"/>
                <w:color w:val="auto"/>
              </w:rPr>
            </w:pPr>
          </w:p>
        </w:tc>
        <w:tc>
          <w:tcPr>
            <w:tcW w:w="2780" w:type="dxa"/>
            <w:vAlign w:val="bottom"/>
            <w:gridSpan w:val="2"/>
          </w:tcPr>
          <w:p>
            <w:pPr>
              <w:ind w:left="320"/>
              <w:spacing w:after="0"/>
              <w:rPr>
                <w:sz w:val="20"/>
                <w:szCs w:val="20"/>
                <w:color w:val="auto"/>
              </w:rPr>
            </w:pPr>
            <w:r>
              <w:rPr>
                <w:rFonts w:ascii="Arial" w:cs="Arial" w:eastAsia="Arial" w:hAnsi="Arial"/>
                <w:sz w:val="18"/>
                <w:szCs w:val="18"/>
                <w:color w:val="auto"/>
              </w:rPr>
              <w:t>Strike Price:</w:t>
            </w:r>
          </w:p>
        </w:tc>
        <w:tc>
          <w:tcPr>
            <w:tcW w:w="7960" w:type="dxa"/>
            <w:vAlign w:val="bottom"/>
          </w:tcPr>
          <w:p>
            <w:pPr>
              <w:ind w:left="780"/>
              <w:spacing w:after="0"/>
              <w:rPr>
                <w:sz w:val="20"/>
                <w:szCs w:val="20"/>
                <w:color w:val="auto"/>
              </w:rPr>
            </w:pPr>
            <w:r>
              <w:rPr>
                <w:rFonts w:ascii="Arial" w:cs="Arial" w:eastAsia="Arial" w:hAnsi="Arial"/>
                <w:sz w:val="18"/>
                <w:szCs w:val="18"/>
                <w:color w:val="auto"/>
              </w:rPr>
              <w:t>USD 148.1877</w:t>
            </w:r>
          </w:p>
        </w:tc>
      </w:tr>
      <w:tr>
        <w:trPr>
          <w:trHeight w:val="392"/>
        </w:trPr>
        <w:tc>
          <w:tcPr>
            <w:tcW w:w="660" w:type="dxa"/>
            <w:vAlign w:val="bottom"/>
          </w:tcPr>
          <w:p>
            <w:pPr>
              <w:spacing w:after="0"/>
              <w:rPr>
                <w:sz w:val="24"/>
                <w:szCs w:val="24"/>
                <w:color w:val="auto"/>
              </w:rPr>
            </w:pPr>
          </w:p>
        </w:tc>
        <w:tc>
          <w:tcPr>
            <w:tcW w:w="2780" w:type="dxa"/>
            <w:vAlign w:val="bottom"/>
            <w:gridSpan w:val="2"/>
          </w:tcPr>
          <w:p>
            <w:pPr>
              <w:ind w:left="320"/>
              <w:spacing w:after="0"/>
              <w:rPr>
                <w:sz w:val="20"/>
                <w:szCs w:val="20"/>
                <w:color w:val="auto"/>
              </w:rPr>
            </w:pPr>
            <w:r>
              <w:rPr>
                <w:rFonts w:ascii="Arial" w:cs="Arial" w:eastAsia="Arial" w:hAnsi="Arial"/>
                <w:sz w:val="18"/>
                <w:szCs w:val="18"/>
                <w:color w:val="auto"/>
              </w:rPr>
              <w:t>Premium:</w:t>
            </w:r>
          </w:p>
        </w:tc>
        <w:tc>
          <w:tcPr>
            <w:tcW w:w="7960" w:type="dxa"/>
            <w:vAlign w:val="bottom"/>
          </w:tcPr>
          <w:p>
            <w:pPr>
              <w:ind w:left="780"/>
              <w:spacing w:after="0"/>
              <w:rPr>
                <w:sz w:val="20"/>
                <w:szCs w:val="20"/>
                <w:color w:val="auto"/>
              </w:rPr>
            </w:pPr>
            <w:r>
              <w:rPr>
                <w:rFonts w:ascii="Arial" w:cs="Arial" w:eastAsia="Arial" w:hAnsi="Arial"/>
                <w:sz w:val="18"/>
                <w:szCs w:val="18"/>
                <w:color w:val="auto"/>
              </w:rPr>
              <w:t>USD [______]</w:t>
            </w:r>
          </w:p>
        </w:tc>
      </w:tr>
      <w:tr>
        <w:trPr>
          <w:trHeight w:val="251"/>
        </w:trPr>
        <w:tc>
          <w:tcPr>
            <w:tcW w:w="3440" w:type="dxa"/>
            <w:vAlign w:val="bottom"/>
            <w:gridSpan w:val="3"/>
          </w:tcPr>
          <w:p>
            <w:pPr>
              <w:jc w:val="right"/>
              <w:ind w:right="920"/>
              <w:spacing w:after="0"/>
              <w:rPr>
                <w:sz w:val="20"/>
                <w:szCs w:val="20"/>
                <w:color w:val="auto"/>
              </w:rPr>
            </w:pPr>
            <w:r>
              <w:rPr>
                <w:rFonts w:ascii="Arial" w:cs="Arial" w:eastAsia="Arial" w:hAnsi="Arial"/>
                <w:sz w:val="16"/>
                <w:szCs w:val="16"/>
                <w:color w:val="auto"/>
                <w:w w:val="90"/>
              </w:rPr>
              <w:t>_______________________________</w:t>
            </w:r>
          </w:p>
        </w:tc>
        <w:tc>
          <w:tcPr>
            <w:tcW w:w="7960" w:type="dxa"/>
            <w:vAlign w:val="bottom"/>
          </w:tcPr>
          <w:p>
            <w:pPr>
              <w:spacing w:after="0"/>
              <w:rPr>
                <w:sz w:val="21"/>
                <w:szCs w:val="21"/>
                <w:color w:val="auto"/>
              </w:rPr>
            </w:pPr>
          </w:p>
        </w:tc>
      </w:tr>
    </w:tbl>
    <w:p>
      <w:pPr>
        <w:spacing w:after="0" w:line="37" w:lineRule="exact"/>
        <w:rPr>
          <w:sz w:val="20"/>
          <w:szCs w:val="20"/>
          <w:color w:val="auto"/>
        </w:rPr>
      </w:pPr>
    </w:p>
    <w:p>
      <w:pPr>
        <w:ind w:right="20" w:firstLine="8"/>
        <w:spacing w:after="0" w:line="215" w:lineRule="auto"/>
        <w:tabs>
          <w:tab w:leader="none" w:pos="97" w:val="left"/>
        </w:tabs>
        <w:numPr>
          <w:ilvl w:val="0"/>
          <w:numId w:val="164"/>
        </w:numPr>
        <w:rPr>
          <w:rFonts w:ascii="Arial" w:cs="Arial" w:eastAsia="Arial" w:hAnsi="Arial"/>
          <w:sz w:val="22"/>
          <w:szCs w:val="22"/>
          <w:color w:val="auto"/>
          <w:vertAlign w:val="superscript"/>
        </w:rPr>
      </w:pPr>
      <w:r>
        <w:rPr>
          <w:rFonts w:ascii="Arial" w:cs="Arial" w:eastAsia="Arial" w:hAnsi="Arial"/>
          <w:sz w:val="16"/>
          <w:szCs w:val="16"/>
          <w:color w:val="auto"/>
        </w:rPr>
        <w:t>For the Base Call Option Confirmation, this is equal to the number of Convertible Notes in principal amount of $1,000 initially issued on the closing date for the Convertible Notes. For the Additional Call Option Confirmation, this is equal to the number of additional Convertible Notes in principal amount of $1,000.</w:t>
      </w:r>
    </w:p>
    <w:p>
      <w:pPr>
        <w:spacing w:after="0"/>
        <w:rPr>
          <w:rFonts w:ascii="Arial" w:cs="Arial" w:eastAsia="Arial" w:hAnsi="Arial"/>
          <w:sz w:val="22"/>
          <w:szCs w:val="22"/>
          <w:color w:val="auto"/>
          <w:vertAlign w:val="superscript"/>
        </w:rPr>
      </w:pPr>
      <w:r>
        <w:rPr>
          <w:rFonts w:ascii="Arial" w:cs="Arial" w:eastAsia="Arial" w:hAnsi="Arial"/>
          <w:sz w:val="21"/>
          <w:szCs w:val="21"/>
          <w:color w:val="auto"/>
          <w:vertAlign w:val="superscript"/>
        </w:rPr>
        <w:t>10</w:t>
      </w:r>
      <w:r>
        <w:rPr>
          <w:rFonts w:ascii="Arial" w:cs="Arial" w:eastAsia="Arial" w:hAnsi="Arial"/>
          <w:sz w:val="16"/>
          <w:szCs w:val="16"/>
          <w:color w:val="auto"/>
        </w:rPr>
        <w:t xml:space="preserve"> Insert the initial Conversion Rate for the Convertible Notes.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00" w:right="23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200" w:type="dxa"/>
            <w:vAlign w:val="bottom"/>
            <w:gridSpan w:val="2"/>
          </w:tcPr>
          <w:p>
            <w:pPr>
              <w:ind w:left="320"/>
              <w:spacing w:after="0"/>
              <w:rPr>
                <w:sz w:val="20"/>
                <w:szCs w:val="20"/>
                <w:color w:val="auto"/>
              </w:rPr>
            </w:pPr>
            <w:r>
              <w:rPr>
                <w:rFonts w:ascii="Arial" w:cs="Arial" w:eastAsia="Arial" w:hAnsi="Arial"/>
                <w:sz w:val="18"/>
                <w:szCs w:val="18"/>
                <w:color w:val="auto"/>
                <w:w w:val="94"/>
              </w:rPr>
              <w:t>Premium Payment Date:</w:t>
            </w:r>
          </w:p>
        </w:tc>
        <w:tc>
          <w:tcPr>
            <w:tcW w:w="8560" w:type="dxa"/>
            <w:vAlign w:val="bottom"/>
          </w:tcPr>
          <w:p>
            <w:pPr>
              <w:ind w:left="80"/>
              <w:spacing w:after="0"/>
              <w:rPr>
                <w:sz w:val="20"/>
                <w:szCs w:val="20"/>
                <w:color w:val="auto"/>
              </w:rPr>
            </w:pPr>
            <w:r>
              <w:rPr>
                <w:rFonts w:ascii="Arial" w:cs="Arial" w:eastAsia="Arial" w:hAnsi="Arial"/>
                <w:sz w:val="18"/>
                <w:szCs w:val="18"/>
                <w:color w:val="auto"/>
              </w:rPr>
              <w:t>[__________], 20[__]</w:t>
            </w:r>
          </w:p>
        </w:tc>
      </w:tr>
      <w:tr>
        <w:trPr>
          <w:trHeight w:val="392"/>
        </w:trPr>
        <w:tc>
          <w:tcPr>
            <w:tcW w:w="660" w:type="dxa"/>
            <w:vAlign w:val="bottom"/>
          </w:tcPr>
          <w:p>
            <w:pPr>
              <w:spacing w:after="0"/>
              <w:rPr>
                <w:sz w:val="24"/>
                <w:szCs w:val="24"/>
                <w:color w:val="auto"/>
              </w:rPr>
            </w:pPr>
          </w:p>
        </w:tc>
        <w:tc>
          <w:tcPr>
            <w:tcW w:w="2200" w:type="dxa"/>
            <w:vAlign w:val="bottom"/>
            <w:gridSpan w:val="2"/>
          </w:tcPr>
          <w:p>
            <w:pPr>
              <w:ind w:left="320"/>
              <w:spacing w:after="0"/>
              <w:rPr>
                <w:sz w:val="20"/>
                <w:szCs w:val="20"/>
                <w:color w:val="auto"/>
              </w:rPr>
            </w:pPr>
            <w:r>
              <w:rPr>
                <w:rFonts w:ascii="Arial" w:cs="Arial" w:eastAsia="Arial" w:hAnsi="Arial"/>
                <w:sz w:val="18"/>
                <w:szCs w:val="18"/>
                <w:color w:val="auto"/>
              </w:rPr>
              <w:t>Exchange:</w:t>
            </w:r>
          </w:p>
        </w:tc>
        <w:tc>
          <w:tcPr>
            <w:tcW w:w="8560" w:type="dxa"/>
            <w:vAlign w:val="bottom"/>
          </w:tcPr>
          <w:p>
            <w:pPr>
              <w:ind w:left="1360"/>
              <w:spacing w:after="0"/>
              <w:rPr>
                <w:sz w:val="20"/>
                <w:szCs w:val="20"/>
                <w:color w:val="auto"/>
              </w:rPr>
            </w:pPr>
            <w:r>
              <w:rPr>
                <w:rFonts w:ascii="Arial" w:cs="Arial" w:eastAsia="Arial" w:hAnsi="Arial"/>
                <w:sz w:val="18"/>
                <w:szCs w:val="18"/>
                <w:color w:val="auto"/>
              </w:rPr>
              <w:t>The New York Stock Exchange</w:t>
            </w:r>
          </w:p>
        </w:tc>
      </w:tr>
      <w:tr>
        <w:trPr>
          <w:trHeight w:val="392"/>
        </w:trPr>
        <w:tc>
          <w:tcPr>
            <w:tcW w:w="660" w:type="dxa"/>
            <w:vAlign w:val="bottom"/>
          </w:tcPr>
          <w:p>
            <w:pPr>
              <w:spacing w:after="0"/>
              <w:rPr>
                <w:sz w:val="24"/>
                <w:szCs w:val="24"/>
                <w:color w:val="auto"/>
              </w:rPr>
            </w:pPr>
          </w:p>
        </w:tc>
        <w:tc>
          <w:tcPr>
            <w:tcW w:w="2200" w:type="dxa"/>
            <w:vAlign w:val="bottom"/>
            <w:gridSpan w:val="2"/>
          </w:tcPr>
          <w:p>
            <w:pPr>
              <w:ind w:left="320"/>
              <w:spacing w:after="0"/>
              <w:rPr>
                <w:sz w:val="20"/>
                <w:szCs w:val="20"/>
                <w:color w:val="auto"/>
              </w:rPr>
            </w:pPr>
            <w:r>
              <w:rPr>
                <w:rFonts w:ascii="Arial" w:cs="Arial" w:eastAsia="Arial" w:hAnsi="Arial"/>
                <w:sz w:val="18"/>
                <w:szCs w:val="18"/>
                <w:color w:val="auto"/>
              </w:rPr>
              <w:t>Related Exchange(s):</w:t>
            </w:r>
          </w:p>
        </w:tc>
        <w:tc>
          <w:tcPr>
            <w:tcW w:w="8560" w:type="dxa"/>
            <w:vAlign w:val="bottom"/>
          </w:tcPr>
          <w:p>
            <w:pPr>
              <w:ind w:left="1360"/>
              <w:spacing w:after="0"/>
              <w:rPr>
                <w:sz w:val="20"/>
                <w:szCs w:val="20"/>
                <w:color w:val="auto"/>
              </w:rPr>
            </w:pPr>
            <w:r>
              <w:rPr>
                <w:rFonts w:ascii="Arial" w:cs="Arial" w:eastAsia="Arial" w:hAnsi="Arial"/>
                <w:sz w:val="18"/>
                <w:szCs w:val="18"/>
                <w:color w:val="auto"/>
              </w:rPr>
              <w:t>All Exchanges</w:t>
            </w:r>
          </w:p>
        </w:tc>
      </w:tr>
      <w:tr>
        <w:trPr>
          <w:trHeight w:val="392"/>
        </w:trPr>
        <w:tc>
          <w:tcPr>
            <w:tcW w:w="660" w:type="dxa"/>
            <w:vAlign w:val="bottom"/>
          </w:tcPr>
          <w:p>
            <w:pPr>
              <w:spacing w:after="0"/>
              <w:rPr>
                <w:sz w:val="24"/>
                <w:szCs w:val="24"/>
                <w:color w:val="auto"/>
              </w:rPr>
            </w:pPr>
          </w:p>
        </w:tc>
        <w:tc>
          <w:tcPr>
            <w:tcW w:w="2200" w:type="dxa"/>
            <w:vAlign w:val="bottom"/>
            <w:gridSpan w:val="2"/>
          </w:tcPr>
          <w:p>
            <w:pPr>
              <w:ind w:left="320"/>
              <w:spacing w:after="0"/>
              <w:rPr>
                <w:sz w:val="20"/>
                <w:szCs w:val="20"/>
                <w:color w:val="auto"/>
              </w:rPr>
            </w:pPr>
            <w:r>
              <w:rPr>
                <w:rFonts w:ascii="Arial" w:cs="Arial" w:eastAsia="Arial" w:hAnsi="Arial"/>
                <w:sz w:val="18"/>
                <w:szCs w:val="18"/>
                <w:color w:val="auto"/>
              </w:rPr>
              <w:t>Excluded Provisions:</w:t>
            </w:r>
          </w:p>
        </w:tc>
        <w:tc>
          <w:tcPr>
            <w:tcW w:w="8560" w:type="dxa"/>
            <w:vAlign w:val="bottom"/>
          </w:tcPr>
          <w:p>
            <w:pPr>
              <w:ind w:left="1360"/>
              <w:spacing w:after="0"/>
              <w:rPr>
                <w:sz w:val="20"/>
                <w:szCs w:val="20"/>
                <w:color w:val="auto"/>
              </w:rPr>
            </w:pPr>
            <w:r>
              <w:rPr>
                <w:rFonts w:ascii="Arial" w:cs="Arial" w:eastAsia="Arial" w:hAnsi="Arial"/>
                <w:sz w:val="18"/>
                <w:szCs w:val="18"/>
                <w:color w:val="auto"/>
              </w:rPr>
              <w:t>Section 14.03 and Section 14.04(h) of the Indenture.</w:t>
            </w:r>
          </w:p>
        </w:tc>
      </w:tr>
      <w:tr>
        <w:trPr>
          <w:trHeight w:val="351"/>
        </w:trPr>
        <w:tc>
          <w:tcPr>
            <w:tcW w:w="2860" w:type="dxa"/>
            <w:vAlign w:val="bottom"/>
            <w:gridSpan w:val="3"/>
          </w:tcPr>
          <w:p>
            <w:pPr>
              <w:jc w:val="right"/>
              <w:ind w:right="420"/>
              <w:spacing w:after="0"/>
              <w:rPr>
                <w:sz w:val="20"/>
                <w:szCs w:val="20"/>
                <w:color w:val="auto"/>
              </w:rPr>
            </w:pPr>
            <w:r>
              <w:rPr>
                <w:rFonts w:ascii="Arial" w:cs="Arial" w:eastAsia="Arial" w:hAnsi="Arial"/>
                <w:sz w:val="18"/>
                <w:szCs w:val="18"/>
                <w:i w:val="1"/>
                <w:iCs w:val="1"/>
                <w:color w:val="auto"/>
              </w:rPr>
              <w:t>Procedures for Exercise</w:t>
            </w:r>
            <w:r>
              <w:rPr>
                <w:rFonts w:ascii="Arial" w:cs="Arial" w:eastAsia="Arial" w:hAnsi="Arial"/>
                <w:sz w:val="18"/>
                <w:szCs w:val="18"/>
                <w:color w:val="auto"/>
              </w:rPr>
              <w:t>.</w:t>
            </w:r>
          </w:p>
        </w:tc>
        <w:tc>
          <w:tcPr>
            <w:tcW w:w="8560" w:type="dxa"/>
            <w:vAlign w:val="bottom"/>
          </w:tcPr>
          <w:p>
            <w:pPr>
              <w:spacing w:after="0"/>
              <w:rPr>
                <w:sz w:val="24"/>
                <w:szCs w:val="24"/>
                <w:color w:val="auto"/>
              </w:rPr>
            </w:pPr>
          </w:p>
        </w:tc>
      </w:tr>
      <w:tr>
        <w:trPr>
          <w:trHeight w:val="398"/>
        </w:trPr>
        <w:tc>
          <w:tcPr>
            <w:tcW w:w="660" w:type="dxa"/>
            <w:vAlign w:val="bottom"/>
          </w:tcPr>
          <w:p>
            <w:pPr>
              <w:spacing w:after="0"/>
              <w:rPr>
                <w:sz w:val="24"/>
                <w:szCs w:val="24"/>
                <w:color w:val="auto"/>
              </w:rPr>
            </w:pPr>
          </w:p>
        </w:tc>
        <w:tc>
          <w:tcPr>
            <w:tcW w:w="172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99"/>
              </w:rPr>
              <w:t>Conversion Date:</w:t>
            </w:r>
          </w:p>
        </w:tc>
        <w:tc>
          <w:tcPr>
            <w:tcW w:w="480" w:type="dxa"/>
            <w:vAlign w:val="bottom"/>
          </w:tcPr>
          <w:p>
            <w:pPr>
              <w:spacing w:after="0"/>
              <w:rPr>
                <w:sz w:val="24"/>
                <w:szCs w:val="24"/>
                <w:color w:val="auto"/>
              </w:rPr>
            </w:pPr>
          </w:p>
        </w:tc>
        <w:tc>
          <w:tcPr>
            <w:tcW w:w="8560" w:type="dxa"/>
            <w:vAlign w:val="bottom"/>
          </w:tcPr>
          <w:p>
            <w:pPr>
              <w:ind w:left="1360"/>
              <w:spacing w:after="0"/>
              <w:rPr>
                <w:sz w:val="20"/>
                <w:szCs w:val="20"/>
                <w:color w:val="auto"/>
              </w:rPr>
            </w:pPr>
            <w:r>
              <w:rPr>
                <w:rFonts w:ascii="Arial" w:cs="Arial" w:eastAsia="Arial" w:hAnsi="Arial"/>
                <w:sz w:val="18"/>
                <w:szCs w:val="18"/>
                <w:color w:val="auto"/>
                <w:w w:val="91"/>
              </w:rPr>
              <w:t>With respect to any conversion of a Convertible Note, the date on which the “Holder” (as such term</w:t>
            </w:r>
          </w:p>
        </w:tc>
      </w:tr>
      <w:tr>
        <w:trPr>
          <w:trHeight w:val="216"/>
        </w:trPr>
        <w:tc>
          <w:tcPr>
            <w:tcW w:w="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560" w:type="dxa"/>
            <w:vAlign w:val="bottom"/>
          </w:tcPr>
          <w:p>
            <w:pPr>
              <w:ind w:left="1360"/>
              <w:spacing w:after="0"/>
              <w:rPr>
                <w:sz w:val="20"/>
                <w:szCs w:val="20"/>
                <w:color w:val="auto"/>
              </w:rPr>
            </w:pPr>
            <w:r>
              <w:rPr>
                <w:rFonts w:ascii="Arial" w:cs="Arial" w:eastAsia="Arial" w:hAnsi="Arial"/>
                <w:sz w:val="18"/>
                <w:szCs w:val="18"/>
                <w:color w:val="auto"/>
                <w:w w:val="91"/>
              </w:rPr>
              <w:t>is defined in the Indenture) of such Convertible Note satisfies all of the requirements for conversion</w:t>
            </w:r>
          </w:p>
        </w:tc>
      </w:tr>
      <w:tr>
        <w:trPr>
          <w:trHeight w:val="216"/>
        </w:trPr>
        <w:tc>
          <w:tcPr>
            <w:tcW w:w="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560" w:type="dxa"/>
            <w:vAlign w:val="bottom"/>
          </w:tcPr>
          <w:p>
            <w:pPr>
              <w:ind w:left="1360"/>
              <w:spacing w:after="0"/>
              <w:rPr>
                <w:sz w:val="20"/>
                <w:szCs w:val="20"/>
                <w:color w:val="auto"/>
              </w:rPr>
            </w:pPr>
            <w:r>
              <w:rPr>
                <w:rFonts w:ascii="Arial" w:cs="Arial" w:eastAsia="Arial" w:hAnsi="Arial"/>
                <w:sz w:val="18"/>
                <w:szCs w:val="18"/>
                <w:color w:val="auto"/>
                <w:w w:val="97"/>
              </w:rPr>
              <w:t xml:space="preserve">thereof as set forth in Section 14.02(b) of the Indenture; </w:t>
            </w:r>
            <w:r>
              <w:rPr>
                <w:rFonts w:ascii="Arial" w:cs="Arial" w:eastAsia="Arial" w:hAnsi="Arial"/>
                <w:sz w:val="18"/>
                <w:szCs w:val="18"/>
                <w:i w:val="1"/>
                <w:iCs w:val="1"/>
                <w:color w:val="auto"/>
                <w:w w:val="97"/>
              </w:rPr>
              <w:t>provided</w:t>
            </w:r>
            <w:r>
              <w:rPr>
                <w:rFonts w:ascii="Arial" w:cs="Arial" w:eastAsia="Arial" w:hAnsi="Arial"/>
                <w:sz w:val="18"/>
                <w:szCs w:val="18"/>
                <w:color w:val="auto"/>
                <w:w w:val="97"/>
              </w:rPr>
              <w:t xml:space="preserve"> that if Counterparty has not</w:t>
            </w:r>
          </w:p>
        </w:tc>
      </w:tr>
      <w:tr>
        <w:trPr>
          <w:trHeight w:val="216"/>
        </w:trPr>
        <w:tc>
          <w:tcPr>
            <w:tcW w:w="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560" w:type="dxa"/>
            <w:vAlign w:val="bottom"/>
          </w:tcPr>
          <w:p>
            <w:pPr>
              <w:ind w:left="1360"/>
              <w:spacing w:after="0"/>
              <w:rPr>
                <w:sz w:val="20"/>
                <w:szCs w:val="20"/>
                <w:color w:val="auto"/>
              </w:rPr>
            </w:pPr>
            <w:r>
              <w:rPr>
                <w:rFonts w:ascii="Arial" w:cs="Arial" w:eastAsia="Arial" w:hAnsi="Arial"/>
                <w:sz w:val="18"/>
                <w:szCs w:val="18"/>
                <w:color w:val="auto"/>
                <w:w w:val="97"/>
              </w:rPr>
              <w:t>delivered to Dealer a related Notice of Exercise, then in no event shall a Conversion Date be</w:t>
            </w:r>
          </w:p>
        </w:tc>
      </w:tr>
      <w:tr>
        <w:trPr>
          <w:trHeight w:val="216"/>
        </w:trPr>
        <w:tc>
          <w:tcPr>
            <w:tcW w:w="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560" w:type="dxa"/>
            <w:vAlign w:val="bottom"/>
          </w:tcPr>
          <w:p>
            <w:pPr>
              <w:ind w:left="1360"/>
              <w:spacing w:after="0"/>
              <w:rPr>
                <w:sz w:val="20"/>
                <w:szCs w:val="20"/>
                <w:color w:val="auto"/>
              </w:rPr>
            </w:pPr>
            <w:r>
              <w:rPr>
                <w:rFonts w:ascii="Arial" w:cs="Arial" w:eastAsia="Arial" w:hAnsi="Arial"/>
                <w:sz w:val="18"/>
                <w:szCs w:val="18"/>
                <w:color w:val="auto"/>
                <w:w w:val="89"/>
              </w:rPr>
              <w:t>deemed to occur hereunder (and no Option shall be exercised or deemed to be exercised hereunder)</w:t>
            </w:r>
          </w:p>
        </w:tc>
      </w:tr>
      <w:tr>
        <w:trPr>
          <w:trHeight w:val="216"/>
        </w:trPr>
        <w:tc>
          <w:tcPr>
            <w:tcW w:w="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560" w:type="dxa"/>
            <w:vAlign w:val="bottom"/>
          </w:tcPr>
          <w:p>
            <w:pPr>
              <w:ind w:left="1360"/>
              <w:spacing w:after="0"/>
              <w:rPr>
                <w:sz w:val="20"/>
                <w:szCs w:val="20"/>
                <w:color w:val="auto"/>
              </w:rPr>
            </w:pPr>
            <w:r>
              <w:rPr>
                <w:rFonts w:ascii="Arial" w:cs="Arial" w:eastAsia="Arial" w:hAnsi="Arial"/>
                <w:sz w:val="18"/>
                <w:szCs w:val="18"/>
                <w:color w:val="auto"/>
              </w:rPr>
              <w:t>with respect to any surrender of a Convertible Note for conversion in respect of which</w:t>
            </w:r>
          </w:p>
        </w:tc>
      </w:tr>
      <w:tr>
        <w:trPr>
          <w:trHeight w:val="216"/>
        </w:trPr>
        <w:tc>
          <w:tcPr>
            <w:tcW w:w="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560" w:type="dxa"/>
            <w:vAlign w:val="bottom"/>
          </w:tcPr>
          <w:p>
            <w:pPr>
              <w:ind w:left="1360"/>
              <w:spacing w:after="0"/>
              <w:rPr>
                <w:sz w:val="20"/>
                <w:szCs w:val="20"/>
                <w:color w:val="auto"/>
              </w:rPr>
            </w:pPr>
            <w:r>
              <w:rPr>
                <w:rFonts w:ascii="Arial" w:cs="Arial" w:eastAsia="Arial" w:hAnsi="Arial"/>
                <w:sz w:val="18"/>
                <w:szCs w:val="18"/>
                <w:color w:val="auto"/>
                <w:w w:val="93"/>
              </w:rPr>
              <w:t>Counterparty has elected to designate a financial institution for exchange in lieu of conversion of</w:t>
            </w:r>
          </w:p>
        </w:tc>
      </w:tr>
      <w:tr>
        <w:trPr>
          <w:trHeight w:val="230"/>
        </w:trPr>
        <w:tc>
          <w:tcPr>
            <w:tcW w:w="6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560" w:type="dxa"/>
            <w:vAlign w:val="bottom"/>
          </w:tcPr>
          <w:p>
            <w:pPr>
              <w:ind w:left="1360"/>
              <w:spacing w:after="0"/>
              <w:rPr>
                <w:sz w:val="20"/>
                <w:szCs w:val="20"/>
                <w:color w:val="auto"/>
              </w:rPr>
            </w:pPr>
            <w:r>
              <w:rPr>
                <w:rFonts w:ascii="Arial" w:cs="Arial" w:eastAsia="Arial" w:hAnsi="Arial"/>
                <w:sz w:val="18"/>
                <w:szCs w:val="18"/>
                <w:color w:val="auto"/>
              </w:rPr>
              <w:t>such Convertible Note pursuant to Section 14.02(j) of the Indenture.</w:t>
            </w:r>
          </w:p>
        </w:tc>
      </w:tr>
      <w:tr>
        <w:trPr>
          <w:trHeight w:val="392"/>
        </w:trPr>
        <w:tc>
          <w:tcPr>
            <w:tcW w:w="660" w:type="dxa"/>
            <w:vAlign w:val="bottom"/>
          </w:tcPr>
          <w:p>
            <w:pPr>
              <w:spacing w:after="0"/>
              <w:rPr>
                <w:sz w:val="24"/>
                <w:szCs w:val="24"/>
                <w:color w:val="auto"/>
              </w:rPr>
            </w:pPr>
          </w:p>
        </w:tc>
        <w:tc>
          <w:tcPr>
            <w:tcW w:w="2200" w:type="dxa"/>
            <w:vAlign w:val="bottom"/>
            <w:gridSpan w:val="2"/>
          </w:tcPr>
          <w:p>
            <w:pPr>
              <w:ind w:left="320"/>
              <w:spacing w:after="0"/>
              <w:rPr>
                <w:sz w:val="20"/>
                <w:szCs w:val="20"/>
                <w:color w:val="auto"/>
              </w:rPr>
            </w:pPr>
            <w:r>
              <w:rPr>
                <w:rFonts w:ascii="Arial" w:cs="Arial" w:eastAsia="Arial" w:hAnsi="Arial"/>
                <w:sz w:val="18"/>
                <w:szCs w:val="18"/>
                <w:color w:val="auto"/>
                <w:w w:val="96"/>
              </w:rPr>
              <w:t>Free Convertibility Date:</w:t>
            </w:r>
          </w:p>
        </w:tc>
        <w:tc>
          <w:tcPr>
            <w:tcW w:w="8560" w:type="dxa"/>
            <w:vAlign w:val="bottom"/>
          </w:tcPr>
          <w:p>
            <w:pPr>
              <w:ind w:left="1360"/>
              <w:spacing w:after="0"/>
              <w:rPr>
                <w:sz w:val="20"/>
                <w:szCs w:val="20"/>
                <w:color w:val="auto"/>
              </w:rPr>
            </w:pPr>
            <w:r>
              <w:rPr>
                <w:rFonts w:ascii="Arial" w:cs="Arial" w:eastAsia="Arial" w:hAnsi="Arial"/>
                <w:sz w:val="18"/>
                <w:szCs w:val="18"/>
                <w:color w:val="auto"/>
              </w:rPr>
              <w:t>June 15, 2022</w:t>
            </w:r>
          </w:p>
        </w:tc>
      </w:tr>
      <w:tr>
        <w:trPr>
          <w:trHeight w:val="392"/>
        </w:trPr>
        <w:tc>
          <w:tcPr>
            <w:tcW w:w="660" w:type="dxa"/>
            <w:vAlign w:val="bottom"/>
          </w:tcPr>
          <w:p>
            <w:pPr>
              <w:spacing w:after="0"/>
              <w:rPr>
                <w:sz w:val="24"/>
                <w:szCs w:val="24"/>
                <w:color w:val="auto"/>
              </w:rPr>
            </w:pPr>
          </w:p>
        </w:tc>
        <w:tc>
          <w:tcPr>
            <w:tcW w:w="2200" w:type="dxa"/>
            <w:vAlign w:val="bottom"/>
            <w:gridSpan w:val="2"/>
          </w:tcPr>
          <w:p>
            <w:pPr>
              <w:ind w:left="320"/>
              <w:spacing w:after="0"/>
              <w:rPr>
                <w:sz w:val="20"/>
                <w:szCs w:val="20"/>
                <w:color w:val="auto"/>
              </w:rPr>
            </w:pPr>
            <w:r>
              <w:rPr>
                <w:rFonts w:ascii="Arial" w:cs="Arial" w:eastAsia="Arial" w:hAnsi="Arial"/>
                <w:sz w:val="18"/>
                <w:szCs w:val="18"/>
                <w:color w:val="auto"/>
              </w:rPr>
              <w:t>Expiration Time:</w:t>
            </w:r>
          </w:p>
        </w:tc>
        <w:tc>
          <w:tcPr>
            <w:tcW w:w="8560" w:type="dxa"/>
            <w:vAlign w:val="bottom"/>
          </w:tcPr>
          <w:p>
            <w:pPr>
              <w:ind w:left="1360"/>
              <w:spacing w:after="0"/>
              <w:rPr>
                <w:sz w:val="20"/>
                <w:szCs w:val="20"/>
                <w:color w:val="auto"/>
              </w:rPr>
            </w:pPr>
            <w:r>
              <w:rPr>
                <w:rFonts w:ascii="Arial" w:cs="Arial" w:eastAsia="Arial" w:hAnsi="Arial"/>
                <w:sz w:val="18"/>
                <w:szCs w:val="18"/>
                <w:color w:val="auto"/>
              </w:rPr>
              <w:t>The Valuation Time</w:t>
            </w:r>
          </w:p>
        </w:tc>
      </w:tr>
      <w:tr>
        <w:trPr>
          <w:trHeight w:val="392"/>
        </w:trPr>
        <w:tc>
          <w:tcPr>
            <w:tcW w:w="660" w:type="dxa"/>
            <w:vAlign w:val="bottom"/>
          </w:tcPr>
          <w:p>
            <w:pPr>
              <w:spacing w:after="0"/>
              <w:rPr>
                <w:sz w:val="24"/>
                <w:szCs w:val="24"/>
                <w:color w:val="auto"/>
              </w:rPr>
            </w:pPr>
          </w:p>
        </w:tc>
        <w:tc>
          <w:tcPr>
            <w:tcW w:w="2200" w:type="dxa"/>
            <w:vAlign w:val="bottom"/>
            <w:gridSpan w:val="2"/>
          </w:tcPr>
          <w:p>
            <w:pPr>
              <w:ind w:left="320"/>
              <w:spacing w:after="0"/>
              <w:rPr>
                <w:sz w:val="20"/>
                <w:szCs w:val="20"/>
                <w:color w:val="auto"/>
              </w:rPr>
            </w:pPr>
            <w:r>
              <w:rPr>
                <w:rFonts w:ascii="Arial" w:cs="Arial" w:eastAsia="Arial" w:hAnsi="Arial"/>
                <w:sz w:val="18"/>
                <w:szCs w:val="18"/>
                <w:color w:val="auto"/>
              </w:rPr>
              <w:t>Expiration Date:</w:t>
            </w:r>
          </w:p>
        </w:tc>
        <w:tc>
          <w:tcPr>
            <w:tcW w:w="8560" w:type="dxa"/>
            <w:vAlign w:val="bottom"/>
          </w:tcPr>
          <w:p>
            <w:pPr>
              <w:ind w:left="1360"/>
              <w:spacing w:after="0"/>
              <w:rPr>
                <w:sz w:val="20"/>
                <w:szCs w:val="20"/>
                <w:color w:val="auto"/>
              </w:rPr>
            </w:pPr>
            <w:r>
              <w:rPr>
                <w:rFonts w:ascii="Arial" w:cs="Arial" w:eastAsia="Arial" w:hAnsi="Arial"/>
                <w:sz w:val="18"/>
                <w:szCs w:val="18"/>
                <w:color w:val="auto"/>
              </w:rPr>
              <w:t>September 15, 2022, subject to earlier exercise.</w:t>
            </w:r>
          </w:p>
        </w:tc>
      </w:tr>
      <w:tr>
        <w:trPr>
          <w:trHeight w:val="392"/>
        </w:trPr>
        <w:tc>
          <w:tcPr>
            <w:tcW w:w="660" w:type="dxa"/>
            <w:vAlign w:val="bottom"/>
          </w:tcPr>
          <w:p>
            <w:pPr>
              <w:spacing w:after="0"/>
              <w:rPr>
                <w:sz w:val="24"/>
                <w:szCs w:val="24"/>
                <w:color w:val="auto"/>
              </w:rPr>
            </w:pPr>
          </w:p>
        </w:tc>
        <w:tc>
          <w:tcPr>
            <w:tcW w:w="2200" w:type="dxa"/>
            <w:vAlign w:val="bottom"/>
            <w:gridSpan w:val="2"/>
          </w:tcPr>
          <w:p>
            <w:pPr>
              <w:ind w:left="320"/>
              <w:spacing w:after="0"/>
              <w:rPr>
                <w:sz w:val="20"/>
                <w:szCs w:val="20"/>
                <w:color w:val="auto"/>
              </w:rPr>
            </w:pPr>
            <w:r>
              <w:rPr>
                <w:rFonts w:ascii="Arial" w:cs="Arial" w:eastAsia="Arial" w:hAnsi="Arial"/>
                <w:sz w:val="18"/>
                <w:szCs w:val="18"/>
                <w:color w:val="auto"/>
              </w:rPr>
              <w:t>Multiple Exercise:</w:t>
            </w:r>
          </w:p>
        </w:tc>
        <w:tc>
          <w:tcPr>
            <w:tcW w:w="8560" w:type="dxa"/>
            <w:vAlign w:val="bottom"/>
          </w:tcPr>
          <w:p>
            <w:pPr>
              <w:ind w:left="1360"/>
              <w:spacing w:after="0"/>
              <w:rPr>
                <w:sz w:val="20"/>
                <w:szCs w:val="20"/>
                <w:color w:val="auto"/>
              </w:rPr>
            </w:pPr>
            <w:r>
              <w:rPr>
                <w:rFonts w:ascii="Arial" w:cs="Arial" w:eastAsia="Arial" w:hAnsi="Arial"/>
                <w:sz w:val="18"/>
                <w:szCs w:val="18"/>
                <w:color w:val="auto"/>
              </w:rPr>
              <w:t>Applicable, as described under “Automatic Exercise” below.</w:t>
            </w:r>
          </w:p>
        </w:tc>
      </w:tr>
      <w:tr>
        <w:trPr>
          <w:trHeight w:val="377"/>
        </w:trPr>
        <w:tc>
          <w:tcPr>
            <w:tcW w:w="660" w:type="dxa"/>
            <w:vAlign w:val="bottom"/>
          </w:tcPr>
          <w:p>
            <w:pPr>
              <w:spacing w:after="0"/>
              <w:rPr>
                <w:sz w:val="24"/>
                <w:szCs w:val="24"/>
                <w:color w:val="auto"/>
              </w:rPr>
            </w:pPr>
          </w:p>
        </w:tc>
        <w:tc>
          <w:tcPr>
            <w:tcW w:w="2200" w:type="dxa"/>
            <w:vAlign w:val="bottom"/>
            <w:gridSpan w:val="2"/>
          </w:tcPr>
          <w:p>
            <w:pPr>
              <w:ind w:left="320"/>
              <w:spacing w:after="0"/>
              <w:rPr>
                <w:sz w:val="20"/>
                <w:szCs w:val="20"/>
                <w:color w:val="auto"/>
              </w:rPr>
            </w:pPr>
            <w:r>
              <w:rPr>
                <w:rFonts w:ascii="Arial" w:cs="Arial" w:eastAsia="Arial" w:hAnsi="Arial"/>
                <w:sz w:val="18"/>
                <w:szCs w:val="18"/>
                <w:color w:val="auto"/>
              </w:rPr>
              <w:t>Automatic Exercise:</w:t>
            </w:r>
          </w:p>
        </w:tc>
        <w:tc>
          <w:tcPr>
            <w:tcW w:w="8560" w:type="dxa"/>
            <w:vAlign w:val="bottom"/>
          </w:tcPr>
          <w:p>
            <w:pPr>
              <w:ind w:left="1360"/>
              <w:spacing w:after="0"/>
              <w:rPr>
                <w:sz w:val="20"/>
                <w:szCs w:val="20"/>
                <w:color w:val="auto"/>
              </w:rPr>
            </w:pPr>
            <w:r>
              <w:rPr>
                <w:rFonts w:ascii="Arial" w:cs="Arial" w:eastAsia="Arial" w:hAnsi="Arial"/>
                <w:sz w:val="18"/>
                <w:szCs w:val="18"/>
                <w:color w:val="auto"/>
                <w:w w:val="97"/>
              </w:rPr>
              <w:t>Notwithstanding Section 3.4 of the Equity Definitions, on each Conversion Date, a number of</w:t>
            </w:r>
          </w:p>
        </w:tc>
      </w:tr>
      <w:tr>
        <w:trPr>
          <w:trHeight w:val="216"/>
        </w:trPr>
        <w:tc>
          <w:tcPr>
            <w:tcW w:w="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560" w:type="dxa"/>
            <w:vAlign w:val="bottom"/>
          </w:tcPr>
          <w:p>
            <w:pPr>
              <w:ind w:left="1360"/>
              <w:spacing w:after="0"/>
              <w:rPr>
                <w:sz w:val="20"/>
                <w:szCs w:val="20"/>
                <w:color w:val="auto"/>
              </w:rPr>
            </w:pPr>
            <w:r>
              <w:rPr>
                <w:rFonts w:ascii="Arial" w:cs="Arial" w:eastAsia="Arial" w:hAnsi="Arial"/>
                <w:sz w:val="18"/>
                <w:szCs w:val="18"/>
                <w:color w:val="auto"/>
                <w:w w:val="92"/>
              </w:rPr>
              <w:t>Options equal to [(i)] the number of Convertible Notes in denominations of USD 1,000 as to which</w:t>
            </w:r>
          </w:p>
        </w:tc>
      </w:tr>
      <w:tr>
        <w:trPr>
          <w:trHeight w:val="216"/>
        </w:trPr>
        <w:tc>
          <w:tcPr>
            <w:tcW w:w="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560" w:type="dxa"/>
            <w:vAlign w:val="bottom"/>
          </w:tcPr>
          <w:p>
            <w:pPr>
              <w:ind w:left="1360"/>
              <w:spacing w:after="0"/>
              <w:rPr>
                <w:sz w:val="20"/>
                <w:szCs w:val="20"/>
                <w:color w:val="auto"/>
              </w:rPr>
            </w:pPr>
            <w:r>
              <w:rPr>
                <w:rFonts w:ascii="Arial" w:cs="Arial" w:eastAsia="Arial" w:hAnsi="Arial"/>
                <w:sz w:val="18"/>
                <w:szCs w:val="18"/>
                <w:color w:val="auto"/>
                <w:w w:val="91"/>
              </w:rPr>
              <w:t>such Conversion Date has occurred [</w:t>
            </w:r>
            <w:r>
              <w:rPr>
                <w:rFonts w:ascii="Arial" w:cs="Arial" w:eastAsia="Arial" w:hAnsi="Arial"/>
                <w:sz w:val="18"/>
                <w:szCs w:val="18"/>
                <w:i w:val="1"/>
                <w:iCs w:val="1"/>
                <w:color w:val="auto"/>
                <w:w w:val="91"/>
              </w:rPr>
              <w:t>minus</w:t>
            </w:r>
            <w:r>
              <w:rPr>
                <w:rFonts w:ascii="Arial" w:cs="Arial" w:eastAsia="Arial" w:hAnsi="Arial"/>
                <w:sz w:val="18"/>
                <w:szCs w:val="18"/>
                <w:color w:val="auto"/>
                <w:w w:val="91"/>
              </w:rPr>
              <w:t xml:space="preserve"> (ii) the number of Options that are or are deemed to be</w:t>
            </w:r>
          </w:p>
        </w:tc>
      </w:tr>
      <w:tr>
        <w:trPr>
          <w:trHeight w:val="216"/>
        </w:trPr>
        <w:tc>
          <w:tcPr>
            <w:tcW w:w="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560" w:type="dxa"/>
            <w:vAlign w:val="bottom"/>
          </w:tcPr>
          <w:p>
            <w:pPr>
              <w:ind w:left="1360"/>
              <w:spacing w:after="0"/>
              <w:rPr>
                <w:sz w:val="20"/>
                <w:szCs w:val="20"/>
                <w:color w:val="auto"/>
              </w:rPr>
            </w:pPr>
            <w:r>
              <w:rPr>
                <w:rFonts w:ascii="Arial" w:cs="Arial" w:eastAsia="Arial" w:hAnsi="Arial"/>
                <w:sz w:val="18"/>
                <w:szCs w:val="18"/>
                <w:color w:val="auto"/>
              </w:rPr>
              <w:t>automatically exercised on such Conversion Date under the Base Call Option Transaction</w:t>
            </w:r>
          </w:p>
        </w:tc>
      </w:tr>
      <w:tr>
        <w:trPr>
          <w:trHeight w:val="212"/>
        </w:trPr>
        <w:tc>
          <w:tcPr>
            <w:tcW w:w="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560" w:type="dxa"/>
            <w:vAlign w:val="bottom"/>
          </w:tcPr>
          <w:p>
            <w:pPr>
              <w:ind w:left="1360"/>
              <w:spacing w:after="0"/>
              <w:rPr>
                <w:sz w:val="20"/>
                <w:szCs w:val="20"/>
                <w:color w:val="auto"/>
              </w:rPr>
            </w:pPr>
            <w:r>
              <w:rPr>
                <w:rFonts w:ascii="Arial" w:cs="Arial" w:eastAsia="Arial" w:hAnsi="Arial"/>
                <w:sz w:val="18"/>
                <w:szCs w:val="18"/>
                <w:color w:val="auto"/>
                <w:w w:val="92"/>
              </w:rPr>
              <w:t>Confirmation letter agreement dated September [__], 2017 between Dealer and Counterparty (the</w:t>
            </w:r>
          </w:p>
        </w:tc>
      </w:tr>
      <w:tr>
        <w:trPr>
          <w:trHeight w:val="220"/>
        </w:trPr>
        <w:tc>
          <w:tcPr>
            <w:tcW w:w="6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560" w:type="dxa"/>
            <w:vAlign w:val="bottom"/>
          </w:tcPr>
          <w:p>
            <w:pPr>
              <w:ind w:left="1360"/>
              <w:spacing w:after="0" w:line="220" w:lineRule="exact"/>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Base Call Option Confirmation</w:t>
            </w:r>
            <w:r>
              <w:rPr>
                <w:rFonts w:ascii="Arial" w:cs="Arial" w:eastAsia="Arial" w:hAnsi="Arial"/>
                <w:sz w:val="18"/>
                <w:szCs w:val="18"/>
                <w:color w:val="auto"/>
                <w:w w:val="94"/>
              </w:rPr>
              <w:t>”),]</w:t>
            </w:r>
            <w:r>
              <w:rPr>
                <w:rFonts w:ascii="Arial" w:cs="Arial" w:eastAsia="Arial" w:hAnsi="Arial"/>
                <w:sz w:val="25"/>
                <w:szCs w:val="25"/>
                <w:color w:val="auto"/>
                <w:w w:val="94"/>
                <w:vertAlign w:val="superscript"/>
              </w:rPr>
              <w:t>11</w:t>
            </w:r>
            <w:r>
              <w:rPr>
                <w:rFonts w:ascii="Arial" w:cs="Arial" w:eastAsia="Arial" w:hAnsi="Arial"/>
                <w:sz w:val="18"/>
                <w:szCs w:val="18"/>
                <w:color w:val="auto"/>
                <w:w w:val="94"/>
              </w:rPr>
              <w:t xml:space="preserve"> shall be deemed to be automatically exercised; </w:t>
            </w:r>
            <w:r>
              <w:rPr>
                <w:rFonts w:ascii="Arial" w:cs="Arial" w:eastAsia="Arial" w:hAnsi="Arial"/>
                <w:sz w:val="18"/>
                <w:szCs w:val="18"/>
                <w:i w:val="1"/>
                <w:iCs w:val="1"/>
                <w:color w:val="auto"/>
                <w:w w:val="94"/>
              </w:rPr>
              <w:t>provided</w:t>
            </w:r>
          </w:p>
        </w:tc>
      </w:tr>
      <w:tr>
        <w:trPr>
          <w:trHeight w:val="216"/>
        </w:trPr>
        <w:tc>
          <w:tcPr>
            <w:tcW w:w="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560" w:type="dxa"/>
            <w:vAlign w:val="bottom"/>
          </w:tcPr>
          <w:p>
            <w:pPr>
              <w:ind w:left="1360"/>
              <w:spacing w:after="0"/>
              <w:rPr>
                <w:sz w:val="20"/>
                <w:szCs w:val="20"/>
                <w:color w:val="auto"/>
              </w:rPr>
            </w:pPr>
            <w:r>
              <w:rPr>
                <w:rFonts w:ascii="Arial" w:cs="Arial" w:eastAsia="Arial" w:hAnsi="Arial"/>
                <w:sz w:val="18"/>
                <w:szCs w:val="18"/>
                <w:color w:val="auto"/>
                <w:w w:val="96"/>
              </w:rPr>
              <w:t>that such Options shall be exercised or deemed exercised only if Counterparty has provided a</w:t>
            </w:r>
          </w:p>
        </w:tc>
      </w:tr>
      <w:tr>
        <w:trPr>
          <w:trHeight w:val="230"/>
        </w:trPr>
        <w:tc>
          <w:tcPr>
            <w:tcW w:w="6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560" w:type="dxa"/>
            <w:vAlign w:val="bottom"/>
          </w:tcPr>
          <w:p>
            <w:pPr>
              <w:ind w:left="1360"/>
              <w:spacing w:after="0"/>
              <w:rPr>
                <w:sz w:val="20"/>
                <w:szCs w:val="20"/>
                <w:color w:val="auto"/>
              </w:rPr>
            </w:pPr>
            <w:r>
              <w:rPr>
                <w:rFonts w:ascii="Arial" w:cs="Arial" w:eastAsia="Arial" w:hAnsi="Arial"/>
                <w:sz w:val="18"/>
                <w:szCs w:val="18"/>
                <w:color w:val="auto"/>
              </w:rPr>
              <w:t>Notice of Exercise to Dealer in accordance with “Notice of Exercise” below.</w:t>
            </w:r>
          </w:p>
        </w:tc>
      </w:tr>
      <w:tr>
        <w:trPr>
          <w:trHeight w:val="377"/>
        </w:trPr>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60" w:type="dxa"/>
            <w:vAlign w:val="bottom"/>
          </w:tcPr>
          <w:p>
            <w:pPr>
              <w:ind w:left="1360"/>
              <w:spacing w:after="0"/>
              <w:rPr>
                <w:sz w:val="20"/>
                <w:szCs w:val="20"/>
                <w:color w:val="auto"/>
              </w:rPr>
            </w:pPr>
            <w:r>
              <w:rPr>
                <w:rFonts w:ascii="Arial" w:cs="Arial" w:eastAsia="Arial" w:hAnsi="Arial"/>
                <w:sz w:val="18"/>
                <w:szCs w:val="18"/>
                <w:color w:val="auto"/>
                <w:w w:val="98"/>
              </w:rPr>
              <w:t>Notwithstanding the foregoing, in no event shall the number of Options that are exercised or</w:t>
            </w:r>
          </w:p>
        </w:tc>
      </w:tr>
      <w:tr>
        <w:trPr>
          <w:trHeight w:val="230"/>
        </w:trPr>
        <w:tc>
          <w:tcPr>
            <w:tcW w:w="6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560" w:type="dxa"/>
            <w:vAlign w:val="bottom"/>
          </w:tcPr>
          <w:p>
            <w:pPr>
              <w:ind w:left="1360"/>
              <w:spacing w:after="0"/>
              <w:rPr>
                <w:sz w:val="20"/>
                <w:szCs w:val="20"/>
                <w:color w:val="auto"/>
              </w:rPr>
            </w:pPr>
            <w:r>
              <w:rPr>
                <w:rFonts w:ascii="Arial" w:cs="Arial" w:eastAsia="Arial" w:hAnsi="Arial"/>
                <w:sz w:val="18"/>
                <w:szCs w:val="18"/>
                <w:color w:val="auto"/>
              </w:rPr>
              <w:t>deemed exercised hereunder exceed the Number of Options.</w:t>
            </w:r>
          </w:p>
        </w:tc>
      </w:tr>
      <w:tr>
        <w:trPr>
          <w:trHeight w:val="377"/>
        </w:trPr>
        <w:tc>
          <w:tcPr>
            <w:tcW w:w="660" w:type="dxa"/>
            <w:vAlign w:val="bottom"/>
          </w:tcPr>
          <w:p>
            <w:pPr>
              <w:spacing w:after="0"/>
              <w:rPr>
                <w:sz w:val="24"/>
                <w:szCs w:val="24"/>
                <w:color w:val="auto"/>
              </w:rPr>
            </w:pPr>
          </w:p>
        </w:tc>
        <w:tc>
          <w:tcPr>
            <w:tcW w:w="2200" w:type="dxa"/>
            <w:vAlign w:val="bottom"/>
            <w:gridSpan w:val="2"/>
          </w:tcPr>
          <w:p>
            <w:pPr>
              <w:ind w:left="320"/>
              <w:spacing w:after="0"/>
              <w:rPr>
                <w:sz w:val="20"/>
                <w:szCs w:val="20"/>
                <w:color w:val="auto"/>
              </w:rPr>
            </w:pPr>
            <w:r>
              <w:rPr>
                <w:rFonts w:ascii="Arial" w:cs="Arial" w:eastAsia="Arial" w:hAnsi="Arial"/>
                <w:sz w:val="18"/>
                <w:szCs w:val="18"/>
                <w:color w:val="auto"/>
              </w:rPr>
              <w:t>Notice of Exercise:</w:t>
            </w:r>
          </w:p>
        </w:tc>
        <w:tc>
          <w:tcPr>
            <w:tcW w:w="8560" w:type="dxa"/>
            <w:vAlign w:val="bottom"/>
          </w:tcPr>
          <w:p>
            <w:pPr>
              <w:ind w:left="1360"/>
              <w:spacing w:after="0"/>
              <w:rPr>
                <w:sz w:val="20"/>
                <w:szCs w:val="20"/>
                <w:color w:val="auto"/>
              </w:rPr>
            </w:pPr>
            <w:r>
              <w:rPr>
                <w:rFonts w:ascii="Arial" w:cs="Arial" w:eastAsia="Arial" w:hAnsi="Arial"/>
                <w:sz w:val="18"/>
                <w:szCs w:val="18"/>
                <w:color w:val="auto"/>
                <w:w w:val="94"/>
              </w:rPr>
              <w:t>Notwithstanding anything to the contrary in the Equity Definitions or under “Automatic Exercise”</w:t>
            </w:r>
          </w:p>
        </w:tc>
      </w:tr>
      <w:tr>
        <w:trPr>
          <w:trHeight w:val="216"/>
        </w:trPr>
        <w:tc>
          <w:tcPr>
            <w:tcW w:w="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560" w:type="dxa"/>
            <w:vAlign w:val="bottom"/>
          </w:tcPr>
          <w:p>
            <w:pPr>
              <w:ind w:left="1360"/>
              <w:spacing w:after="0"/>
              <w:rPr>
                <w:sz w:val="20"/>
                <w:szCs w:val="20"/>
                <w:color w:val="auto"/>
              </w:rPr>
            </w:pPr>
            <w:r>
              <w:rPr>
                <w:rFonts w:ascii="Arial" w:cs="Arial" w:eastAsia="Arial" w:hAnsi="Arial"/>
                <w:sz w:val="18"/>
                <w:szCs w:val="18"/>
                <w:color w:val="auto"/>
                <w:w w:val="95"/>
              </w:rPr>
              <w:t>above, in order to exercise any Options, Counterparty must notify Dealer in writing before 5:00</w:t>
            </w:r>
          </w:p>
        </w:tc>
      </w:tr>
      <w:tr>
        <w:trPr>
          <w:trHeight w:val="230"/>
        </w:trPr>
        <w:tc>
          <w:tcPr>
            <w:tcW w:w="6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560" w:type="dxa"/>
            <w:vAlign w:val="bottom"/>
          </w:tcPr>
          <w:p>
            <w:pPr>
              <w:ind w:left="1360"/>
              <w:spacing w:after="0"/>
              <w:rPr>
                <w:sz w:val="20"/>
                <w:szCs w:val="20"/>
                <w:color w:val="auto"/>
              </w:rPr>
            </w:pPr>
            <w:r>
              <w:rPr>
                <w:rFonts w:ascii="Arial" w:cs="Arial" w:eastAsia="Arial" w:hAnsi="Arial"/>
                <w:sz w:val="18"/>
                <w:szCs w:val="18"/>
                <w:color w:val="auto"/>
              </w:rPr>
              <w:t>p.m. (New York City time)</w:t>
            </w:r>
          </w:p>
        </w:tc>
      </w:tr>
      <w:tr>
        <w:trPr>
          <w:trHeight w:val="372"/>
        </w:trPr>
        <w:tc>
          <w:tcPr>
            <w:tcW w:w="2860" w:type="dxa"/>
            <w:vAlign w:val="bottom"/>
            <w:gridSpan w:val="3"/>
          </w:tcPr>
          <w:p>
            <w:pPr>
              <w:jc w:val="right"/>
              <w:ind w:right="340"/>
              <w:spacing w:after="0"/>
              <w:rPr>
                <w:sz w:val="20"/>
                <w:szCs w:val="20"/>
                <w:color w:val="auto"/>
              </w:rPr>
            </w:pPr>
            <w:r>
              <w:rPr>
                <w:rFonts w:ascii="Arial" w:cs="Arial" w:eastAsia="Arial" w:hAnsi="Arial"/>
                <w:sz w:val="16"/>
                <w:szCs w:val="16"/>
                <w:color w:val="auto"/>
                <w:w w:val="90"/>
              </w:rPr>
              <w:t>_______________________________</w:t>
            </w:r>
          </w:p>
        </w:tc>
        <w:tc>
          <w:tcPr>
            <w:tcW w:w="8560" w:type="dxa"/>
            <w:vAlign w:val="bottom"/>
          </w:tcPr>
          <w:p>
            <w:pPr>
              <w:spacing w:after="0"/>
              <w:rPr>
                <w:sz w:val="24"/>
                <w:szCs w:val="24"/>
                <w:color w:val="auto"/>
              </w:rPr>
            </w:pPr>
          </w:p>
        </w:tc>
      </w:tr>
    </w:tbl>
    <w:p>
      <w:pPr>
        <w:spacing w:after="0" w:line="25" w:lineRule="exact"/>
        <w:rPr>
          <w:sz w:val="20"/>
          <w:szCs w:val="20"/>
          <w:color w:val="auto"/>
        </w:rPr>
      </w:pPr>
    </w:p>
    <w:p>
      <w:pPr>
        <w:ind w:left="160" w:hanging="152"/>
        <w:spacing w:after="0"/>
        <w:tabs>
          <w:tab w:leader="none" w:pos="160" w:val="left"/>
        </w:tabs>
        <w:numPr>
          <w:ilvl w:val="0"/>
          <w:numId w:val="165"/>
        </w:numPr>
        <w:rPr>
          <w:rFonts w:ascii="Arial" w:cs="Arial" w:eastAsia="Arial" w:hAnsi="Arial"/>
          <w:sz w:val="19"/>
          <w:szCs w:val="19"/>
          <w:color w:val="auto"/>
          <w:vertAlign w:val="superscript"/>
        </w:rPr>
      </w:pPr>
      <w:r>
        <w:rPr>
          <w:rFonts w:ascii="Arial" w:cs="Arial" w:eastAsia="Arial" w:hAnsi="Arial"/>
          <w:sz w:val="15"/>
          <w:szCs w:val="15"/>
          <w:color w:val="auto"/>
        </w:rPr>
        <w:t>Include for Additional Call Option Confirmation only.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01" w:right="239" w:bottom="1440" w:gutter="0" w:footer="0" w:header="0"/>
        </w:sectPr>
      </w:pPr>
    </w:p>
    <w:bookmarkStart w:id="187" w:name="page188"/>
    <w:bookmarkEnd w:id="187"/>
    <w:p>
      <w:pPr>
        <w:jc w:val="both"/>
        <w:ind w:left="3240"/>
        <w:spacing w:after="0" w:line="284" w:lineRule="auto"/>
        <w:rPr>
          <w:sz w:val="20"/>
          <w:szCs w:val="20"/>
          <w:color w:val="auto"/>
        </w:rPr>
      </w:pPr>
      <w:r>
        <w:rPr>
          <w:rFonts w:ascii="Arial" w:cs="Arial" w:eastAsia="Arial" w:hAnsi="Arial"/>
          <w:sz w:val="16"/>
          <w:szCs w:val="16"/>
          <w:color w:val="auto"/>
        </w:rPr>
        <w:t>on the Scheduled Valid Day immediately preceding the scheduled first day of the Settlement Averaging Period for the Options being exercised (the “</w:t>
      </w:r>
      <w:r>
        <w:rPr>
          <w:rFonts w:ascii="Arial" w:cs="Arial" w:eastAsia="Arial" w:hAnsi="Arial"/>
          <w:sz w:val="16"/>
          <w:szCs w:val="16"/>
          <w:b w:val="1"/>
          <w:bCs w:val="1"/>
          <w:color w:val="auto"/>
        </w:rPr>
        <w:t>Exercise Notice Deadline</w:t>
      </w:r>
      <w:r>
        <w:rPr>
          <w:rFonts w:ascii="Arial" w:cs="Arial" w:eastAsia="Arial" w:hAnsi="Arial"/>
          <w:sz w:val="16"/>
          <w:szCs w:val="16"/>
          <w:color w:val="auto"/>
        </w:rPr>
        <w:t>”) of (i) the number of such Options, (ii) the scheduled first day of the Settlement Averaging Period and the scheduled Settlement Date, (iii) the Relevant Settlement Method for such Options, and (iv) if the Relevant Settlement Method for such Options is Combination Settlement, the fixed amount of cash per Convertible Note that Counterparty has elected to deliver to “Holders” (as such term is defined in the Indenture) of the related Convertible Notes (the “</w:t>
      </w:r>
      <w:r>
        <w:rPr>
          <w:rFonts w:ascii="Arial" w:cs="Arial" w:eastAsia="Arial" w:hAnsi="Arial"/>
          <w:sz w:val="16"/>
          <w:szCs w:val="16"/>
          <w:b w:val="1"/>
          <w:bCs w:val="1"/>
          <w:color w:val="auto"/>
        </w:rPr>
        <w:t>Specified Cash Amount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respect of any Options relating to Convertible Notes with a Conversion Date occurring on or after the Free Convertibility Date, (A) such notice may be given on or prior to the second Scheduled Valid Day immediately preceding the Expiration Date and need only specify the information required in clause (i) above, and (B) if the Relevant Settlement Method for such Options is not Net Share Settlement, Dealer shall have received a separate notice (the “</w:t>
      </w:r>
      <w:r>
        <w:rPr>
          <w:rFonts w:ascii="Arial" w:cs="Arial" w:eastAsia="Arial" w:hAnsi="Arial"/>
          <w:sz w:val="16"/>
          <w:szCs w:val="16"/>
          <w:b w:val="1"/>
          <w:bCs w:val="1"/>
          <w:color w:val="auto"/>
        </w:rPr>
        <w:t>Notice of Final Settlement</w:t>
      </w:r>
      <w:r>
        <w:rPr>
          <w:rFonts w:ascii="Arial" w:cs="Arial" w:eastAsia="Arial" w:hAnsi="Arial"/>
          <w:sz w:val="16"/>
          <w:szCs w:val="16"/>
          <w:color w:val="auto"/>
        </w:rPr>
        <w:t xml:space="preserve"> </w:t>
      </w:r>
      <w:r>
        <w:rPr>
          <w:rFonts w:ascii="Arial" w:cs="Arial" w:eastAsia="Arial" w:hAnsi="Arial"/>
          <w:sz w:val="16"/>
          <w:szCs w:val="16"/>
          <w:b w:val="1"/>
          <w:bCs w:val="1"/>
          <w:color w:val="auto"/>
        </w:rPr>
        <w:t>Method</w:t>
      </w:r>
      <w:r>
        <w:rPr>
          <w:rFonts w:ascii="Arial" w:cs="Arial" w:eastAsia="Arial" w:hAnsi="Arial"/>
          <w:sz w:val="16"/>
          <w:szCs w:val="16"/>
          <w:color w:val="auto"/>
        </w:rPr>
        <w:t>”) in respect of all such Convertible Notes before 5:00 p.m. (New York City time) on the</w:t>
      </w:r>
      <w:r>
        <w:rPr>
          <w:rFonts w:ascii="Arial" w:cs="Arial" w:eastAsia="Arial" w:hAnsi="Arial"/>
          <w:sz w:val="16"/>
          <w:szCs w:val="16"/>
          <w:b w:val="1"/>
          <w:bCs w:val="1"/>
          <w:color w:val="auto"/>
        </w:rPr>
        <w:t xml:space="preserve"> </w:t>
      </w:r>
      <w:r>
        <w:rPr>
          <w:rFonts w:ascii="Arial" w:cs="Arial" w:eastAsia="Arial" w:hAnsi="Arial"/>
          <w:sz w:val="16"/>
          <w:szCs w:val="16"/>
          <w:color w:val="auto"/>
        </w:rPr>
        <w:t>Free Convertibility Date specifying the information required in clauses (iii) and, if applicable, (iv) above. Notwithstanding the foregoing, other than in respect of any Options relating to Convertible Notes with a Conversion Date occurring on or after the Free Convertibility Date, such notice (and the related exercise of Options) shall be effective if given after the Exercise Notice Deadline but prior to 5:00 p.m. (New York City time), on the fifth Scheduled Valid Day following the Exercise Notice Deadline, in which event the Calculation Agent shall have the right to adjust the number of Shares and/or cash deliverable by Dealer with respect to such Options in a commercially reasonable manner as appropriate to reflect the effect on Dealer’s commercially reasonable hedging and hedge unwind activities for the Transaction (including the unwinding of any commercially reasonable hedge position) of Dealer not having received such notice prior to the Exercise Notice Deadline. Counterparty acknowledges its responsibilities under applicable securities laws, and in particular Section 9 and Section 10(b) of the Exchange Act (as defined below) and the rules and regulations thereunder, in respect of any election of a settlement method with respect to the Convertible Notes.</w:t>
      </w:r>
    </w:p>
    <w:p>
      <w:pPr>
        <w:sectPr>
          <w:pgSz w:w="11900" w:h="16838" w:orient="portrait"/>
          <w:cols w:equalWidth="0" w:num="1">
            <w:col w:w="10440"/>
          </w:cols>
          <w:pgMar w:left="1220" w:top="801" w:right="239" w:bottom="1440" w:gutter="0" w:footer="0" w:header="0"/>
        </w:sectPr>
      </w:pPr>
    </w:p>
    <w:p>
      <w:pPr>
        <w:spacing w:after="0" w:line="349" w:lineRule="exact"/>
        <w:rPr>
          <w:sz w:val="20"/>
          <w:szCs w:val="20"/>
          <w:color w:val="auto"/>
        </w:rPr>
      </w:pPr>
    </w:p>
    <w:p>
      <w:pPr>
        <w:jc w:val="both"/>
        <w:ind w:left="3240"/>
        <w:spacing w:after="0" w:line="277" w:lineRule="auto"/>
        <w:rPr>
          <w:sz w:val="20"/>
          <w:szCs w:val="20"/>
          <w:color w:val="auto"/>
        </w:rPr>
      </w:pPr>
      <w:r>
        <w:rPr>
          <w:rFonts w:ascii="Arial" w:cs="Arial" w:eastAsia="Arial" w:hAnsi="Arial"/>
          <w:sz w:val="18"/>
          <w:szCs w:val="18"/>
          <w:color w:val="auto"/>
        </w:rPr>
        <w:t>trading session is extended, the Calculation Agent shall determine the Valuation Time in its reasonable discretion.</w:t>
      </w:r>
    </w:p>
    <w:p>
      <w:pPr>
        <w:sectPr>
          <w:pgSz w:w="11900" w:h="16838" w:orient="portrait"/>
          <w:cols w:equalWidth="0" w:num="1">
            <w:col w:w="10440"/>
          </w:cols>
          <w:pgMar w:left="1220" w:top="801" w:right="239" w:bottom="1440" w:gutter="0" w:footer="0" w:header="0"/>
          <w:type w:val="continuous"/>
        </w:sectPr>
      </w:pP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Market Disruption Event:</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Section 6.3(a) of the Equity Definitions is hereby replaced in its entirety by the following:</w:t>
      </w:r>
    </w:p>
    <w:p>
      <w:pPr>
        <w:spacing w:after="0" w:line="200" w:lineRule="exact"/>
        <w:rPr>
          <w:sz w:val="20"/>
          <w:szCs w:val="20"/>
          <w:color w:val="auto"/>
        </w:rPr>
      </w:pPr>
    </w:p>
    <w:p>
      <w:pPr>
        <w:sectPr>
          <w:pgSz w:w="11900" w:h="16838" w:orient="portrait"/>
          <w:cols w:equalWidth="0" w:num="2">
            <w:col w:w="2520" w:space="720"/>
            <w:col w:w="7200"/>
          </w:cols>
          <w:pgMar w:left="1220" w:top="801" w:right="239" w:bottom="1440" w:gutter="0" w:footer="0" w:header="0"/>
          <w:type w:val="continuous"/>
        </w:sectPr>
      </w:pPr>
    </w:p>
    <w:p>
      <w:pPr>
        <w:spacing w:after="0" w:line="8" w:lineRule="exact"/>
        <w:rPr>
          <w:sz w:val="20"/>
          <w:szCs w:val="20"/>
          <w:color w:val="auto"/>
        </w:rPr>
      </w:pPr>
    </w:p>
    <w:p>
      <w:pPr>
        <w:ind w:left="3240" w:right="20"/>
        <w:spacing w:after="0" w:line="277" w:lineRule="auto"/>
        <w:rPr>
          <w:sz w:val="20"/>
          <w:szCs w:val="20"/>
          <w:color w:val="auto"/>
        </w:rPr>
      </w:pPr>
      <w:r>
        <w:rPr>
          <w:rFonts w:ascii="Arial" w:cs="Arial" w:eastAsia="Arial" w:hAnsi="Arial"/>
          <w:sz w:val="18"/>
          <w:szCs w:val="18"/>
          <w:color w:val="auto"/>
        </w:rPr>
        <w:t>“‘Market Disruption Event’ means, in respect of a Share, (i) a failure by the primary United States national or</w:t>
      </w:r>
    </w:p>
    <w:p>
      <w:pPr>
        <w:spacing w:after="0" w:line="200" w:lineRule="exact"/>
        <w:rPr>
          <w:sz w:val="20"/>
          <w:szCs w:val="20"/>
          <w:color w:val="auto"/>
        </w:rPr>
      </w:pPr>
    </w:p>
    <w:p>
      <w:pPr>
        <w:spacing w:after="0" w:line="22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40"/>
          </w:cols>
          <w:pgMar w:left="1220" w:top="801" w:right="239" w:bottom="1440" w:gutter="0" w:footer="0" w:header="0"/>
          <w:type w:val="continuous"/>
        </w:sectPr>
      </w:pPr>
    </w:p>
    <w:bookmarkStart w:id="188" w:name="page189"/>
    <w:bookmarkEnd w:id="188"/>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4"/>
              </w:rPr>
              <w:t>regional securities exchange or market on which the Shares are listed or admitted for trading to</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3"/>
              </w:rPr>
              <w:t>open for trading during its regular trading session or (ii) the occurrence or existence prior to 1:00</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2"/>
              </w:rPr>
              <w:t>p.m. (New York City time) on any Scheduled Valid Day for the Shares for more than one half-hour</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4"/>
              </w:rPr>
              <w:t>period in the aggregate during regular trading hours of any suspension or limitation imposed on</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0"/>
              </w:rPr>
              <w:t>trading (by reason of movements in price exceeding limits permitted by the relevant stock exchange</w:t>
            </w:r>
          </w:p>
        </w:tc>
        <w:tc>
          <w:tcPr>
            <w:tcW w:w="0" w:type="dxa"/>
            <w:vAlign w:val="bottom"/>
          </w:tcPr>
          <w:p>
            <w:pPr>
              <w:spacing w:after="0"/>
              <w:rPr>
                <w:sz w:val="1"/>
                <w:szCs w:val="1"/>
                <w:color w:val="auto"/>
              </w:rPr>
            </w:pPr>
          </w:p>
        </w:tc>
      </w:tr>
      <w:tr>
        <w:trPr>
          <w:trHeight w:val="230"/>
        </w:trPr>
        <w:tc>
          <w:tcPr>
            <w:tcW w:w="30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Settlement Terms</w:t>
            </w:r>
            <w:r>
              <w:rPr>
                <w:rFonts w:ascii="Arial" w:cs="Arial" w:eastAsia="Arial" w:hAnsi="Arial"/>
                <w:sz w:val="18"/>
                <w:szCs w:val="18"/>
                <w:color w:val="auto"/>
              </w:rPr>
              <w:t>.</w:t>
            </w: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2"/>
              </w:rPr>
              <w:t>or otherwise) in the Shares or in any options contracts or futures contracts relating to the Shares.”</w:t>
            </w:r>
          </w:p>
        </w:tc>
        <w:tc>
          <w:tcPr>
            <w:tcW w:w="0" w:type="dxa"/>
            <w:vAlign w:val="bottom"/>
          </w:tcPr>
          <w:p>
            <w:pPr>
              <w:spacing w:after="0"/>
              <w:rPr>
                <w:sz w:val="1"/>
                <w:szCs w:val="1"/>
                <w:color w:val="auto"/>
              </w:rPr>
            </w:pPr>
          </w:p>
        </w:tc>
      </w:tr>
      <w:tr>
        <w:trPr>
          <w:trHeight w:val="176"/>
        </w:trPr>
        <w:tc>
          <w:tcPr>
            <w:tcW w:w="3000" w:type="dxa"/>
            <w:vAlign w:val="bottom"/>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000" w:type="dxa"/>
            <w:vAlign w:val="bottom"/>
            <w:gridSpan w:val="2"/>
          </w:tcPr>
          <w:p>
            <w:pPr>
              <w:ind w:left="320"/>
              <w:spacing w:after="0"/>
              <w:rPr>
                <w:sz w:val="20"/>
                <w:szCs w:val="20"/>
                <w:color w:val="auto"/>
              </w:rPr>
            </w:pPr>
            <w:r>
              <w:rPr>
                <w:rFonts w:ascii="Arial" w:cs="Arial" w:eastAsia="Arial" w:hAnsi="Arial"/>
                <w:sz w:val="18"/>
                <w:szCs w:val="18"/>
                <w:color w:val="auto"/>
              </w:rPr>
              <w:t>Settlement Method:</w:t>
            </w: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4"/>
              </w:rPr>
              <w:t xml:space="preserve">For any Option, Net Share Settlement; </w:t>
            </w:r>
            <w:r>
              <w:rPr>
                <w:rFonts w:ascii="Arial" w:cs="Arial" w:eastAsia="Arial" w:hAnsi="Arial"/>
                <w:sz w:val="18"/>
                <w:szCs w:val="18"/>
                <w:i w:val="1"/>
                <w:iCs w:val="1"/>
                <w:color w:val="auto"/>
                <w:w w:val="94"/>
              </w:rPr>
              <w:t>provided</w:t>
            </w:r>
            <w:r>
              <w:rPr>
                <w:rFonts w:ascii="Arial" w:cs="Arial" w:eastAsia="Arial" w:hAnsi="Arial"/>
                <w:sz w:val="18"/>
                <w:szCs w:val="18"/>
                <w:color w:val="auto"/>
                <w:w w:val="94"/>
              </w:rPr>
              <w:t xml:space="preserve"> that if the Relevant Settlement Method set forth</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4"/>
              </w:rPr>
              <w:t>below for such Option is not Net Share Settlement, then the Settlement Method for such Option</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4"/>
              </w:rPr>
              <w:t>shall be such Relevant Settlement Method, but only if Counterparty shall have notified Dealer of</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1"/>
              </w:rPr>
              <w:t>the Relevant Settlement Method in the Notice of Exercise or Notice of Final Settlement Method, as</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rPr>
              <w:t>applicable, for such Option.</w:t>
            </w:r>
          </w:p>
        </w:tc>
        <w:tc>
          <w:tcPr>
            <w:tcW w:w="0" w:type="dxa"/>
            <w:vAlign w:val="bottom"/>
          </w:tcPr>
          <w:p>
            <w:pPr>
              <w:spacing w:after="0"/>
              <w:rPr>
                <w:sz w:val="1"/>
                <w:szCs w:val="1"/>
                <w:color w:val="auto"/>
              </w:rPr>
            </w:pPr>
          </w:p>
        </w:tc>
      </w:tr>
      <w:tr>
        <w:trPr>
          <w:trHeight w:val="392"/>
        </w:trPr>
        <w:tc>
          <w:tcPr>
            <w:tcW w:w="3000" w:type="dxa"/>
            <w:vAlign w:val="bottom"/>
            <w:gridSpan w:val="2"/>
          </w:tcPr>
          <w:p>
            <w:pPr>
              <w:ind w:left="320"/>
              <w:spacing w:after="0"/>
              <w:rPr>
                <w:sz w:val="20"/>
                <w:szCs w:val="20"/>
                <w:color w:val="auto"/>
              </w:rPr>
            </w:pPr>
            <w:r>
              <w:rPr>
                <w:rFonts w:ascii="Arial" w:cs="Arial" w:eastAsia="Arial" w:hAnsi="Arial"/>
                <w:sz w:val="18"/>
                <w:szCs w:val="18"/>
                <w:color w:val="auto"/>
              </w:rPr>
              <w:t>Relevant Settlement Method:</w:t>
            </w: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rPr>
              <w:t>In respect of any Option:</w:t>
            </w:r>
          </w:p>
        </w:tc>
        <w:tc>
          <w:tcPr>
            <w:tcW w:w="0" w:type="dxa"/>
            <w:vAlign w:val="bottom"/>
          </w:tcPr>
          <w:p>
            <w:pPr>
              <w:spacing w:after="0"/>
              <w:rPr>
                <w:sz w:val="1"/>
                <w:szCs w:val="1"/>
                <w:color w:val="auto"/>
              </w:rPr>
            </w:pPr>
          </w:p>
        </w:tc>
      </w:tr>
      <w:tr>
        <w:trPr>
          <w:trHeight w:val="377"/>
        </w:trPr>
        <w:tc>
          <w:tcPr>
            <w:tcW w:w="1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40" w:type="dxa"/>
            <w:vAlign w:val="bottom"/>
          </w:tcPr>
          <w:p>
            <w:pPr>
              <w:ind w:left="560"/>
              <w:spacing w:after="0"/>
              <w:rPr>
                <w:sz w:val="20"/>
                <w:szCs w:val="20"/>
                <w:color w:val="auto"/>
              </w:rPr>
            </w:pPr>
            <w:r>
              <w:rPr>
                <w:rFonts w:ascii="Arial" w:cs="Arial" w:eastAsia="Arial" w:hAnsi="Arial"/>
                <w:sz w:val="18"/>
                <w:szCs w:val="18"/>
                <w:color w:val="auto"/>
              </w:rPr>
              <w:t>(i)</w:t>
            </w:r>
          </w:p>
        </w:tc>
        <w:tc>
          <w:tcPr>
            <w:tcW w:w="6820" w:type="dxa"/>
            <w:vAlign w:val="bottom"/>
          </w:tcPr>
          <w:p>
            <w:pPr>
              <w:jc w:val="right"/>
              <w:spacing w:after="0"/>
              <w:rPr>
                <w:sz w:val="20"/>
                <w:szCs w:val="20"/>
                <w:color w:val="auto"/>
              </w:rPr>
            </w:pPr>
            <w:r>
              <w:rPr>
                <w:rFonts w:ascii="Arial" w:cs="Arial" w:eastAsia="Arial" w:hAnsi="Arial"/>
                <w:sz w:val="18"/>
                <w:szCs w:val="18"/>
                <w:color w:val="auto"/>
                <w:w w:val="99"/>
              </w:rPr>
              <w:t>if Counterparty has elected to settle its conversion obligations in respect of the related</w:t>
            </w:r>
          </w:p>
        </w:tc>
        <w:tc>
          <w:tcPr>
            <w:tcW w:w="0" w:type="dxa"/>
            <w:vAlign w:val="bottom"/>
          </w:tcPr>
          <w:p>
            <w:pPr>
              <w:spacing w:after="0"/>
              <w:rPr>
                <w:sz w:val="1"/>
                <w:szCs w:val="1"/>
                <w:color w:val="auto"/>
              </w:rPr>
            </w:pPr>
          </w:p>
        </w:tc>
      </w:tr>
      <w:tr>
        <w:trPr>
          <w:trHeight w:val="212"/>
        </w:trPr>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9"/>
              </w:rPr>
              <w:t>Convertible Note (A) entirely in Shares pursuant to Section 14.02(a)(iii)(A) of the Indenture</w:t>
            </w:r>
          </w:p>
        </w:tc>
        <w:tc>
          <w:tcPr>
            <w:tcW w:w="0" w:type="dxa"/>
            <w:vAlign w:val="bottom"/>
          </w:tcPr>
          <w:p>
            <w:pPr>
              <w:spacing w:after="0"/>
              <w:rPr>
                <w:sz w:val="1"/>
                <w:szCs w:val="1"/>
                <w:color w:val="auto"/>
              </w:rPr>
            </w:pPr>
          </w:p>
        </w:tc>
      </w:tr>
      <w:tr>
        <w:trPr>
          <w:trHeight w:val="220"/>
        </w:trPr>
        <w:tc>
          <w:tcPr>
            <w:tcW w:w="1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2"/>
              </w:rPr>
              <w:t>(together with cash in lieu of fractional Shares) (such settlement method, “</w:t>
            </w:r>
            <w:r>
              <w:rPr>
                <w:rFonts w:ascii="Arial" w:cs="Arial" w:eastAsia="Arial" w:hAnsi="Arial"/>
                <w:sz w:val="18"/>
                <w:szCs w:val="18"/>
                <w:b w:val="1"/>
                <w:bCs w:val="1"/>
                <w:color w:val="auto"/>
                <w:w w:val="92"/>
              </w:rPr>
              <w:t>Settlement in Shares</w:t>
            </w: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5"/>
              </w:rPr>
              <w:t>or (B) in a combination of cash and Shares pursuant to Section 14.02(a)(iii)(C) of the Indenture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3"/>
              </w:rPr>
              <w:t>with a Specified Cash Amount equal to or less than USD 1,000, then, in each case, the Relevant</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rPr>
              <w:t>Settlement Method for such Option shall be Net Share Settlement;</w:t>
            </w:r>
          </w:p>
        </w:tc>
        <w:tc>
          <w:tcPr>
            <w:tcW w:w="0" w:type="dxa"/>
            <w:vAlign w:val="bottom"/>
          </w:tcPr>
          <w:p>
            <w:pPr>
              <w:spacing w:after="0"/>
              <w:rPr>
                <w:sz w:val="1"/>
                <w:szCs w:val="1"/>
                <w:color w:val="auto"/>
              </w:rPr>
            </w:pPr>
          </w:p>
        </w:tc>
      </w:tr>
      <w:tr>
        <w:trPr>
          <w:trHeight w:val="377"/>
        </w:trPr>
        <w:tc>
          <w:tcPr>
            <w:tcW w:w="1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40" w:type="dxa"/>
            <w:vAlign w:val="bottom"/>
          </w:tcPr>
          <w:p>
            <w:pPr>
              <w:ind w:left="560"/>
              <w:spacing w:after="0"/>
              <w:rPr>
                <w:sz w:val="20"/>
                <w:szCs w:val="20"/>
                <w:color w:val="auto"/>
              </w:rPr>
            </w:pPr>
            <w:r>
              <w:rPr>
                <w:rFonts w:ascii="Arial" w:cs="Arial" w:eastAsia="Arial" w:hAnsi="Arial"/>
                <w:sz w:val="18"/>
                <w:szCs w:val="18"/>
                <w:color w:val="auto"/>
              </w:rPr>
              <w:t>(ii)</w:t>
            </w:r>
          </w:p>
        </w:tc>
        <w:tc>
          <w:tcPr>
            <w:tcW w:w="6820" w:type="dxa"/>
            <w:vAlign w:val="bottom"/>
          </w:tcPr>
          <w:p>
            <w:pPr>
              <w:jc w:val="right"/>
              <w:spacing w:after="0"/>
              <w:rPr>
                <w:sz w:val="20"/>
                <w:szCs w:val="20"/>
                <w:color w:val="auto"/>
              </w:rPr>
            </w:pPr>
            <w:r>
              <w:rPr>
                <w:rFonts w:ascii="Arial" w:cs="Arial" w:eastAsia="Arial" w:hAnsi="Arial"/>
                <w:sz w:val="18"/>
                <w:szCs w:val="18"/>
                <w:color w:val="auto"/>
                <w:w w:val="99"/>
              </w:rPr>
              <w:t>if Counterparty has elected to settle its conversion obligations in respect of the related</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4"/>
              </w:rPr>
              <w:t>Convertible Note in a combination of cash and Shares pursuant to Section 14.02(a)(iii)(C) of the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4"/>
              </w:rPr>
              <w:t>Indenture with a Specified Cash Amount greater than USD 1,000, then the Relevant Settlement</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rPr>
              <w:t>Method for such Option shall be Combination Settlement; and</w:t>
            </w:r>
          </w:p>
        </w:tc>
        <w:tc>
          <w:tcPr>
            <w:tcW w:w="0" w:type="dxa"/>
            <w:vAlign w:val="bottom"/>
          </w:tcPr>
          <w:p>
            <w:pPr>
              <w:spacing w:after="0"/>
              <w:rPr>
                <w:sz w:val="1"/>
                <w:szCs w:val="1"/>
                <w:color w:val="auto"/>
              </w:rPr>
            </w:pPr>
          </w:p>
        </w:tc>
      </w:tr>
      <w:tr>
        <w:trPr>
          <w:trHeight w:val="377"/>
        </w:trPr>
        <w:tc>
          <w:tcPr>
            <w:tcW w:w="1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40" w:type="dxa"/>
            <w:vAlign w:val="bottom"/>
          </w:tcPr>
          <w:p>
            <w:pPr>
              <w:ind w:left="560"/>
              <w:spacing w:after="0"/>
              <w:rPr>
                <w:sz w:val="20"/>
                <w:szCs w:val="20"/>
                <w:color w:val="auto"/>
              </w:rPr>
            </w:pPr>
            <w:r>
              <w:rPr>
                <w:rFonts w:ascii="Arial" w:cs="Arial" w:eastAsia="Arial" w:hAnsi="Arial"/>
                <w:sz w:val="18"/>
                <w:szCs w:val="18"/>
                <w:color w:val="auto"/>
              </w:rPr>
              <w:t>(iii)</w:t>
            </w:r>
          </w:p>
        </w:tc>
        <w:tc>
          <w:tcPr>
            <w:tcW w:w="6820" w:type="dxa"/>
            <w:vAlign w:val="bottom"/>
          </w:tcPr>
          <w:p>
            <w:pPr>
              <w:jc w:val="right"/>
              <w:spacing w:after="0"/>
              <w:rPr>
                <w:sz w:val="20"/>
                <w:szCs w:val="20"/>
                <w:color w:val="auto"/>
              </w:rPr>
            </w:pPr>
            <w:r>
              <w:rPr>
                <w:rFonts w:ascii="Arial" w:cs="Arial" w:eastAsia="Arial" w:hAnsi="Arial"/>
                <w:sz w:val="18"/>
                <w:szCs w:val="18"/>
                <w:color w:val="auto"/>
                <w:w w:val="99"/>
              </w:rPr>
              <w:t>if Counterparty has elected to settle its conversion obligations in respect of the related</w:t>
            </w:r>
          </w:p>
        </w:tc>
        <w:tc>
          <w:tcPr>
            <w:tcW w:w="0" w:type="dxa"/>
            <w:vAlign w:val="bottom"/>
          </w:tcPr>
          <w:p>
            <w:pPr>
              <w:spacing w:after="0"/>
              <w:rPr>
                <w:sz w:val="1"/>
                <w:szCs w:val="1"/>
                <w:color w:val="auto"/>
              </w:rPr>
            </w:pPr>
          </w:p>
        </w:tc>
      </w:tr>
      <w:tr>
        <w:trPr>
          <w:trHeight w:val="212"/>
        </w:trPr>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9"/>
              </w:rPr>
              <w:t>Convertible Note entirely in cash pursuant to Section 14.02(a)(iii)(B) of the Indenture (such</w:t>
            </w:r>
          </w:p>
        </w:tc>
        <w:tc>
          <w:tcPr>
            <w:tcW w:w="0" w:type="dxa"/>
            <w:vAlign w:val="bottom"/>
          </w:tcPr>
          <w:p>
            <w:pPr>
              <w:spacing w:after="0"/>
              <w:rPr>
                <w:sz w:val="1"/>
                <w:szCs w:val="1"/>
                <w:color w:val="auto"/>
              </w:rPr>
            </w:pPr>
          </w:p>
        </w:tc>
      </w:tr>
      <w:tr>
        <w:trPr>
          <w:trHeight w:val="220"/>
        </w:trPr>
        <w:tc>
          <w:tcPr>
            <w:tcW w:w="1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2"/>
              </w:rPr>
              <w:t>settlement method, “</w:t>
            </w:r>
            <w:r>
              <w:rPr>
                <w:rFonts w:ascii="Arial" w:cs="Arial" w:eastAsia="Arial" w:hAnsi="Arial"/>
                <w:sz w:val="18"/>
                <w:szCs w:val="18"/>
                <w:b w:val="1"/>
                <w:bCs w:val="1"/>
                <w:color w:val="auto"/>
                <w:w w:val="92"/>
              </w:rPr>
              <w:t>Settlement in Cash</w:t>
            </w:r>
            <w:r>
              <w:rPr>
                <w:rFonts w:ascii="Arial" w:cs="Arial" w:eastAsia="Arial" w:hAnsi="Arial"/>
                <w:sz w:val="18"/>
                <w:szCs w:val="18"/>
                <w:color w:val="auto"/>
                <w:w w:val="92"/>
              </w:rPr>
              <w:t>”), then the Relevant Settlement Method for such Option</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rPr>
              <w:t>shall be Cash Settlement.</w:t>
            </w:r>
          </w:p>
        </w:tc>
        <w:tc>
          <w:tcPr>
            <w:tcW w:w="0" w:type="dxa"/>
            <w:vAlign w:val="bottom"/>
          </w:tcPr>
          <w:p>
            <w:pPr>
              <w:spacing w:after="0"/>
              <w:rPr>
                <w:sz w:val="1"/>
                <w:szCs w:val="1"/>
                <w:color w:val="auto"/>
              </w:rPr>
            </w:pPr>
          </w:p>
        </w:tc>
      </w:tr>
      <w:tr>
        <w:trPr>
          <w:trHeight w:val="377"/>
        </w:trPr>
        <w:tc>
          <w:tcPr>
            <w:tcW w:w="3000" w:type="dxa"/>
            <w:vAlign w:val="bottom"/>
            <w:gridSpan w:val="2"/>
          </w:tcPr>
          <w:p>
            <w:pPr>
              <w:ind w:left="320"/>
              <w:spacing w:after="0"/>
              <w:rPr>
                <w:sz w:val="20"/>
                <w:szCs w:val="20"/>
                <w:color w:val="auto"/>
              </w:rPr>
            </w:pPr>
            <w:r>
              <w:rPr>
                <w:rFonts w:ascii="Arial" w:cs="Arial" w:eastAsia="Arial" w:hAnsi="Arial"/>
                <w:sz w:val="18"/>
                <w:szCs w:val="18"/>
                <w:color w:val="auto"/>
              </w:rPr>
              <w:t>Net Share Settlement:</w:t>
            </w: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5"/>
              </w:rPr>
              <w:t>If Net Share Settlement is applicable to any Option exercised or deemed exercised hereunder,</w:t>
            </w:r>
          </w:p>
        </w:tc>
        <w:tc>
          <w:tcPr>
            <w:tcW w:w="0" w:type="dxa"/>
            <w:vAlign w:val="bottom"/>
          </w:tcPr>
          <w:p>
            <w:pPr>
              <w:spacing w:after="0"/>
              <w:rPr>
                <w:sz w:val="1"/>
                <w:szCs w:val="1"/>
                <w:color w:val="auto"/>
              </w:rPr>
            </w:pPr>
          </w:p>
        </w:tc>
      </w:tr>
      <w:tr>
        <w:trPr>
          <w:trHeight w:val="212"/>
        </w:trPr>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0"/>
              </w:rPr>
              <w:t>Dealer will deliver to Counterparty, on the relevant Settlement Date for each such Option, a number</w:t>
            </w:r>
          </w:p>
        </w:tc>
        <w:tc>
          <w:tcPr>
            <w:tcW w:w="0" w:type="dxa"/>
            <w:vAlign w:val="bottom"/>
          </w:tcPr>
          <w:p>
            <w:pPr>
              <w:spacing w:after="0"/>
              <w:rPr>
                <w:sz w:val="1"/>
                <w:szCs w:val="1"/>
                <w:color w:val="auto"/>
              </w:rPr>
            </w:pPr>
          </w:p>
        </w:tc>
      </w:tr>
      <w:tr>
        <w:trPr>
          <w:trHeight w:val="220"/>
        </w:trPr>
        <w:tc>
          <w:tcPr>
            <w:tcW w:w="1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3"/>
              </w:rPr>
              <w:t>of Shares (the “</w:t>
            </w:r>
            <w:r>
              <w:rPr>
                <w:rFonts w:ascii="Arial" w:cs="Arial" w:eastAsia="Arial" w:hAnsi="Arial"/>
                <w:sz w:val="18"/>
                <w:szCs w:val="18"/>
                <w:b w:val="1"/>
                <w:bCs w:val="1"/>
                <w:color w:val="auto"/>
                <w:w w:val="93"/>
              </w:rPr>
              <w:t>Net Share Settlement Amount</w:t>
            </w:r>
            <w:r>
              <w:rPr>
                <w:rFonts w:ascii="Arial" w:cs="Arial" w:eastAsia="Arial" w:hAnsi="Arial"/>
                <w:sz w:val="18"/>
                <w:szCs w:val="18"/>
                <w:color w:val="auto"/>
                <w:w w:val="93"/>
              </w:rPr>
              <w:t>”) equal to the sum, for each Valid Day during the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3"/>
              </w:rPr>
              <w:t>Settlement Averaging Period for each such Option, of (i) (a) the Daily Option Value for such Valid</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rPr>
              <w:t xml:space="preserve">Day, </w:t>
            </w:r>
            <w:r>
              <w:rPr>
                <w:rFonts w:ascii="Arial" w:cs="Arial" w:eastAsia="Arial" w:hAnsi="Arial"/>
                <w:sz w:val="18"/>
                <w:szCs w:val="18"/>
                <w:i w:val="1"/>
                <w:iCs w:val="1"/>
                <w:color w:val="auto"/>
              </w:rPr>
              <w:t>divided by</w:t>
            </w:r>
          </w:p>
        </w:tc>
        <w:tc>
          <w:tcPr>
            <w:tcW w:w="0" w:type="dxa"/>
            <w:vAlign w:val="bottom"/>
          </w:tcPr>
          <w:p>
            <w:pPr>
              <w:spacing w:after="0"/>
              <w:rPr>
                <w:sz w:val="1"/>
                <w:szCs w:val="1"/>
                <w:color w:val="auto"/>
              </w:rPr>
            </w:pPr>
          </w:p>
        </w:tc>
      </w:tr>
      <w:tr>
        <w:trPr>
          <w:trHeight w:val="689"/>
        </w:trPr>
        <w:tc>
          <w:tcPr>
            <w:tcW w:w="1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20" w:type="dxa"/>
            <w:vAlign w:val="bottom"/>
          </w:tcPr>
          <w:p>
            <w:pPr>
              <w:jc w:val="right"/>
              <w:ind w:right="55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0760"/>
          </w:cols>
          <w:pgMar w:left="900" w:top="801" w:right="239" w:bottom="1440" w:gutter="0" w:footer="0" w:header="0"/>
        </w:sectPr>
      </w:pPr>
    </w:p>
    <w:bookmarkStart w:id="189" w:name="page190"/>
    <w:bookmarkEnd w:id="189"/>
    <w:p>
      <w:pPr>
        <w:jc w:val="both"/>
        <w:ind w:left="3240"/>
        <w:spacing w:after="0" w:line="354" w:lineRule="auto"/>
        <w:rPr>
          <w:sz w:val="20"/>
          <w:szCs w:val="20"/>
          <w:color w:val="auto"/>
        </w:rPr>
      </w:pPr>
      <w:r>
        <w:rPr>
          <w:rFonts w:ascii="Arial" w:cs="Arial" w:eastAsia="Arial" w:hAnsi="Arial"/>
          <w:sz w:val="16"/>
          <w:szCs w:val="16"/>
          <w:color w:val="auto"/>
        </w:rPr>
        <w:t xml:space="preserve">(b) the Relevant Price on such Valid Day,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(ii) the number of Valid Days in the Settlement Averaging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Net Share Settlement Amount for any Option exceed a number of Shares equal to the Applicable Limit for such Option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the Applicable Limit Price on the settlement date for the conversion of the relevant Conversion Notes.</w:t>
      </w:r>
    </w:p>
    <w:p>
      <w:pPr>
        <w:spacing w:after="0" w:line="89"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Dealer will pay cash in lieu of delivering any fractional Shares to be delivered with respect to any</w:t>
      </w:r>
    </w:p>
    <w:p>
      <w:pPr>
        <w:spacing w:after="0" w:line="46"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Net Share Settlement Amount valued at the Relevant Price for the last Valid Day of the Settlement</w:t>
      </w:r>
    </w:p>
    <w:p>
      <w:pPr>
        <w:spacing w:after="0" w:line="3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Averaging Period.</w:t>
      </w:r>
    </w:p>
    <w:p>
      <w:pPr>
        <w:sectPr>
          <w:pgSz w:w="11900" w:h="16838" w:orient="portrait"/>
          <w:cols w:equalWidth="0" w:num="1">
            <w:col w:w="10440"/>
          </w:cols>
          <w:pgMar w:left="1220" w:top="828"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Combination Settlement: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Combination Settlement is applicable to any Option exercised or deemed exercised hereunder, Dealer will pay or deliver, as the case may be, to Counterparty, on the relevant Settlement Date for each such Option:</w:t>
      </w:r>
    </w:p>
    <w:p>
      <w:pPr>
        <w:spacing w:after="0" w:line="137" w:lineRule="exact"/>
        <w:rPr>
          <w:sz w:val="20"/>
          <w:szCs w:val="20"/>
          <w:color w:val="auto"/>
        </w:rPr>
      </w:pPr>
    </w:p>
    <w:p>
      <w:pPr>
        <w:sectPr>
          <w:pgSz w:w="11900" w:h="16838" w:orient="portrait"/>
          <w:cols w:equalWidth="0" w:num="2">
            <w:col w:w="2520" w:space="720"/>
            <w:col w:w="7200"/>
          </w:cols>
          <w:pgMar w:left="1220" w:top="828" w:right="239" w:bottom="1440" w:gutter="0" w:footer="0" w:header="0"/>
          <w:type w:val="continuous"/>
        </w:sectPr>
      </w:pPr>
    </w:p>
    <w:p>
      <w:pPr>
        <w:jc w:val="both"/>
        <w:ind w:left="3720" w:hanging="479"/>
        <w:spacing w:after="0" w:line="255" w:lineRule="auto"/>
        <w:tabs>
          <w:tab w:leader="none" w:pos="370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cash (the “</w:t>
      </w:r>
      <w:r>
        <w:rPr>
          <w:rFonts w:ascii="Arial" w:cs="Arial" w:eastAsia="Arial" w:hAnsi="Arial"/>
          <w:sz w:val="18"/>
          <w:szCs w:val="18"/>
          <w:b w:val="1"/>
          <w:bCs w:val="1"/>
          <w:color w:val="auto"/>
        </w:rPr>
        <w:t>Combination Settlement Cash Amount</w:t>
      </w:r>
      <w:r>
        <w:rPr>
          <w:rFonts w:ascii="Arial" w:cs="Arial" w:eastAsia="Arial" w:hAnsi="Arial"/>
          <w:sz w:val="18"/>
          <w:szCs w:val="18"/>
          <w:color w:val="auto"/>
        </w:rPr>
        <w:t>”) equal to the sum, for each Valid Day during the Settlement Averaging Period for such Option, of (A) an amount (the “</w:t>
      </w:r>
      <w:r>
        <w:rPr>
          <w:rFonts w:ascii="Arial" w:cs="Arial" w:eastAsia="Arial" w:hAnsi="Arial"/>
          <w:sz w:val="18"/>
          <w:szCs w:val="18"/>
          <w:b w:val="1"/>
          <w:bCs w:val="1"/>
          <w:color w:val="auto"/>
        </w:rPr>
        <w:t>Daily</w:t>
      </w:r>
      <w:r>
        <w:rPr>
          <w:rFonts w:ascii="Arial" w:cs="Arial" w:eastAsia="Arial" w:hAnsi="Arial"/>
          <w:sz w:val="18"/>
          <w:szCs w:val="18"/>
          <w:color w:val="auto"/>
        </w:rPr>
        <w:t xml:space="preserve"> </w:t>
      </w:r>
      <w:r>
        <w:rPr>
          <w:rFonts w:ascii="Arial" w:cs="Arial" w:eastAsia="Arial" w:hAnsi="Arial"/>
          <w:sz w:val="18"/>
          <w:szCs w:val="18"/>
          <w:b w:val="1"/>
          <w:bCs w:val="1"/>
          <w:color w:val="auto"/>
        </w:rPr>
        <w:t>Combination Settlement Cash Amount</w:t>
      </w:r>
      <w:r>
        <w:rPr>
          <w:rFonts w:ascii="Arial" w:cs="Arial" w:eastAsia="Arial" w:hAnsi="Arial"/>
          <w:sz w:val="18"/>
          <w:szCs w:val="18"/>
          <w:color w:val="auto"/>
        </w:rPr>
        <w:t>”) equal to the lesser of (1) the product of (x)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Percentage and (y) the Specified Cash Amount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USD 1,000 and (2) the Daily Option Value,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number of Valid Days in the Settlement Averaging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calculation in clause (A) above results in zero or a negative number for any Valid Day, the Daily Combination Settlement Cash Amount for such Valid Day shall be deemed to be zero; and</w:t>
      </w:r>
    </w:p>
    <w:p>
      <w:pPr>
        <w:spacing w:after="0" w:line="145" w:lineRule="exact"/>
        <w:rPr>
          <w:sz w:val="20"/>
          <w:szCs w:val="20"/>
          <w:color w:val="auto"/>
        </w:rPr>
      </w:pPr>
    </w:p>
    <w:p>
      <w:pPr>
        <w:jc w:val="both"/>
        <w:ind w:left="3720" w:hanging="479"/>
        <w:spacing w:after="0" w:line="291" w:lineRule="auto"/>
        <w:tabs>
          <w:tab w:leader="none" w:pos="3700" w:val="left"/>
        </w:tabs>
        <w:rPr>
          <w:sz w:val="20"/>
          <w:szCs w:val="20"/>
          <w:color w:val="auto"/>
        </w:rPr>
      </w:pPr>
      <w:r>
        <w:rPr>
          <w:rFonts w:ascii="Arial" w:cs="Arial" w:eastAsia="Arial" w:hAnsi="Arial"/>
          <w:sz w:val="16"/>
          <w:szCs w:val="16"/>
          <w:color w:val="auto"/>
        </w:rPr>
        <w:t>(ii)</w:t>
      </w:r>
      <w:r>
        <w:rPr>
          <w:sz w:val="20"/>
          <w:szCs w:val="20"/>
          <w:color w:val="auto"/>
        </w:rPr>
        <w:tab/>
      </w:r>
      <w:r>
        <w:rPr>
          <w:rFonts w:ascii="Arial" w:cs="Arial" w:eastAsia="Arial" w:hAnsi="Arial"/>
          <w:sz w:val="16"/>
          <w:szCs w:val="16"/>
          <w:color w:val="auto"/>
        </w:rPr>
        <w:t>Shares (the “</w:t>
      </w:r>
      <w:r>
        <w:rPr>
          <w:rFonts w:ascii="Arial" w:cs="Arial" w:eastAsia="Arial" w:hAnsi="Arial"/>
          <w:sz w:val="16"/>
          <w:szCs w:val="16"/>
          <w:b w:val="1"/>
          <w:bCs w:val="1"/>
          <w:color w:val="auto"/>
        </w:rPr>
        <w:t>Combination Settlement Share Amount</w:t>
      </w:r>
      <w:r>
        <w:rPr>
          <w:rFonts w:ascii="Arial" w:cs="Arial" w:eastAsia="Arial" w:hAnsi="Arial"/>
          <w:sz w:val="16"/>
          <w:szCs w:val="16"/>
          <w:color w:val="auto"/>
        </w:rPr>
        <w:t>”) equal to the sum, for each Valid Day during the Settlement Averaging Period for such Option, of a number of Shares for such Valid Day (the “</w:t>
      </w:r>
      <w:r>
        <w:rPr>
          <w:rFonts w:ascii="Arial" w:cs="Arial" w:eastAsia="Arial" w:hAnsi="Arial"/>
          <w:sz w:val="16"/>
          <w:szCs w:val="16"/>
          <w:b w:val="1"/>
          <w:bCs w:val="1"/>
          <w:color w:val="auto"/>
        </w:rPr>
        <w:t>Daily Combination Settlement Share Amount</w:t>
      </w:r>
      <w:r>
        <w:rPr>
          <w:rFonts w:ascii="Arial" w:cs="Arial" w:eastAsia="Arial" w:hAnsi="Arial"/>
          <w:sz w:val="16"/>
          <w:szCs w:val="16"/>
          <w:color w:val="auto"/>
        </w:rPr>
        <w:t xml:space="preserve">”) equal to (A) (1) the Daily Option Value on such Valid Day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Daily Combination Settlement Cash Amount for such Valid Day,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(2) the Relevant Price on such Valid Day,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(B) the number of Valid Days in the Settlement Averaging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calculation in sub-clause (A)(1) above results in zero or a negative number for any Valid Day, the Daily Combination Settlement Share Amount for such Valid Day shall be deemed to be zero;</w:t>
      </w:r>
    </w:p>
    <w:p>
      <w:pPr>
        <w:sectPr>
          <w:pgSz w:w="11900" w:h="16838" w:orient="portrait"/>
          <w:cols w:equalWidth="0" w:num="1">
            <w:col w:w="10440"/>
          </w:cols>
          <w:pgMar w:left="1220" w:top="828" w:right="239" w:bottom="1440" w:gutter="0" w:footer="0" w:header="0"/>
          <w:type w:val="continuous"/>
        </w:sectPr>
      </w:pPr>
    </w:p>
    <w:p>
      <w:pPr>
        <w:spacing w:after="0" w:line="124" w:lineRule="exact"/>
        <w:rPr>
          <w:sz w:val="20"/>
          <w:szCs w:val="20"/>
          <w:color w:val="auto"/>
        </w:rPr>
      </w:pPr>
    </w:p>
    <w:p>
      <w:pPr>
        <w:jc w:val="both"/>
        <w:ind w:left="3240"/>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no event shall the sum of (x) the Combination Settlement Cash Amount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Option and (y) the Combination Settlement Share Amount for such Option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Applicable Limit Price on the settlement date for the conversion of the relevant Convertible Notes, exceed the Applicable Limit for such Option.</w:t>
      </w:r>
    </w:p>
    <w:p>
      <w:pPr>
        <w:spacing w:after="0" w:line="200" w:lineRule="exact"/>
        <w:rPr>
          <w:sz w:val="20"/>
          <w:szCs w:val="20"/>
          <w:color w:val="auto"/>
        </w:rPr>
      </w:pPr>
    </w:p>
    <w:p>
      <w:pPr>
        <w:spacing w:after="0" w:line="244"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40"/>
          </w:cols>
          <w:pgMar w:left="1220" w:top="828" w:right="239" w:bottom="1440" w:gutter="0" w:footer="0" w:header="0"/>
          <w:type w:val="continuous"/>
        </w:sectPr>
      </w:pPr>
    </w:p>
    <w:bookmarkStart w:id="190" w:name="page191"/>
    <w:bookmarkEnd w:id="190"/>
    <w:p>
      <w:pPr>
        <w:jc w:val="both"/>
        <w:ind w:left="3240"/>
        <w:spacing w:after="0" w:line="264" w:lineRule="auto"/>
        <w:rPr>
          <w:sz w:val="20"/>
          <w:szCs w:val="20"/>
          <w:color w:val="auto"/>
        </w:rPr>
      </w:pPr>
      <w:r>
        <w:rPr>
          <w:rFonts w:ascii="Arial" w:cs="Arial" w:eastAsia="Arial" w:hAnsi="Arial"/>
          <w:sz w:val="18"/>
          <w:szCs w:val="18"/>
          <w:color w:val="auto"/>
        </w:rPr>
        <w:t>Dealer will pay cash in lieu of delivering any fractional Shares to be delivered with respect to any Combination Settlement Share Amount valued at the Relevant Price for the last Valid Day of the Settlement Averaging Period.</w:t>
      </w:r>
    </w:p>
    <w:p>
      <w:pPr>
        <w:sectPr>
          <w:pgSz w:w="11900" w:h="16838" w:orient="portrait"/>
          <w:cols w:equalWidth="0" w:num="1">
            <w:col w:w="10440"/>
          </w:cols>
          <w:pgMar w:left="1220" w:top="800" w:right="239" w:bottom="1440" w:gutter="0" w:footer="0" w:header="0"/>
        </w:sectPr>
      </w:pP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Cash Settlement: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Cash Settlement is applicable to any Option exercised or deemed exercised hereunder, in lieu of Section 8.1 of the Equity Definitions, Dealer will pay to Counterparty, on the relevant Settlement Date for each such Option, an amount of cash (the “</w:t>
      </w:r>
      <w:r>
        <w:rPr>
          <w:rFonts w:ascii="Arial" w:cs="Arial" w:eastAsia="Arial" w:hAnsi="Arial"/>
          <w:sz w:val="18"/>
          <w:szCs w:val="18"/>
          <w:b w:val="1"/>
          <w:bCs w:val="1"/>
          <w:color w:val="auto"/>
        </w:rPr>
        <w:t>Cash Settlement Amount</w:t>
      </w:r>
      <w:r>
        <w:rPr>
          <w:rFonts w:ascii="Arial" w:cs="Arial" w:eastAsia="Arial" w:hAnsi="Arial"/>
          <w:sz w:val="18"/>
          <w:szCs w:val="18"/>
          <w:color w:val="auto"/>
        </w:rPr>
        <w:t xml:space="preserve">”) equal to the sum, for each Valid Day during the Settlement Averaging Period for such Option, of (i) the Daily Option Value for such Valid Day,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number of Valid Days in the Settlement Averaging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the Cash Settlement Amount for any Option exceed the Applicable Limit for such Option.</w:t>
      </w:r>
    </w:p>
    <w:p>
      <w:pPr>
        <w:spacing w:after="0" w:line="149" w:lineRule="exact"/>
        <w:rPr>
          <w:sz w:val="20"/>
          <w:szCs w:val="20"/>
          <w:color w:val="auto"/>
        </w:rPr>
      </w:pPr>
    </w:p>
    <w:p>
      <w:pPr>
        <w:sectPr>
          <w:pgSz w:w="11900" w:h="16838" w:orient="portrait"/>
          <w:cols w:equalWidth="0" w:num="2">
            <w:col w:w="2520" w:space="720"/>
            <w:col w:w="7200"/>
          </w:cols>
          <w:pgMar w:left="1220" w:top="800" w:right="239" w:bottom="1440" w:gutter="0" w:footer="0" w:header="0"/>
          <w:type w:val="continuous"/>
        </w:sectPr>
      </w:pPr>
    </w:p>
    <w:p>
      <w:pPr>
        <w:spacing w:after="0"/>
        <w:rPr>
          <w:sz w:val="20"/>
          <w:szCs w:val="20"/>
          <w:color w:val="auto"/>
        </w:rPr>
      </w:pPr>
      <w:r>
        <w:rPr>
          <w:rFonts w:ascii="Arial" w:cs="Arial" w:eastAsia="Arial" w:hAnsi="Arial"/>
          <w:sz w:val="17"/>
          <w:szCs w:val="17"/>
          <w:color w:val="auto"/>
        </w:rPr>
        <w:t>Daily Option Value:</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8"/>
          <w:szCs w:val="18"/>
          <w:color w:val="auto"/>
        </w:rPr>
        <w:t xml:space="preserve">For any Valid Day, an amount equal to (i) the Option Entitlement on such Valid Day,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(ii) the Relevant Price on such Valid Day </w:t>
      </w:r>
      <w:r>
        <w:rPr>
          <w:rFonts w:ascii="Arial" w:cs="Arial" w:eastAsia="Arial" w:hAnsi="Arial"/>
          <w:sz w:val="18"/>
          <w:szCs w:val="18"/>
          <w:i w:val="1"/>
          <w:iCs w:val="1"/>
          <w:color w:val="auto"/>
        </w:rPr>
        <w:t>less</w:t>
      </w:r>
      <w:r>
        <w:rPr>
          <w:rFonts w:ascii="Arial" w:cs="Arial" w:eastAsia="Arial" w:hAnsi="Arial"/>
          <w:sz w:val="18"/>
          <w:szCs w:val="18"/>
          <w:color w:val="auto"/>
        </w:rPr>
        <w:t xml:space="preserve"> the Strike Price on such Valid Day;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calculation contained in clause (ii) above results in a negative number, the Daily Option Value for such Valid Day shall be deemed to be zero. In no event will the Daily Option Value be less than zero.</w:t>
      </w:r>
    </w:p>
    <w:p>
      <w:pPr>
        <w:spacing w:after="0" w:line="148" w:lineRule="exact"/>
        <w:rPr>
          <w:sz w:val="20"/>
          <w:szCs w:val="20"/>
          <w:color w:val="auto"/>
        </w:rPr>
      </w:pPr>
    </w:p>
    <w:p>
      <w:pPr>
        <w:sectPr>
          <w:pgSz w:w="11900" w:h="16838" w:orient="portrait"/>
          <w:cols w:equalWidth="0" w:num="2">
            <w:col w:w="2520" w:space="720"/>
            <w:col w:w="7200"/>
          </w:cols>
          <w:pgMar w:left="1220" w:top="800"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Make-Whole Adjustment:</w:t>
      </w:r>
    </w:p>
    <w:p>
      <w:pPr>
        <w:spacing w:after="0" w:line="20" w:lineRule="exact"/>
        <w:rPr>
          <w:sz w:val="20"/>
          <w:szCs w:val="20"/>
          <w:color w:val="auto"/>
        </w:rPr>
      </w:pPr>
      <w:r>
        <w:rPr>
          <w:sz w:val="20"/>
          <w:szCs w:val="20"/>
          <w:color w:val="auto"/>
        </w:rPr>
        <w:br w:type="column"/>
      </w:r>
    </w:p>
    <w:p>
      <w:pPr>
        <w:jc w:val="both"/>
        <w:spacing w:after="0" w:line="268" w:lineRule="auto"/>
        <w:rPr>
          <w:sz w:val="20"/>
          <w:szCs w:val="20"/>
          <w:color w:val="auto"/>
        </w:rPr>
      </w:pPr>
      <w:r>
        <w:rPr>
          <w:rFonts w:ascii="Arial" w:cs="Arial" w:eastAsia="Arial" w:hAnsi="Arial"/>
          <w:sz w:val="17"/>
          <w:szCs w:val="17"/>
          <w:color w:val="auto"/>
        </w:rPr>
        <w:t xml:space="preserve">Notwithstanding anything to the contrary herein, in respect of any exercise of Options relating to a conversion of Convertible Notes for which additional Shares will be added to the “Conversion Rate” (as defined in the Indenture) as determined pursuant to Section 14.03 of the Indenture, the Daily Option Value shall be calculated as if the Option Entitlement included the Applicable Percentage of the number of such additional Shares as determined with reference to the adjustment set forth in such Section 14.03 of the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sum of (i) the product of (a) the number of Shares (if any) deliverable by Dealer to Counterparty per exercised Option and (b) the Applicable Limit Price on the Settlement Date and (ii) the amount of cash (if any) payable by Dealer to Counterparty per exercised Option would otherwise exceed the amount per Option, as determined by the Calculation Agent, that would be payable by Dealer under Section 6 of the Agreement if (x) the relevant Conversion Date were an Early Termination Date resulting from an Additional Termination Event with respect to which the Transaction was the sole Affected Transaction and Counterparty was the sole Affected Party and (y) Section 14.03 of the Indenture were deleted, then each Daily Option Value shall be proportionately reduced to the extent necessary to eliminate such excess.</w:t>
      </w:r>
    </w:p>
    <w:p>
      <w:pPr>
        <w:spacing w:after="0" w:line="143" w:lineRule="exact"/>
        <w:rPr>
          <w:sz w:val="20"/>
          <w:szCs w:val="20"/>
          <w:color w:val="auto"/>
        </w:rPr>
      </w:pPr>
    </w:p>
    <w:p>
      <w:pPr>
        <w:sectPr>
          <w:pgSz w:w="11900" w:h="16838" w:orient="portrait"/>
          <w:cols w:equalWidth="0" w:num="2">
            <w:col w:w="2520" w:space="720"/>
            <w:col w:w="7200"/>
          </w:cols>
          <w:pgMar w:left="1220" w:top="800" w:right="239" w:bottom="1440" w:gutter="0" w:footer="0" w:header="0"/>
          <w:type w:val="continuous"/>
        </w:sectPr>
      </w:pPr>
    </w:p>
    <w:p>
      <w:pPr>
        <w:spacing w:after="0"/>
        <w:rPr>
          <w:sz w:val="20"/>
          <w:szCs w:val="20"/>
          <w:color w:val="auto"/>
        </w:rPr>
      </w:pPr>
      <w:r>
        <w:rPr>
          <w:rFonts w:ascii="Arial" w:cs="Arial" w:eastAsia="Arial" w:hAnsi="Arial"/>
          <w:sz w:val="17"/>
          <w:szCs w:val="17"/>
          <w:color w:val="auto"/>
        </w:rPr>
        <w:t>Applicable Limit:</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8"/>
          <w:szCs w:val="18"/>
          <w:color w:val="auto"/>
        </w:rPr>
        <w:t xml:space="preserve">For any Option, an amount of cash equal to the Applicable Percentage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excess of (i) the aggregate of (A) the amount of cash, if any, paid to the Holder of the related Convertible Note upon conversion of such Convertible Note and (B) the number of Shares, if any, delivered to the Holder of the related Convertible Note upon conversion of such Convertible Note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w:t>
      </w:r>
    </w:p>
    <w:p>
      <w:pPr>
        <w:spacing w:after="0" w:line="200" w:lineRule="exact"/>
        <w:rPr>
          <w:sz w:val="20"/>
          <w:szCs w:val="20"/>
          <w:color w:val="auto"/>
        </w:rPr>
      </w:pPr>
    </w:p>
    <w:p>
      <w:pPr>
        <w:sectPr>
          <w:pgSz w:w="11900" w:h="16838" w:orient="portrait"/>
          <w:cols w:equalWidth="0" w:num="2">
            <w:col w:w="2520" w:space="720"/>
            <w:col w:w="7200"/>
          </w:cols>
          <w:pgMar w:left="1220" w:top="800" w:right="239" w:bottom="1440" w:gutter="0" w:footer="0" w:header="0"/>
          <w:type w:val="continuous"/>
        </w:sectPr>
      </w:pPr>
    </w:p>
    <w:p>
      <w:pPr>
        <w:spacing w:after="0" w:line="245"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440"/>
          </w:cols>
          <w:pgMar w:left="1220" w:top="800" w:right="239" w:bottom="1440" w:gutter="0" w:footer="0" w:header="0"/>
          <w:type w:val="continuous"/>
        </w:sectPr>
      </w:pPr>
    </w:p>
    <w:bookmarkStart w:id="191" w:name="page192"/>
    <w:bookmarkEnd w:id="191"/>
    <w:tbl>
      <w:tblPr>
        <w:tblLayout w:type="fixed"/>
        <w:tblInd w:w="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2"/>
              </w:rPr>
              <w:t>Applicable Limit Price on the settlement date for the conversion of such Convertible Note, over (ii)</w:t>
            </w:r>
          </w:p>
        </w:tc>
      </w:tr>
      <w:tr>
        <w:trPr>
          <w:trHeight w:val="257"/>
        </w:trPr>
        <w:tc>
          <w:tcPr>
            <w:tcW w:w="2680" w:type="dxa"/>
            <w:vAlign w:val="bottom"/>
          </w:tcPr>
          <w:p>
            <w:pPr>
              <w:spacing w:after="0"/>
              <w:rPr>
                <w:sz w:val="22"/>
                <w:szCs w:val="22"/>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rPr>
              <w:t>USD 1,000.</w:t>
            </w:r>
          </w:p>
        </w:tc>
      </w:tr>
      <w:tr>
        <w:trPr>
          <w:trHeight w:val="391"/>
        </w:trPr>
        <w:tc>
          <w:tcPr>
            <w:tcW w:w="2680" w:type="dxa"/>
            <w:vAlign w:val="bottom"/>
          </w:tcPr>
          <w:p>
            <w:pPr>
              <w:spacing w:after="0"/>
              <w:rPr>
                <w:sz w:val="20"/>
                <w:szCs w:val="20"/>
                <w:color w:val="auto"/>
              </w:rPr>
            </w:pPr>
            <w:r>
              <w:rPr>
                <w:rFonts w:ascii="Arial" w:cs="Arial" w:eastAsia="Arial" w:hAnsi="Arial"/>
                <w:sz w:val="18"/>
                <w:szCs w:val="18"/>
                <w:color w:val="auto"/>
              </w:rPr>
              <w:t>Applicable Limit Price:</w:t>
            </w: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6"/>
              </w:rPr>
              <w:t>On any day, the opening price as displayed under the heading “Op” on Bloomberg page VAC</w:t>
            </w:r>
          </w:p>
        </w:tc>
      </w:tr>
      <w:tr>
        <w:trPr>
          <w:trHeight w:val="230"/>
        </w:trPr>
        <w:tc>
          <w:tcPr>
            <w:tcW w:w="2680" w:type="dxa"/>
            <w:vAlign w:val="bottom"/>
          </w:tcPr>
          <w:p>
            <w:pPr>
              <w:spacing w:after="0"/>
              <w:rPr>
                <w:sz w:val="20"/>
                <w:szCs w:val="20"/>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rPr>
              <w:t>&lt;equity&gt; (or any successor thereto).</w:t>
            </w:r>
          </w:p>
        </w:tc>
      </w:tr>
      <w:tr>
        <w:trPr>
          <w:trHeight w:val="377"/>
        </w:trPr>
        <w:tc>
          <w:tcPr>
            <w:tcW w:w="2680" w:type="dxa"/>
            <w:vAlign w:val="bottom"/>
          </w:tcPr>
          <w:p>
            <w:pPr>
              <w:spacing w:after="0"/>
              <w:rPr>
                <w:sz w:val="20"/>
                <w:szCs w:val="20"/>
                <w:color w:val="auto"/>
              </w:rPr>
            </w:pPr>
            <w:r>
              <w:rPr>
                <w:rFonts w:ascii="Arial" w:cs="Arial" w:eastAsia="Arial" w:hAnsi="Arial"/>
                <w:sz w:val="18"/>
                <w:szCs w:val="18"/>
                <w:color w:val="auto"/>
              </w:rPr>
              <w:t>Valid Day:</w:t>
            </w: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7"/>
              </w:rPr>
              <w:t>A day on which (i) there is no Market Disruption Event and (ii) trading in the Shares generally</w:t>
            </w:r>
          </w:p>
        </w:tc>
      </w:tr>
      <w:tr>
        <w:trPr>
          <w:trHeight w:val="216"/>
        </w:trPr>
        <w:tc>
          <w:tcPr>
            <w:tcW w:w="26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0"/>
              </w:rPr>
              <w:t>occurs on the Exchange or, if the Shares are not then listed on the Exchange, on the principal other</w:t>
            </w:r>
          </w:p>
        </w:tc>
      </w:tr>
      <w:tr>
        <w:trPr>
          <w:trHeight w:val="216"/>
        </w:trPr>
        <w:tc>
          <w:tcPr>
            <w:tcW w:w="26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1"/>
              </w:rPr>
              <w:t>United States national or regional securities exchange on which the Shares are then listed or, if the</w:t>
            </w:r>
          </w:p>
        </w:tc>
      </w:tr>
      <w:tr>
        <w:trPr>
          <w:trHeight w:val="216"/>
        </w:trPr>
        <w:tc>
          <w:tcPr>
            <w:tcW w:w="26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6"/>
              </w:rPr>
              <w:t>Shares are not then listed on a United States national or regional securities exchange, on the</w:t>
            </w:r>
          </w:p>
        </w:tc>
      </w:tr>
      <w:tr>
        <w:trPr>
          <w:trHeight w:val="216"/>
        </w:trPr>
        <w:tc>
          <w:tcPr>
            <w:tcW w:w="26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1"/>
              </w:rPr>
              <w:t>principal other market on which the Shares are then listed or admitted for trading. If the Shares are</w:t>
            </w:r>
          </w:p>
        </w:tc>
      </w:tr>
      <w:tr>
        <w:trPr>
          <w:trHeight w:val="230"/>
        </w:trPr>
        <w:tc>
          <w:tcPr>
            <w:tcW w:w="2680" w:type="dxa"/>
            <w:vAlign w:val="bottom"/>
          </w:tcPr>
          <w:p>
            <w:pPr>
              <w:spacing w:after="0"/>
              <w:rPr>
                <w:sz w:val="20"/>
                <w:szCs w:val="20"/>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rPr>
              <w:t>not so listed or admitted for trading, “Valid Day” means a Business Day.</w:t>
            </w:r>
          </w:p>
        </w:tc>
      </w:tr>
      <w:tr>
        <w:trPr>
          <w:trHeight w:val="377"/>
        </w:trPr>
        <w:tc>
          <w:tcPr>
            <w:tcW w:w="2680" w:type="dxa"/>
            <w:vAlign w:val="bottom"/>
          </w:tcPr>
          <w:p>
            <w:pPr>
              <w:spacing w:after="0"/>
              <w:rPr>
                <w:sz w:val="20"/>
                <w:szCs w:val="20"/>
                <w:color w:val="auto"/>
              </w:rPr>
            </w:pPr>
            <w:r>
              <w:rPr>
                <w:rFonts w:ascii="Arial" w:cs="Arial" w:eastAsia="Arial" w:hAnsi="Arial"/>
                <w:sz w:val="18"/>
                <w:szCs w:val="18"/>
                <w:color w:val="auto"/>
              </w:rPr>
              <w:t>Scheduled Valid Day:</w:t>
            </w: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8"/>
              </w:rPr>
              <w:t>A day that is scheduled to be a Valid Day on the principal United States national or regional</w:t>
            </w:r>
          </w:p>
        </w:tc>
      </w:tr>
      <w:tr>
        <w:trPr>
          <w:trHeight w:val="216"/>
        </w:trPr>
        <w:tc>
          <w:tcPr>
            <w:tcW w:w="26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2"/>
              </w:rPr>
              <w:t>securities exchange or market on which the Shares are listed or admitted for trading. If the Shares</w:t>
            </w:r>
          </w:p>
        </w:tc>
      </w:tr>
      <w:tr>
        <w:trPr>
          <w:trHeight w:val="230"/>
        </w:trPr>
        <w:tc>
          <w:tcPr>
            <w:tcW w:w="2680" w:type="dxa"/>
            <w:vAlign w:val="bottom"/>
          </w:tcPr>
          <w:p>
            <w:pPr>
              <w:spacing w:after="0"/>
              <w:rPr>
                <w:sz w:val="20"/>
                <w:szCs w:val="20"/>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rPr>
              <w:t>are not so listed or admitted for trading, “Scheduled Valid Day” means a Business Day.</w:t>
            </w:r>
          </w:p>
        </w:tc>
      </w:tr>
      <w:tr>
        <w:trPr>
          <w:trHeight w:val="377"/>
        </w:trPr>
        <w:tc>
          <w:tcPr>
            <w:tcW w:w="2680" w:type="dxa"/>
            <w:vAlign w:val="bottom"/>
          </w:tcPr>
          <w:p>
            <w:pPr>
              <w:spacing w:after="0"/>
              <w:rPr>
                <w:sz w:val="20"/>
                <w:szCs w:val="20"/>
                <w:color w:val="auto"/>
              </w:rPr>
            </w:pPr>
            <w:r>
              <w:rPr>
                <w:rFonts w:ascii="Arial" w:cs="Arial" w:eastAsia="Arial" w:hAnsi="Arial"/>
                <w:sz w:val="18"/>
                <w:szCs w:val="18"/>
                <w:color w:val="auto"/>
              </w:rPr>
              <w:t>Business Day:</w:t>
            </w: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0"/>
              </w:rPr>
              <w:t>Any day other than a Saturday, a Sunday or a day on which the Federal Reserve Bank of New York</w:t>
            </w:r>
          </w:p>
        </w:tc>
      </w:tr>
      <w:tr>
        <w:trPr>
          <w:trHeight w:val="216"/>
        </w:trPr>
        <w:tc>
          <w:tcPr>
            <w:tcW w:w="26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1"/>
              </w:rPr>
              <w:t>or banking institutions in New York are authorized or required by law or executive order to close or</w:t>
            </w:r>
          </w:p>
        </w:tc>
      </w:tr>
      <w:tr>
        <w:trPr>
          <w:trHeight w:val="230"/>
        </w:trPr>
        <w:tc>
          <w:tcPr>
            <w:tcW w:w="2680" w:type="dxa"/>
            <w:vAlign w:val="bottom"/>
          </w:tcPr>
          <w:p>
            <w:pPr>
              <w:spacing w:after="0"/>
              <w:rPr>
                <w:sz w:val="20"/>
                <w:szCs w:val="20"/>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rPr>
              <w:t>be closed.</w:t>
            </w:r>
          </w:p>
        </w:tc>
      </w:tr>
      <w:tr>
        <w:trPr>
          <w:trHeight w:val="377"/>
        </w:trPr>
        <w:tc>
          <w:tcPr>
            <w:tcW w:w="2680" w:type="dxa"/>
            <w:vAlign w:val="bottom"/>
          </w:tcPr>
          <w:p>
            <w:pPr>
              <w:spacing w:after="0"/>
              <w:rPr>
                <w:sz w:val="20"/>
                <w:szCs w:val="20"/>
                <w:color w:val="auto"/>
              </w:rPr>
            </w:pPr>
            <w:r>
              <w:rPr>
                <w:rFonts w:ascii="Arial" w:cs="Arial" w:eastAsia="Arial" w:hAnsi="Arial"/>
                <w:sz w:val="18"/>
                <w:szCs w:val="18"/>
                <w:color w:val="auto"/>
              </w:rPr>
              <w:t>Relevant Price:</w:t>
            </w: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3"/>
              </w:rPr>
              <w:t>On any Valid Day, the per Share volume-weighted average price as displayed under the heading</w:t>
            </w:r>
          </w:p>
        </w:tc>
      </w:tr>
      <w:tr>
        <w:trPr>
          <w:trHeight w:val="216"/>
        </w:trPr>
        <w:tc>
          <w:tcPr>
            <w:tcW w:w="26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4"/>
              </w:rPr>
              <w:t>“Bloomberg VWAP” on Bloomberg page VAC &lt;equity&gt; AQR (or its equivalent successor if such</w:t>
            </w:r>
          </w:p>
        </w:tc>
      </w:tr>
      <w:tr>
        <w:trPr>
          <w:trHeight w:val="216"/>
        </w:trPr>
        <w:tc>
          <w:tcPr>
            <w:tcW w:w="26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rPr>
              <w:t>page is not available) in respect of the period from the scheduled open of trading until the</w:t>
            </w:r>
          </w:p>
        </w:tc>
      </w:tr>
      <w:tr>
        <w:trPr>
          <w:trHeight w:val="216"/>
        </w:trPr>
        <w:tc>
          <w:tcPr>
            <w:tcW w:w="26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5"/>
              </w:rPr>
              <w:t>scheduled close of trading of the primary trading session on such Valid Day (or if such volume-</w:t>
            </w:r>
          </w:p>
        </w:tc>
      </w:tr>
      <w:tr>
        <w:trPr>
          <w:trHeight w:val="216"/>
        </w:trPr>
        <w:tc>
          <w:tcPr>
            <w:tcW w:w="26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8"/>
              </w:rPr>
              <w:t>weighted average price is unavailable, the market value of one Share on such Valid Day, as</w:t>
            </w:r>
          </w:p>
        </w:tc>
      </w:tr>
      <w:tr>
        <w:trPr>
          <w:trHeight w:val="216"/>
        </w:trPr>
        <w:tc>
          <w:tcPr>
            <w:tcW w:w="26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2"/>
              </w:rPr>
              <w:t>reasonably determined by the Calculation Agent using, if practicable, a volume-weighted average</w:t>
            </w:r>
          </w:p>
        </w:tc>
      </w:tr>
      <w:tr>
        <w:trPr>
          <w:trHeight w:val="216"/>
        </w:trPr>
        <w:tc>
          <w:tcPr>
            <w:tcW w:w="26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2"/>
              </w:rPr>
              <w:t xml:space="preserve">method;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xml:space="preserve"> that such market value shall not exceed the market value of one Share on such</w:t>
            </w:r>
          </w:p>
        </w:tc>
      </w:tr>
      <w:tr>
        <w:trPr>
          <w:trHeight w:val="216"/>
        </w:trPr>
        <w:tc>
          <w:tcPr>
            <w:tcW w:w="26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3"/>
              </w:rPr>
              <w:t>Valid Day determined by the nationally recognized independent investment banking firm retained</w:t>
            </w:r>
          </w:p>
        </w:tc>
      </w:tr>
      <w:tr>
        <w:trPr>
          <w:trHeight w:val="216"/>
        </w:trPr>
        <w:tc>
          <w:tcPr>
            <w:tcW w:w="26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5"/>
              </w:rPr>
              <w:t>for such purpose by Counterparty under the terms of the Indenture). The Relevant Price will be</w:t>
            </w:r>
          </w:p>
        </w:tc>
      </w:tr>
      <w:tr>
        <w:trPr>
          <w:trHeight w:val="216"/>
        </w:trPr>
        <w:tc>
          <w:tcPr>
            <w:tcW w:w="2680" w:type="dxa"/>
            <w:vAlign w:val="bottom"/>
          </w:tcPr>
          <w:p>
            <w:pPr>
              <w:spacing w:after="0"/>
              <w:rPr>
                <w:sz w:val="18"/>
                <w:szCs w:val="18"/>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2"/>
              </w:rPr>
              <w:t>determined without regard to after-hours trading or any other trading outside of the regular trading</w:t>
            </w:r>
          </w:p>
        </w:tc>
      </w:tr>
      <w:tr>
        <w:trPr>
          <w:trHeight w:val="230"/>
        </w:trPr>
        <w:tc>
          <w:tcPr>
            <w:tcW w:w="2680" w:type="dxa"/>
            <w:vAlign w:val="bottom"/>
          </w:tcPr>
          <w:p>
            <w:pPr>
              <w:spacing w:after="0"/>
              <w:rPr>
                <w:sz w:val="20"/>
                <w:szCs w:val="20"/>
                <w:color w:val="auto"/>
              </w:rPr>
            </w:pP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rPr>
              <w:t>session trading hours.</w:t>
            </w:r>
          </w:p>
        </w:tc>
      </w:tr>
      <w:tr>
        <w:trPr>
          <w:trHeight w:val="392"/>
        </w:trPr>
        <w:tc>
          <w:tcPr>
            <w:tcW w:w="2680" w:type="dxa"/>
            <w:vAlign w:val="bottom"/>
          </w:tcPr>
          <w:p>
            <w:pPr>
              <w:spacing w:after="0"/>
              <w:rPr>
                <w:sz w:val="20"/>
                <w:szCs w:val="20"/>
                <w:color w:val="auto"/>
              </w:rPr>
            </w:pPr>
            <w:r>
              <w:rPr>
                <w:rFonts w:ascii="Arial" w:cs="Arial" w:eastAsia="Arial" w:hAnsi="Arial"/>
                <w:sz w:val="18"/>
                <w:szCs w:val="18"/>
                <w:color w:val="auto"/>
              </w:rPr>
              <w:t>Settlement Averaging Period:</w:t>
            </w: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rPr>
              <w:t>For any Option and regardless of the Settlement Method applicable to such Option:</w:t>
            </w:r>
          </w:p>
        </w:tc>
      </w:tr>
      <w:tr>
        <w:trPr>
          <w:trHeight w:val="377"/>
        </w:trPr>
        <w:tc>
          <w:tcPr>
            <w:tcW w:w="2680" w:type="dxa"/>
            <w:vAlign w:val="bottom"/>
          </w:tcPr>
          <w:p>
            <w:pPr>
              <w:spacing w:after="0"/>
              <w:rPr>
                <w:sz w:val="24"/>
                <w:szCs w:val="24"/>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rPr>
              <w:t>(i)</w:t>
            </w:r>
          </w:p>
        </w:tc>
        <w:tc>
          <w:tcPr>
            <w:tcW w:w="6840" w:type="dxa"/>
            <w:vAlign w:val="bottom"/>
          </w:tcPr>
          <w:p>
            <w:pPr>
              <w:ind w:left="160"/>
              <w:spacing w:after="0"/>
              <w:rPr>
                <w:sz w:val="20"/>
                <w:szCs w:val="20"/>
                <w:color w:val="auto"/>
              </w:rPr>
            </w:pPr>
            <w:r>
              <w:rPr>
                <w:rFonts w:ascii="Arial" w:cs="Arial" w:eastAsia="Arial" w:hAnsi="Arial"/>
                <w:sz w:val="18"/>
                <w:szCs w:val="18"/>
                <w:color w:val="auto"/>
              </w:rPr>
              <w:t>if the related Conversion Date occurs prior to the Free Convertibility Date, the 30</w:t>
            </w:r>
          </w:p>
        </w:tc>
      </w:tr>
      <w:tr>
        <w:trPr>
          <w:trHeight w:val="216"/>
        </w:trPr>
        <w:tc>
          <w:tcPr>
            <w:tcW w:w="2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w w:val="96"/>
              </w:rPr>
              <w:t>consecutive Valid Days commencing on, and including, the second Valid Day following</w:t>
            </w:r>
          </w:p>
        </w:tc>
      </w:tr>
      <w:tr>
        <w:trPr>
          <w:trHeight w:val="230"/>
        </w:trPr>
        <w:tc>
          <w:tcPr>
            <w:tcW w:w="2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such Conversion Date; or</w:t>
            </w:r>
          </w:p>
        </w:tc>
      </w:tr>
      <w:tr>
        <w:trPr>
          <w:trHeight w:val="377"/>
        </w:trPr>
        <w:tc>
          <w:tcPr>
            <w:tcW w:w="2680" w:type="dxa"/>
            <w:vAlign w:val="bottom"/>
          </w:tcPr>
          <w:p>
            <w:pPr>
              <w:spacing w:after="0"/>
              <w:rPr>
                <w:sz w:val="24"/>
                <w:szCs w:val="24"/>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rPr>
              <w:t>(ii)</w:t>
            </w:r>
          </w:p>
        </w:tc>
        <w:tc>
          <w:tcPr>
            <w:tcW w:w="6840" w:type="dxa"/>
            <w:vAlign w:val="bottom"/>
          </w:tcPr>
          <w:p>
            <w:pPr>
              <w:ind w:left="160"/>
              <w:spacing w:after="0"/>
              <w:rPr>
                <w:sz w:val="20"/>
                <w:szCs w:val="20"/>
                <w:color w:val="auto"/>
              </w:rPr>
            </w:pPr>
            <w:r>
              <w:rPr>
                <w:rFonts w:ascii="Arial" w:cs="Arial" w:eastAsia="Arial" w:hAnsi="Arial"/>
                <w:sz w:val="18"/>
                <w:szCs w:val="18"/>
                <w:color w:val="auto"/>
                <w:w w:val="95"/>
              </w:rPr>
              <w:t>if the related Conversion Date occurs on or following the Free Convertibility Date, the 30</w:t>
            </w:r>
          </w:p>
        </w:tc>
      </w:tr>
      <w:tr>
        <w:trPr>
          <w:trHeight w:val="230"/>
        </w:trPr>
        <w:tc>
          <w:tcPr>
            <w:tcW w:w="2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consecutive</w:t>
            </w:r>
          </w:p>
        </w:tc>
      </w:tr>
      <w:tr>
        <w:trPr>
          <w:trHeight w:val="689"/>
        </w:trPr>
        <w:tc>
          <w:tcPr>
            <w:tcW w:w="2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40" w:type="dxa"/>
            <w:vAlign w:val="bottom"/>
          </w:tcPr>
          <w:p>
            <w:pPr>
              <w:ind w:left="108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0440"/>
          </w:cols>
          <w:pgMar w:left="1220" w:top="828" w:right="239" w:bottom="1440" w:gutter="0" w:footer="0" w:header="0"/>
        </w:sectPr>
      </w:pPr>
    </w:p>
    <w:bookmarkStart w:id="192" w:name="page193"/>
    <w:bookmarkEnd w:id="192"/>
    <w:p>
      <w:pPr>
        <w:ind w:left="4732" w:right="20"/>
        <w:spacing w:after="0" w:line="262" w:lineRule="auto"/>
        <w:rPr>
          <w:sz w:val="20"/>
          <w:szCs w:val="20"/>
          <w:color w:val="auto"/>
        </w:rPr>
      </w:pPr>
      <w:r>
        <w:rPr>
          <w:rFonts w:ascii="Arial" w:cs="Arial" w:eastAsia="Arial" w:hAnsi="Arial"/>
          <w:sz w:val="18"/>
          <w:szCs w:val="18"/>
          <w:color w:val="auto"/>
        </w:rPr>
        <w:t>Valid Days commencing on, and including, the 32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Scheduled Valid Day immediately prior to the Expiration Date.</w:t>
      </w:r>
    </w:p>
    <w:p>
      <w:pPr>
        <w:spacing w:after="0" w:line="149" w:lineRule="exact"/>
        <w:rPr>
          <w:sz w:val="20"/>
          <w:szCs w:val="20"/>
          <w:color w:val="auto"/>
        </w:rPr>
      </w:pPr>
    </w:p>
    <w:p>
      <w:pPr>
        <w:ind w:left="972"/>
        <w:spacing w:after="0"/>
        <w:tabs>
          <w:tab w:leader="none" w:pos="4192" w:val="left"/>
        </w:tabs>
        <w:rPr>
          <w:sz w:val="20"/>
          <w:szCs w:val="20"/>
          <w:color w:val="auto"/>
        </w:rPr>
      </w:pPr>
      <w:r>
        <w:rPr>
          <w:rFonts w:ascii="Arial" w:cs="Arial" w:eastAsia="Arial" w:hAnsi="Arial"/>
          <w:sz w:val="18"/>
          <w:szCs w:val="18"/>
          <w:color w:val="auto"/>
        </w:rPr>
        <w:t>Settlement Date:</w:t>
      </w:r>
      <w:r>
        <w:rPr>
          <w:sz w:val="20"/>
          <w:szCs w:val="20"/>
          <w:color w:val="auto"/>
        </w:rPr>
        <w:tab/>
      </w:r>
      <w:r>
        <w:rPr>
          <w:rFonts w:ascii="Arial" w:cs="Arial" w:eastAsia="Arial" w:hAnsi="Arial"/>
          <w:sz w:val="18"/>
          <w:szCs w:val="18"/>
          <w:color w:val="auto"/>
        </w:rPr>
        <w:t>For any Option, the third Business Day immediately following the final Valid Day of the</w:t>
      </w:r>
    </w:p>
    <w:p>
      <w:pPr>
        <w:spacing w:after="0" w:line="23" w:lineRule="exact"/>
        <w:rPr>
          <w:sz w:val="20"/>
          <w:szCs w:val="20"/>
          <w:color w:val="auto"/>
        </w:rPr>
      </w:pPr>
    </w:p>
    <w:p>
      <w:pPr>
        <w:ind w:left="4212"/>
        <w:spacing w:after="0"/>
        <w:rPr>
          <w:sz w:val="20"/>
          <w:szCs w:val="20"/>
          <w:color w:val="auto"/>
        </w:rPr>
      </w:pPr>
      <w:r>
        <w:rPr>
          <w:rFonts w:ascii="Arial" w:cs="Arial" w:eastAsia="Arial" w:hAnsi="Arial"/>
          <w:sz w:val="18"/>
          <w:szCs w:val="18"/>
          <w:color w:val="auto"/>
        </w:rPr>
        <w:t>Settlement Averaging Period for such Option.</w:t>
      </w:r>
    </w:p>
    <w:p>
      <w:pPr>
        <w:spacing w:after="0" w:line="170" w:lineRule="exact"/>
        <w:rPr>
          <w:sz w:val="20"/>
          <w:szCs w:val="20"/>
          <w:color w:val="auto"/>
        </w:rPr>
      </w:pPr>
    </w:p>
    <w:p>
      <w:pPr>
        <w:ind w:left="972"/>
        <w:spacing w:after="0"/>
        <w:tabs>
          <w:tab w:leader="none" w:pos="4192" w:val="left"/>
        </w:tabs>
        <w:rPr>
          <w:sz w:val="20"/>
          <w:szCs w:val="20"/>
          <w:color w:val="auto"/>
        </w:rPr>
      </w:pPr>
      <w:r>
        <w:rPr>
          <w:rFonts w:ascii="Arial" w:cs="Arial" w:eastAsia="Arial" w:hAnsi="Arial"/>
          <w:sz w:val="18"/>
          <w:szCs w:val="18"/>
          <w:color w:val="auto"/>
        </w:rPr>
        <w:t>Settlement Currency:</w:t>
      </w:r>
      <w:r>
        <w:rPr>
          <w:sz w:val="20"/>
          <w:szCs w:val="20"/>
          <w:color w:val="auto"/>
        </w:rPr>
        <w:tab/>
      </w:r>
      <w:r>
        <w:rPr>
          <w:rFonts w:ascii="Arial" w:cs="Arial" w:eastAsia="Arial" w:hAnsi="Arial"/>
          <w:sz w:val="17"/>
          <w:szCs w:val="17"/>
          <w:color w:val="auto"/>
        </w:rPr>
        <w:t>USD</w:t>
      </w:r>
    </w:p>
    <w:p>
      <w:pPr>
        <w:spacing w:after="0" w:line="185" w:lineRule="exact"/>
        <w:rPr>
          <w:sz w:val="20"/>
          <w:szCs w:val="20"/>
          <w:color w:val="auto"/>
        </w:rPr>
      </w:pPr>
    </w:p>
    <w:p>
      <w:pPr>
        <w:ind w:left="972"/>
        <w:spacing w:after="0"/>
        <w:tabs>
          <w:tab w:leader="none" w:pos="4192" w:val="left"/>
        </w:tabs>
        <w:rPr>
          <w:sz w:val="20"/>
          <w:szCs w:val="20"/>
          <w:color w:val="auto"/>
        </w:rPr>
      </w:pPr>
      <w:r>
        <w:rPr>
          <w:rFonts w:ascii="Arial" w:cs="Arial" w:eastAsia="Arial" w:hAnsi="Arial"/>
          <w:sz w:val="18"/>
          <w:szCs w:val="18"/>
          <w:color w:val="auto"/>
        </w:rPr>
        <w:t>Other Applicable Provisions:</w:t>
      </w:r>
      <w:r>
        <w:rPr>
          <w:sz w:val="20"/>
          <w:szCs w:val="20"/>
          <w:color w:val="auto"/>
        </w:rPr>
        <w:tab/>
      </w:r>
      <w:r>
        <w:rPr>
          <w:rFonts w:ascii="Arial" w:cs="Arial" w:eastAsia="Arial" w:hAnsi="Arial"/>
          <w:sz w:val="17"/>
          <w:szCs w:val="17"/>
          <w:color w:val="auto"/>
        </w:rPr>
        <w:t>The provisions of Sections 9.1(c), 9.8, 9.9 and 9.11 of the Equity Definitions will be applicable,</w:t>
      </w:r>
    </w:p>
    <w:p>
      <w:pPr>
        <w:spacing w:after="0" w:line="23" w:lineRule="exact"/>
        <w:rPr>
          <w:sz w:val="20"/>
          <w:szCs w:val="20"/>
          <w:color w:val="auto"/>
        </w:rPr>
      </w:pPr>
    </w:p>
    <w:p>
      <w:pPr>
        <w:ind w:left="4212"/>
        <w:spacing w:after="0"/>
        <w:rPr>
          <w:sz w:val="20"/>
          <w:szCs w:val="20"/>
          <w:color w:val="auto"/>
        </w:rPr>
      </w:pPr>
      <w:r>
        <w:rPr>
          <w:rFonts w:ascii="Arial" w:cs="Arial" w:eastAsia="Arial" w:hAnsi="Arial"/>
          <w:sz w:val="16"/>
          <w:szCs w:val="16"/>
          <w:color w:val="auto"/>
        </w:rPr>
        <w:t>except that all references in such provisions to “Physically-settled” shall be read as references to</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“Share Settled”. “Share Settled” in relation to any Option means that Net Share Settlement or</w:t>
      </w:r>
    </w:p>
    <w:p>
      <w:pPr>
        <w:spacing w:after="0" w:line="9" w:lineRule="exact"/>
        <w:rPr>
          <w:sz w:val="20"/>
          <w:szCs w:val="20"/>
          <w:color w:val="auto"/>
        </w:rPr>
      </w:pPr>
    </w:p>
    <w:p>
      <w:pPr>
        <w:ind w:left="4212"/>
        <w:spacing w:after="0"/>
        <w:rPr>
          <w:sz w:val="20"/>
          <w:szCs w:val="20"/>
          <w:color w:val="auto"/>
        </w:rPr>
      </w:pPr>
      <w:r>
        <w:rPr>
          <w:rFonts w:ascii="Arial" w:cs="Arial" w:eastAsia="Arial" w:hAnsi="Arial"/>
          <w:sz w:val="18"/>
          <w:szCs w:val="18"/>
          <w:color w:val="auto"/>
        </w:rPr>
        <w:t>Combination Settlement is applicable to that Option.</w:t>
      </w:r>
    </w:p>
    <w:p>
      <w:pPr>
        <w:sectPr>
          <w:pgSz w:w="11900" w:h="16838" w:orient="portrait"/>
          <w:cols w:equalWidth="0" w:num="1">
            <w:col w:w="11412"/>
          </w:cols>
          <w:pgMar w:left="248" w:top="801" w:right="239" w:bottom="1440" w:gutter="0" w:footer="0" w:header="0"/>
        </w:sectPr>
      </w:pPr>
    </w:p>
    <w:p>
      <w:pPr>
        <w:spacing w:after="0" w:line="170" w:lineRule="exact"/>
        <w:rPr>
          <w:sz w:val="20"/>
          <w:szCs w:val="20"/>
          <w:color w:val="auto"/>
        </w:rPr>
      </w:pPr>
    </w:p>
    <w:p>
      <w:pPr>
        <w:jc w:val="center"/>
        <w:ind w:left="232"/>
        <w:spacing w:after="0"/>
        <w:rPr>
          <w:sz w:val="20"/>
          <w:szCs w:val="20"/>
          <w:color w:val="auto"/>
        </w:rPr>
      </w:pPr>
      <w:r>
        <w:rPr>
          <w:rFonts w:ascii="Arial" w:cs="Arial" w:eastAsia="Arial" w:hAnsi="Arial"/>
          <w:sz w:val="18"/>
          <w:szCs w:val="18"/>
          <w:color w:val="auto"/>
        </w:rPr>
        <w:t>Representation and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52" w:hanging="652"/>
        <w:spacing w:after="0" w:line="513" w:lineRule="auto"/>
        <w:tabs>
          <w:tab w:leader="none" w:pos="319"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Additional Terms applicable to the Transaction</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Adjustments applicable to the Transaction:</w:t>
      </w:r>
    </w:p>
    <w:p>
      <w:pPr>
        <w:ind w:left="972"/>
        <w:spacing w:after="0"/>
        <w:rPr>
          <w:rFonts w:ascii="Arial" w:cs="Arial" w:eastAsia="Arial" w:hAnsi="Arial"/>
          <w:sz w:val="16"/>
          <w:szCs w:val="16"/>
          <w:b w:val="1"/>
          <w:bCs w:val="1"/>
          <w:color w:val="auto"/>
        </w:rPr>
      </w:pPr>
      <w:r>
        <w:rPr>
          <w:rFonts w:ascii="Arial" w:cs="Arial" w:eastAsia="Arial" w:hAnsi="Arial"/>
          <w:sz w:val="18"/>
          <w:szCs w:val="18"/>
          <w:color w:val="auto"/>
        </w:rPr>
        <w:t>Potential Adjustment Events: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Notwithstanding anything to the contrary in the Equity Definitions (including, but not limited to, Section 9.11 thereof), the parties acknowledge that (i) any Shares delivered to Counterparty shall be, upon delivery, subject to restrictions and limitations arising from Counterparty’s status as issuer of the Shares under applicable securities laws, (ii) Dealer may deliver any Shares required to be delivered hereunder in certificated form in lieu of delivery through the Clearance System and (iii) any Shares delivered to Counterparty may be “restricted securities” (as defined in Rule 144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Notwithstanding Section 11.2(e) of the Equity Definitions, a “Potential Adjustment Event” means an occurrence of any event or condition, as set forth in any Dilution Adjustment Provision, that would result in an adjustment under the Indenture (as determined by the Calculation Agent by reference to the Dilution Adjustment Provisions) to the “Conversion Rate” or the composition of a “unit of Reference Property” or to any “Last Reported Sale Price” , “Daily VWAP,” “Daily Conversion Value” or “Daily Settlement Amount” (each as defined in the Indenture) or any other variable relevant to the exercise, settlement or payment for the Transaction. For the avoidance of doubt, Dealer shall not have any delivery or payment obligation hereunder, and no adjustment shall be made to the terms of the Transaction, on account of (x) any distribution of cash, property or securities by Counterparty to holders of the Convertible Notes (upon conversion or otherwise) or</w:t>
      </w:r>
    </w:p>
    <w:p>
      <w:pPr>
        <w:spacing w:after="0" w:line="6" w:lineRule="exact"/>
        <w:rPr>
          <w:sz w:val="20"/>
          <w:szCs w:val="20"/>
          <w:color w:val="auto"/>
        </w:rPr>
      </w:pPr>
    </w:p>
    <w:p>
      <w:pPr>
        <w:jc w:val="both"/>
        <w:ind w:firstLine="2"/>
        <w:spacing w:after="0" w:line="277" w:lineRule="auto"/>
        <w:tabs>
          <w:tab w:leader="none" w:pos="27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any other transaction in which holders of the Convertible Notes are entitled to participate, in each case, in lieu of an adjustment under the Indenture of the type referred to in the immediately preceding sentence (including, without limitation, pursuant to the third</w:t>
      </w:r>
    </w:p>
    <w:p>
      <w:pPr>
        <w:spacing w:after="0" w:line="200" w:lineRule="exact"/>
        <w:rPr>
          <w:sz w:val="20"/>
          <w:szCs w:val="20"/>
          <w:color w:val="auto"/>
        </w:rPr>
      </w:pPr>
    </w:p>
    <w:p>
      <w:pPr>
        <w:spacing w:after="0" w:line="2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9</w:t>
      </w:r>
    </w:p>
    <w:p>
      <w:pPr>
        <w:sectPr>
          <w:pgSz w:w="11900" w:h="16838" w:orient="portrait"/>
          <w:cols w:equalWidth="0" w:num="2">
            <w:col w:w="3992" w:space="220"/>
            <w:col w:w="7200"/>
          </w:cols>
          <w:pgMar w:left="248" w:top="801" w:right="239" w:bottom="1440" w:gutter="0" w:footer="0" w:header="0"/>
          <w:type w:val="continuous"/>
        </w:sectPr>
      </w:pPr>
    </w:p>
    <w:bookmarkStart w:id="193" w:name="page194"/>
    <w:bookmarkEnd w:id="193"/>
    <w:p>
      <w:pPr>
        <w:ind w:left="3240"/>
        <w:spacing w:after="0" w:line="324" w:lineRule="auto"/>
        <w:rPr>
          <w:sz w:val="20"/>
          <w:szCs w:val="20"/>
          <w:color w:val="auto"/>
        </w:rPr>
      </w:pPr>
      <w:r>
        <w:rPr>
          <w:rFonts w:ascii="Arial" w:cs="Arial" w:eastAsia="Arial" w:hAnsi="Arial"/>
          <w:sz w:val="18"/>
          <w:szCs w:val="18"/>
          <w:color w:val="auto"/>
        </w:rPr>
        <w:t>paragraph of Section 14.04(c) of the Indenture or the fourth paragraph of Section 14.04(d) of the Indenture).</w:t>
      </w:r>
    </w:p>
    <w:p>
      <w:pPr>
        <w:sectPr>
          <w:pgSz w:w="11900" w:h="16838" w:orient="portrait"/>
          <w:cols w:equalWidth="0" w:num="1">
            <w:col w:w="10440"/>
          </w:cols>
          <w:pgMar w:left="1220" w:top="828" w:right="23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Method of Adjustment: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Calculation Agent Adjustment, which means that, notwithstanding Section 11.2(c) of the Equity Definitions (and, for the avoidance of doubt, in lieu of any adjustments pursuant to such Section), upon any Potential Adjustment Event, the Calculation Agent shall make a corresponding adjustment in respect of any adjustment to the Convertible Note under the Indenture to any one or more of the Strike Price, Number of Options, Option Entitlement, the composition of the Shares and any other variable relevant to the exercise, settlement or payment for the Transaction, as determined by reference to the Dilution Adjustment Provisions, to the extent an adjustment is required under the Indenture.</w:t>
      </w:r>
    </w:p>
    <w:p>
      <w:pPr>
        <w:spacing w:after="0" w:line="152" w:lineRule="exact"/>
        <w:rPr>
          <w:sz w:val="20"/>
          <w:szCs w:val="20"/>
          <w:color w:val="auto"/>
        </w:rPr>
      </w:pPr>
    </w:p>
    <w:p>
      <w:pPr>
        <w:sectPr>
          <w:pgSz w:w="11900" w:h="16838" w:orient="portrait"/>
          <w:cols w:equalWidth="0" w:num="2">
            <w:col w:w="2520" w:space="720"/>
            <w:col w:w="7200"/>
          </w:cols>
          <w:pgMar w:left="1220" w:top="828" w:right="239" w:bottom="1440" w:gutter="0" w:footer="0" w:header="0"/>
          <w:type w:val="continuous"/>
        </w:sectPr>
      </w:pPr>
    </w:p>
    <w:p>
      <w:pPr>
        <w:ind w:left="3240"/>
        <w:spacing w:after="0"/>
        <w:rPr>
          <w:sz w:val="20"/>
          <w:szCs w:val="20"/>
          <w:color w:val="auto"/>
        </w:rPr>
      </w:pPr>
      <w:r>
        <w:rPr>
          <w:rFonts w:ascii="Arial" w:cs="Arial" w:eastAsia="Arial" w:hAnsi="Arial"/>
          <w:sz w:val="17"/>
          <w:szCs w:val="17"/>
          <w:color w:val="auto"/>
        </w:rPr>
        <w:t>Notwithstanding the foregoing and “Consequences of Merger Events / Tender Offers” below:</w:t>
      </w:r>
    </w:p>
    <w:p>
      <w:pPr>
        <w:spacing w:after="0" w:line="196" w:lineRule="exact"/>
        <w:rPr>
          <w:sz w:val="20"/>
          <w:szCs w:val="20"/>
          <w:color w:val="auto"/>
        </w:rPr>
      </w:pPr>
    </w:p>
    <w:p>
      <w:pPr>
        <w:jc w:val="both"/>
        <w:ind w:left="3900" w:hanging="659"/>
        <w:spacing w:after="0" w:line="304" w:lineRule="auto"/>
        <w:tabs>
          <w:tab w:leader="none" w:pos="388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6"/>
          <w:szCs w:val="16"/>
          <w:color w:val="auto"/>
        </w:rPr>
        <w:t xml:space="preserve">if the Calculation Agent reasonably and in good faith disagrees with any adjustment pursuant to the terms of the Indenture that is the basis of any adjustment hereunder and that involves an exercise of discretion by Counterparty or its board of directors (including, without limitation, pursuant to Section 14.05 of the Indenture, Section 14.07 of the Indenture or any supplemental indenture entered into thereunder or in connection with any proportional adjustment or the determination of the fair value of any securities, property, rights or other assets), then in each such case, the Calculation Agent will determine the adjustment to be made to any one or more of the Strike Price, Number of Options, Option Entitlement and any other variable relevant to the exercise, settlement or payment for the Transaction in a commercially reasonable manner;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if any Potential Adjustment Event occurs during the Settlement Averaging Period but no adjustment was made to any Convertible Note under the Indenture because the relevant “Holder” (as such term is defined in the Indenture) was deemed to be a record Agent shall make an adjustment, consistent with the methodology set forth in the Indenture to the extent reasonably practicable and in a commercially reasonable manner, to the terms hereof in order to account for such Potential Adjustment Event;</w:t>
      </w:r>
    </w:p>
    <w:p>
      <w:pPr>
        <w:spacing w:after="0" w:line="120" w:lineRule="exact"/>
        <w:rPr>
          <w:sz w:val="20"/>
          <w:szCs w:val="20"/>
          <w:color w:val="auto"/>
        </w:rPr>
      </w:pPr>
    </w:p>
    <w:p>
      <w:pPr>
        <w:jc w:val="both"/>
        <w:ind w:left="3900" w:hanging="659"/>
        <w:spacing w:after="0" w:line="286" w:lineRule="auto"/>
        <w:tabs>
          <w:tab w:leader="none" w:pos="3880" w:val="left"/>
        </w:tabs>
        <w:rPr>
          <w:sz w:val="20"/>
          <w:szCs w:val="20"/>
          <w:color w:val="auto"/>
        </w:rPr>
      </w:pPr>
      <w:r>
        <w:rPr>
          <w:rFonts w:ascii="Arial" w:cs="Arial" w:eastAsia="Arial" w:hAnsi="Arial"/>
          <w:sz w:val="17"/>
          <w:szCs w:val="17"/>
          <w:color w:val="auto"/>
        </w:rPr>
        <w:t>(ii)</w:t>
      </w:r>
      <w:r>
        <w:rPr>
          <w:sz w:val="20"/>
          <w:szCs w:val="20"/>
          <w:color w:val="auto"/>
        </w:rPr>
        <w:tab/>
      </w:r>
      <w:r>
        <w:rPr>
          <w:rFonts w:ascii="Arial" w:cs="Arial" w:eastAsia="Arial" w:hAnsi="Arial"/>
          <w:sz w:val="17"/>
          <w:szCs w:val="17"/>
          <w:color w:val="auto"/>
        </w:rPr>
        <w:t>in connection with any Potential Adjustment Event as a result of an event or condition set forth in Section 14.04(b) of the Indenture or Section 14.04(c) of the Indenture where, in either case, the period for determining “Y” (as such term is used</w:t>
      </w:r>
    </w:p>
    <w:p>
      <w:pPr>
        <w:spacing w:after="0" w:line="200" w:lineRule="exact"/>
        <w:rPr>
          <w:sz w:val="20"/>
          <w:szCs w:val="20"/>
          <w:color w:val="auto"/>
        </w:rPr>
      </w:pPr>
    </w:p>
    <w:p>
      <w:pPr>
        <w:spacing w:after="0" w:line="22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40"/>
          </w:cols>
          <w:pgMar w:left="1220" w:top="828" w:right="239" w:bottom="1440" w:gutter="0" w:footer="0" w:header="0"/>
          <w:type w:val="continuous"/>
        </w:sectPr>
      </w:pPr>
    </w:p>
    <w:bookmarkStart w:id="194" w:name="page195"/>
    <w:bookmarkEnd w:id="194"/>
    <w:p>
      <w:pPr>
        <w:ind w:left="4220"/>
        <w:spacing w:after="0"/>
        <w:rPr>
          <w:sz w:val="20"/>
          <w:szCs w:val="20"/>
          <w:color w:val="auto"/>
        </w:rPr>
      </w:pPr>
      <w:r>
        <w:rPr>
          <w:rFonts w:ascii="Arial" w:cs="Arial" w:eastAsia="Arial" w:hAnsi="Arial"/>
          <w:sz w:val="16"/>
          <w:szCs w:val="16"/>
          <w:color w:val="auto"/>
        </w:rPr>
        <w:t>in Section 14.04(b) of the Indenture) or “SP</w:t>
      </w:r>
      <w:r>
        <w:rPr>
          <w:rFonts w:ascii="Arial" w:cs="Arial" w:eastAsia="Arial" w:hAnsi="Arial"/>
          <w:sz w:val="11"/>
          <w:szCs w:val="11"/>
          <w:color w:val="auto"/>
        </w:rPr>
        <w:t>0</w:t>
      </w:r>
      <w:r>
        <w:rPr>
          <w:rFonts w:ascii="Arial" w:cs="Arial" w:eastAsia="Arial" w:hAnsi="Arial"/>
          <w:sz w:val="16"/>
          <w:szCs w:val="16"/>
          <w:color w:val="auto"/>
        </w:rPr>
        <w:t>” (as such term is used in Section 14.04(c) of</w:t>
      </w:r>
    </w:p>
    <w:p>
      <w:pPr>
        <w:spacing w:after="0" w:line="73"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the Indenture), as the case may be, begins before Counterparty has publicly announced the</w:t>
      </w:r>
    </w:p>
    <w:p>
      <w:pPr>
        <w:spacing w:after="0" w:line="73"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event or condition giving rise to such Potential Adjustment Event, then the Calculation</w:t>
      </w:r>
    </w:p>
    <w:p>
      <w:pPr>
        <w:spacing w:after="0" w:line="61"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Agent shall have the right to adjust any variable relevant to the exercise, settlement or</w:t>
      </w:r>
    </w:p>
    <w:p>
      <w:pPr>
        <w:spacing w:after="0" w:line="61"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payment for the Transaction as appropriate to reflect any commercially reasonable</w:t>
      </w:r>
    </w:p>
    <w:p>
      <w:pPr>
        <w:spacing w:after="0" w:line="61"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incremental costs (including, but not limited to, incremental hedging mismatches and</w:t>
      </w:r>
    </w:p>
    <w:p>
      <w:pPr>
        <w:spacing w:after="0" w:line="61"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market losses) and expenses incurred by Dealer in connection with its hedging activities as</w:t>
      </w:r>
    </w:p>
    <w:p>
      <w:pPr>
        <w:spacing w:after="0" w:line="7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 result of such event or condition not having been publicly announced prior to the</w:t>
      </w:r>
    </w:p>
    <w:p>
      <w:pPr>
        <w:spacing w:after="0" w:line="5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beginning of such period; and</w:t>
      </w:r>
    </w:p>
    <w:p>
      <w:pPr>
        <w:spacing w:after="0" w:line="198" w:lineRule="exact"/>
        <w:rPr>
          <w:sz w:val="20"/>
          <w:szCs w:val="20"/>
          <w:color w:val="auto"/>
        </w:rPr>
      </w:pPr>
    </w:p>
    <w:p>
      <w:pPr>
        <w:jc w:val="both"/>
        <w:ind w:left="4220" w:hanging="659"/>
        <w:spacing w:after="0" w:line="287" w:lineRule="auto"/>
        <w:tabs>
          <w:tab w:leader="none" w:pos="4200" w:val="left"/>
        </w:tabs>
        <w:rPr>
          <w:sz w:val="20"/>
          <w:szCs w:val="20"/>
          <w:color w:val="auto"/>
        </w:rPr>
      </w:pPr>
      <w:r>
        <w:rPr>
          <w:rFonts w:ascii="Arial" w:cs="Arial" w:eastAsia="Arial" w:hAnsi="Arial"/>
          <w:sz w:val="16"/>
          <w:szCs w:val="16"/>
          <w:color w:val="auto"/>
        </w:rPr>
        <w:t>(iii)</w:t>
      </w:r>
      <w:r>
        <w:rPr>
          <w:sz w:val="20"/>
          <w:szCs w:val="20"/>
          <w:color w:val="auto"/>
        </w:rPr>
        <w:tab/>
      </w:r>
      <w:r>
        <w:rPr>
          <w:rFonts w:ascii="Arial" w:cs="Arial" w:eastAsia="Arial" w:hAnsi="Arial"/>
          <w:sz w:val="16"/>
          <w:szCs w:val="16"/>
          <w:color w:val="auto"/>
        </w:rPr>
        <w:t>if any Potential Adjustment Event is declared and (a) the event or condition giving rise to such Potential Adjustment Event is subsequently amended, modified, cancelled or abandoned, (b) the “Conversion Rate” (as defined in the Indenture) is otherwise not adjusted at the time or in the manner contemplated by the relevant Dilution Adjustment Provision based on such declaration or (c) the “Conversion Rate” (as defined in the Indenture) is adjusted as a result of such Potential Adjustment Event and subsequently re-adjusted (each of clauses (a), (b) and (c), a “</w:t>
      </w:r>
      <w:r>
        <w:rPr>
          <w:rFonts w:ascii="Arial" w:cs="Arial" w:eastAsia="Arial" w:hAnsi="Arial"/>
          <w:sz w:val="16"/>
          <w:szCs w:val="16"/>
          <w:b w:val="1"/>
          <w:bCs w:val="1"/>
          <w:color w:val="auto"/>
        </w:rPr>
        <w:t>Potential Adjustment Event Change</w:t>
      </w:r>
      <w:r>
        <w:rPr>
          <w:rFonts w:ascii="Arial" w:cs="Arial" w:eastAsia="Arial" w:hAnsi="Arial"/>
          <w:sz w:val="16"/>
          <w:szCs w:val="16"/>
          <w:color w:val="auto"/>
        </w:rPr>
        <w:t>”) then, in each case, the Calculation Agent shall have the right to adjust any variable relevant to the exercise, settlement or payment for the Transaction as appropriate to reflect any commercially reasonable incremental costs (including, but not limited to, incremental hedging mismatches and market losses) and expenses incurred by Dealer in connection with its hedging activities as a result of such Potential Adjustment Event Change.</w:t>
      </w:r>
    </w:p>
    <w:p>
      <w:pPr>
        <w:sectPr>
          <w:pgSz w:w="11900" w:h="16838" w:orient="portrait"/>
          <w:cols w:equalWidth="0" w:num="1">
            <w:col w:w="10760"/>
          </w:cols>
          <w:pgMar w:left="900" w:top="828" w:right="239" w:bottom="1440" w:gutter="0" w:footer="0" w:header="0"/>
        </w:sectPr>
      </w:pPr>
    </w:p>
    <w:p>
      <w:pPr>
        <w:spacing w:after="0" w:line="12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Dilution Adjustment Provisions: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Sections 14.04(a), (b), (c), (d) and (e) and Section 14.05 of the Indenture.</w:t>
      </w:r>
    </w:p>
    <w:p>
      <w:pPr>
        <w:spacing w:after="0" w:line="200" w:lineRule="exact"/>
        <w:rPr>
          <w:sz w:val="20"/>
          <w:szCs w:val="20"/>
          <w:color w:val="auto"/>
        </w:rPr>
      </w:pPr>
    </w:p>
    <w:p>
      <w:pPr>
        <w:sectPr>
          <w:pgSz w:w="11900" w:h="16838" w:orient="portrait"/>
          <w:cols w:equalWidth="0" w:num="2">
            <w:col w:w="2840" w:space="720"/>
            <w:col w:w="7200"/>
          </w:cols>
          <w:pgMar w:left="900" w:top="828" w:right="2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Extraordinary Events applicable to the Transaction:</w:t>
      </w:r>
    </w:p>
    <w:p>
      <w:pPr>
        <w:sectPr>
          <w:pgSz w:w="11900" w:h="16838" w:orient="portrait"/>
          <w:cols w:equalWidth="0" w:num="1">
            <w:col w:w="10760"/>
          </w:cols>
          <w:pgMar w:left="900" w:top="828" w:right="239" w:bottom="1440" w:gutter="0" w:footer="0" w:header="0"/>
          <w:type w:val="continuous"/>
        </w:sectPr>
      </w:pP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Merger Events: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Section 12.1(b) of the Equity Definitions, a “Merger Event” means the occurrence of any event or condition set forth in the definition of “Specified Corporate Event” in Section 14.07(a) of the Indenture.</w:t>
      </w:r>
    </w:p>
    <w:p>
      <w:pPr>
        <w:spacing w:after="0" w:line="141" w:lineRule="exact"/>
        <w:rPr>
          <w:sz w:val="20"/>
          <w:szCs w:val="20"/>
          <w:color w:val="auto"/>
        </w:rPr>
      </w:pPr>
    </w:p>
    <w:p>
      <w:pPr>
        <w:sectPr>
          <w:pgSz w:w="11900" w:h="16838" w:orient="portrait"/>
          <w:cols w:equalWidth="0" w:num="2">
            <w:col w:w="2840" w:space="720"/>
            <w:col w:w="7200"/>
          </w:cols>
          <w:pgMar w:left="900" w:top="828" w:right="239" w:bottom="1440" w:gutter="0" w:footer="0" w:header="0"/>
          <w:type w:val="continuous"/>
        </w:sectPr>
      </w:pPr>
    </w:p>
    <w:p>
      <w:pPr>
        <w:ind w:left="320"/>
        <w:spacing w:after="0"/>
        <w:rPr>
          <w:sz w:val="20"/>
          <w:szCs w:val="20"/>
          <w:color w:val="auto"/>
        </w:rPr>
      </w:pPr>
      <w:r>
        <w:rPr>
          <w:rFonts w:ascii="Arial" w:cs="Arial" w:eastAsia="Arial" w:hAnsi="Arial"/>
          <w:sz w:val="16"/>
          <w:szCs w:val="16"/>
          <w:color w:val="auto"/>
        </w:rPr>
        <w:t>Tender Offers:</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Section 12.1(d) of the Equity Definitions, a “Tender Offer” means the occurrence of any event or condition set forth in Section 14.04(e) of the Indenture.</w:t>
      </w:r>
    </w:p>
    <w:p>
      <w:pPr>
        <w:spacing w:after="0" w:line="200" w:lineRule="exact"/>
        <w:rPr>
          <w:sz w:val="20"/>
          <w:szCs w:val="20"/>
          <w:color w:val="auto"/>
        </w:rPr>
      </w:pPr>
    </w:p>
    <w:p>
      <w:pPr>
        <w:sectPr>
          <w:pgSz w:w="11900" w:h="16838" w:orient="portrait"/>
          <w:cols w:equalWidth="0" w:num="2">
            <w:col w:w="2840" w:space="720"/>
            <w:col w:w="7200"/>
          </w:cols>
          <w:pgMar w:left="900" w:top="828" w:right="23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760"/>
          </w:cols>
          <w:pgMar w:left="900" w:top="828" w:right="239" w:bottom="1440" w:gutter="0" w:footer="0" w:header="0"/>
          <w:type w:val="continuous"/>
        </w:sectPr>
      </w:pPr>
    </w:p>
    <w:bookmarkStart w:id="195" w:name="page196"/>
    <w:bookmarkEnd w:id="195"/>
    <w:p>
      <w:pPr>
        <w:spacing w:after="0"/>
        <w:rPr>
          <w:sz w:val="20"/>
          <w:szCs w:val="20"/>
          <w:color w:val="auto"/>
        </w:rPr>
      </w:pPr>
      <w:r>
        <w:rPr>
          <w:rFonts w:ascii="Arial" w:cs="Arial" w:eastAsia="Arial" w:hAnsi="Arial"/>
          <w:sz w:val="16"/>
          <w:szCs w:val="16"/>
          <w:color w:val="auto"/>
        </w:rPr>
        <w:t>Consequences of Merger Events /</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Tender Offers: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Notwithstanding Section 12.2 and Section 12.3 of the Equity Definitions, upon the occurrence of a Merger Event or a Tender Offer, the Calculation Agent shall make a corresponding adjustment in respect of any adjustment under the Indenture to any one or more of the nature of the Shares (in the case of a Merger Event), Strike Price, Number of Options, Option Entitlement and any other variable relevant to the exercise, settlement or payment for the Transaction (as determined by the Calculation Agent by reference to the relevant provisions of the Indenture), subject to the second paragraph under “Method of Adjustment”;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adjustment shall be made without regard to any adjustment to the Conversion Rate pursuant to any Excluded Provision;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if, with respect to a Merger Event or a Tender Offer, (i) the consideration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Shares includes (or, at the option of a holder of Shares, may include) shares of an entity or person that is not a corporation or is not organized under the laws of the United States, any State thereof or the District of Columbia or (ii) the Counterparty to the Transaction following such Merger Event or Tender Offer will not be a corporation organized under the laws of the United States, any State thereof or the District of Columbia, then, in either case, Cancellation and Payment (Calculation Agent Determination) (subject, for the avoidance of doubt, to Section 9(l)) may apply at Dealer’s good faith commercially reasonable election.</w:t>
      </w:r>
    </w:p>
    <w:p>
      <w:pPr>
        <w:spacing w:after="0" w:line="137" w:lineRule="exact"/>
        <w:rPr>
          <w:sz w:val="20"/>
          <w:szCs w:val="20"/>
          <w:color w:val="auto"/>
        </w:rPr>
      </w:pPr>
    </w:p>
    <w:p>
      <w:pPr>
        <w:sectPr>
          <w:pgSz w:w="11900" w:h="16838" w:orient="portrait"/>
          <w:cols w:equalWidth="0" w:num="2">
            <w:col w:w="2520" w:space="720"/>
            <w:col w:w="7200"/>
          </w:cols>
          <w:pgMar w:left="1220" w:top="801" w:right="239" w:bottom="1440" w:gutter="0" w:footer="0" w:header="0"/>
        </w:sectPr>
      </w:pPr>
    </w:p>
    <w:p>
      <w:pPr>
        <w:spacing w:after="0"/>
        <w:rPr>
          <w:sz w:val="20"/>
          <w:szCs w:val="20"/>
          <w:color w:val="auto"/>
        </w:rPr>
      </w:pPr>
      <w:r>
        <w:rPr>
          <w:rFonts w:ascii="Arial" w:cs="Arial" w:eastAsia="Arial" w:hAnsi="Arial"/>
          <w:sz w:val="16"/>
          <w:szCs w:val="16"/>
          <w:color w:val="auto"/>
        </w:rPr>
        <w:t>Nationalization, Insolvency or Delisting:</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Arial" w:cs="Arial" w:eastAsia="Arial" w:hAnsi="Arial"/>
          <w:sz w:val="18"/>
          <w:szCs w:val="18"/>
          <w:color w:val="auto"/>
        </w:rPr>
        <w:t xml:space="preserve">Cancellation and Payment (Calculation Agent Determination) (subject, for the avoidance of doubt, to Section 9(l));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addition to the provisions of Section 12.6(a)(iii) of the Equity Definitions, it will also constitute a Delisting if the Exchange is located in the United States and the Shares are not immediately re-listed, re-traded or re-quoted on any of the New York Stock Exchange, The NASDAQ Global Select Market or The NASDAQ Global Market (or their respective successors); if the Shares are immediately re-listed, re-traded or re-quoted on any of the New York Stock Exchange, The NASDAQ Global Select Market or The NASDAQ Global Market (or their respective successors), such exchange or quotation system shall thereafter be deemed to be the Exchange.</w:t>
      </w:r>
    </w:p>
    <w:p>
      <w:pPr>
        <w:spacing w:after="0" w:line="157" w:lineRule="exact"/>
        <w:rPr>
          <w:sz w:val="20"/>
          <w:szCs w:val="20"/>
          <w:color w:val="auto"/>
        </w:rPr>
      </w:pPr>
    </w:p>
    <w:p>
      <w:pPr>
        <w:sectPr>
          <w:pgSz w:w="11900" w:h="16838" w:orient="portrait"/>
          <w:cols w:equalWidth="0" w:num="2">
            <w:col w:w="2940" w:space="300"/>
            <w:col w:w="7200"/>
          </w:cols>
          <w:pgMar w:left="1220" w:top="801" w:right="239" w:bottom="1440" w:gutter="0" w:footer="0" w:header="0"/>
          <w:type w:val="continuous"/>
        </w:sectPr>
      </w:pPr>
    </w:p>
    <w:p>
      <w:pPr>
        <w:spacing w:after="0"/>
        <w:rPr>
          <w:sz w:val="20"/>
          <w:szCs w:val="20"/>
          <w:color w:val="auto"/>
        </w:rPr>
      </w:pPr>
      <w:r>
        <w:rPr>
          <w:rFonts w:ascii="Arial" w:cs="Arial" w:eastAsia="Arial" w:hAnsi="Arial"/>
          <w:sz w:val="17"/>
          <w:szCs w:val="17"/>
          <w:color w:val="auto"/>
        </w:rPr>
        <w:t>Additional Disruption Events:</w:t>
      </w:r>
    </w:p>
    <w:p>
      <w:pPr>
        <w:sectPr>
          <w:pgSz w:w="11900" w:h="16838" w:orient="portrait"/>
          <w:cols w:equalWidth="0" w:num="1">
            <w:col w:w="10440"/>
          </w:cols>
          <w:pgMar w:left="1220" w:top="801" w:right="239" w:bottom="1440" w:gutter="0" w:footer="0" w:header="0"/>
          <w:type w:val="continuous"/>
        </w:sectPr>
      </w:pPr>
    </w:p>
    <w:p>
      <w:pPr>
        <w:spacing w:after="0" w:line="19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Change in Law:</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Section 12.9(a)(ii) of the Equity Definitions is hereby amended by (i) replacing the phrase “the interpretation” in the third line thereof with the phrase “, or public announcement of, the formal or informal interpretation”, (ii) replacing the word “Shares” where it appears in clause (X) thereof with the words “Hedge Position” and (iii) replacing the parenthetical beginning after the word “regulation” in the second line thereof the words “(including, for the avoidance of doubt and without limitation, (x) any tax law or (y) adoption, effectiveness or</w:t>
      </w:r>
    </w:p>
    <w:p>
      <w:pPr>
        <w:spacing w:after="0" w:line="200" w:lineRule="exact"/>
        <w:rPr>
          <w:sz w:val="20"/>
          <w:szCs w:val="20"/>
          <w:color w:val="auto"/>
        </w:rPr>
      </w:pPr>
    </w:p>
    <w:p>
      <w:pPr>
        <w:sectPr>
          <w:pgSz w:w="11900" w:h="16838" w:orient="portrait"/>
          <w:cols w:equalWidth="0" w:num="2">
            <w:col w:w="2520" w:space="720"/>
            <w:col w:w="7200"/>
          </w:cols>
          <w:pgMar w:left="1220" w:top="801" w:right="239" w:bottom="1440" w:gutter="0" w:footer="0" w:header="0"/>
          <w:type w:val="continuous"/>
        </w:sectPr>
      </w:pPr>
    </w:p>
    <w:p>
      <w:pPr>
        <w:spacing w:after="0" w:line="2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440"/>
          </w:cols>
          <w:pgMar w:left="1220" w:top="801" w:right="239" w:bottom="1440" w:gutter="0" w:footer="0" w:header="0"/>
          <w:type w:val="continuous"/>
        </w:sectPr>
      </w:pPr>
    </w:p>
    <w:bookmarkStart w:id="196" w:name="page197"/>
    <w:bookmarkEnd w:id="196"/>
    <w:tbl>
      <w:tblPr>
        <w:tblLayout w:type="fixed"/>
        <w:tblInd w:w="10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p>
        </w:tc>
        <w:tc>
          <w:tcPr>
            <w:tcW w:w="7660" w:type="dxa"/>
            <w:vAlign w:val="bottom"/>
            <w:gridSpan w:val="2"/>
          </w:tcPr>
          <w:p>
            <w:pPr>
              <w:ind w:left="460"/>
              <w:spacing w:after="0"/>
              <w:rPr>
                <w:sz w:val="20"/>
                <w:szCs w:val="20"/>
                <w:color w:val="auto"/>
              </w:rPr>
            </w:pPr>
            <w:r>
              <w:rPr>
                <w:rFonts w:ascii="Arial" w:cs="Arial" w:eastAsia="Arial" w:hAnsi="Arial"/>
                <w:sz w:val="18"/>
                <w:szCs w:val="18"/>
                <w:color w:val="auto"/>
              </w:rPr>
              <w:t>promulgation of new regulations authorized or mandated by existing statute)”.</w:t>
            </w:r>
          </w:p>
        </w:tc>
      </w:tr>
      <w:tr>
        <w:trPr>
          <w:trHeight w:val="405"/>
        </w:trPr>
        <w:tc>
          <w:tcPr>
            <w:tcW w:w="2460" w:type="dxa"/>
            <w:vAlign w:val="bottom"/>
          </w:tcPr>
          <w:p>
            <w:pPr>
              <w:spacing w:after="0"/>
              <w:rPr>
                <w:sz w:val="20"/>
                <w:szCs w:val="20"/>
                <w:color w:val="auto"/>
              </w:rPr>
            </w:pPr>
            <w:r>
              <w:rPr>
                <w:rFonts w:ascii="Arial" w:cs="Arial" w:eastAsia="Arial" w:hAnsi="Arial"/>
                <w:sz w:val="18"/>
                <w:szCs w:val="18"/>
                <w:color w:val="auto"/>
              </w:rPr>
              <w:t>Failure to Deliver:</w:t>
            </w:r>
          </w:p>
        </w:tc>
        <w:tc>
          <w:tcPr>
            <w:tcW w:w="7660" w:type="dxa"/>
            <w:vAlign w:val="bottom"/>
            <w:gridSpan w:val="2"/>
          </w:tcPr>
          <w:p>
            <w:pPr>
              <w:ind w:left="460"/>
              <w:spacing w:after="0"/>
              <w:rPr>
                <w:sz w:val="20"/>
                <w:szCs w:val="20"/>
                <w:color w:val="auto"/>
              </w:rPr>
            </w:pPr>
            <w:r>
              <w:rPr>
                <w:rFonts w:ascii="Arial" w:cs="Arial" w:eastAsia="Arial" w:hAnsi="Arial"/>
                <w:sz w:val="18"/>
                <w:szCs w:val="18"/>
                <w:color w:val="auto"/>
              </w:rPr>
              <w:t>Applicable</w:t>
            </w:r>
          </w:p>
        </w:tc>
      </w:tr>
      <w:tr>
        <w:trPr>
          <w:trHeight w:val="392"/>
        </w:trPr>
        <w:tc>
          <w:tcPr>
            <w:tcW w:w="2460" w:type="dxa"/>
            <w:vAlign w:val="bottom"/>
          </w:tcPr>
          <w:p>
            <w:pPr>
              <w:spacing w:after="0"/>
              <w:rPr>
                <w:sz w:val="20"/>
                <w:szCs w:val="20"/>
                <w:color w:val="auto"/>
              </w:rPr>
            </w:pPr>
            <w:r>
              <w:rPr>
                <w:rFonts w:ascii="Arial" w:cs="Arial" w:eastAsia="Arial" w:hAnsi="Arial"/>
                <w:sz w:val="18"/>
                <w:szCs w:val="18"/>
                <w:color w:val="auto"/>
              </w:rPr>
              <w:t>Hedging Disruption:</w:t>
            </w:r>
          </w:p>
        </w:tc>
        <w:tc>
          <w:tcPr>
            <w:tcW w:w="7660" w:type="dxa"/>
            <w:vAlign w:val="bottom"/>
            <w:gridSpan w:val="2"/>
          </w:tcPr>
          <w:p>
            <w:pPr>
              <w:ind w:left="460"/>
              <w:spacing w:after="0"/>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tc>
      </w:tr>
      <w:tr>
        <w:trPr>
          <w:trHeight w:val="377"/>
        </w:trPr>
        <w:tc>
          <w:tcPr>
            <w:tcW w:w="2460" w:type="dxa"/>
            <w:vAlign w:val="bottom"/>
          </w:tcPr>
          <w:p>
            <w:pPr>
              <w:spacing w:after="0"/>
              <w:rPr>
                <w:sz w:val="24"/>
                <w:szCs w:val="24"/>
                <w:color w:val="auto"/>
              </w:rPr>
            </w:pPr>
          </w:p>
        </w:tc>
        <w:tc>
          <w:tcPr>
            <w:tcW w:w="820" w:type="dxa"/>
            <w:vAlign w:val="bottom"/>
          </w:tcPr>
          <w:p>
            <w:pPr>
              <w:ind w:left="460"/>
              <w:spacing w:after="0"/>
              <w:rPr>
                <w:sz w:val="20"/>
                <w:szCs w:val="20"/>
                <w:color w:val="auto"/>
              </w:rPr>
            </w:pPr>
            <w:r>
              <w:rPr>
                <w:rFonts w:ascii="Arial" w:cs="Arial" w:eastAsia="Arial" w:hAnsi="Arial"/>
                <w:sz w:val="18"/>
                <w:szCs w:val="18"/>
                <w:color w:val="auto"/>
              </w:rPr>
              <w:t>(i)</w:t>
            </w:r>
          </w:p>
        </w:tc>
        <w:tc>
          <w:tcPr>
            <w:tcW w:w="6840" w:type="dxa"/>
            <w:vAlign w:val="bottom"/>
          </w:tcPr>
          <w:p>
            <w:pPr>
              <w:ind w:left="160"/>
              <w:spacing w:after="0"/>
              <w:rPr>
                <w:sz w:val="20"/>
                <w:szCs w:val="20"/>
                <w:color w:val="auto"/>
              </w:rPr>
            </w:pPr>
            <w:r>
              <w:rPr>
                <w:rFonts w:ascii="Arial" w:cs="Arial" w:eastAsia="Arial" w:hAnsi="Arial"/>
                <w:sz w:val="18"/>
                <w:szCs w:val="18"/>
                <w:color w:val="auto"/>
              </w:rPr>
              <w:t>Section 12.9(a)(v) of the Equity Definitions is hereby amended by (a) inserting the</w:t>
            </w:r>
          </w:p>
        </w:tc>
      </w:tr>
      <w:tr>
        <w:trPr>
          <w:trHeight w:val="216"/>
        </w:trPr>
        <w:tc>
          <w:tcPr>
            <w:tcW w:w="2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w w:val="99"/>
              </w:rPr>
              <w:t>following words at the end of clause (A) thereof: “in the manner contemplated by the</w:t>
            </w:r>
          </w:p>
        </w:tc>
      </w:tr>
      <w:tr>
        <w:trPr>
          <w:trHeight w:val="216"/>
        </w:trPr>
        <w:tc>
          <w:tcPr>
            <w:tcW w:w="2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w w:val="92"/>
              </w:rPr>
              <w:t>Hedging Party on the Trade Date” and (b) inserting the following two phrases at the end of</w:t>
            </w:r>
          </w:p>
        </w:tc>
      </w:tr>
      <w:tr>
        <w:trPr>
          <w:trHeight w:val="230"/>
        </w:trPr>
        <w:tc>
          <w:tcPr>
            <w:tcW w:w="2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such Section:</w:t>
            </w:r>
          </w:p>
        </w:tc>
      </w:tr>
      <w:tr>
        <w:trPr>
          <w:trHeight w:val="377"/>
        </w:trPr>
        <w:tc>
          <w:tcPr>
            <w:tcW w:w="2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w w:val="96"/>
              </w:rPr>
              <w:t>“For the avoidance of doubt, the term “equity price risk” shall be deemed to include, but</w:t>
            </w:r>
          </w:p>
        </w:tc>
      </w:tr>
      <w:tr>
        <w:trPr>
          <w:trHeight w:val="216"/>
        </w:trPr>
        <w:tc>
          <w:tcPr>
            <w:tcW w:w="2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w w:val="99"/>
              </w:rPr>
              <w:t>shall not be limited to, stock price and volatility risk. And, for the further avoidance of</w:t>
            </w:r>
          </w:p>
        </w:tc>
      </w:tr>
      <w:tr>
        <w:trPr>
          <w:trHeight w:val="216"/>
        </w:trPr>
        <w:tc>
          <w:tcPr>
            <w:tcW w:w="2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w w:val="97"/>
              </w:rPr>
              <w:t>doubt, any such transactions or assets referred to in phrases (A) or (B) above must be</w:t>
            </w:r>
          </w:p>
        </w:tc>
      </w:tr>
      <w:tr>
        <w:trPr>
          <w:trHeight w:val="230"/>
        </w:trPr>
        <w:tc>
          <w:tcPr>
            <w:tcW w:w="2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available on commercially reasonable pricing terms.”; and</w:t>
            </w:r>
          </w:p>
        </w:tc>
      </w:tr>
      <w:tr>
        <w:trPr>
          <w:trHeight w:val="377"/>
        </w:trPr>
        <w:tc>
          <w:tcPr>
            <w:tcW w:w="2460" w:type="dxa"/>
            <w:vAlign w:val="bottom"/>
          </w:tcPr>
          <w:p>
            <w:pPr>
              <w:spacing w:after="0"/>
              <w:rPr>
                <w:sz w:val="24"/>
                <w:szCs w:val="24"/>
                <w:color w:val="auto"/>
              </w:rPr>
            </w:pPr>
          </w:p>
        </w:tc>
        <w:tc>
          <w:tcPr>
            <w:tcW w:w="820" w:type="dxa"/>
            <w:vAlign w:val="bottom"/>
          </w:tcPr>
          <w:p>
            <w:pPr>
              <w:ind w:left="460"/>
              <w:spacing w:after="0"/>
              <w:rPr>
                <w:sz w:val="20"/>
                <w:szCs w:val="20"/>
                <w:color w:val="auto"/>
              </w:rPr>
            </w:pPr>
            <w:r>
              <w:rPr>
                <w:rFonts w:ascii="Arial" w:cs="Arial" w:eastAsia="Arial" w:hAnsi="Arial"/>
                <w:sz w:val="18"/>
                <w:szCs w:val="18"/>
                <w:color w:val="auto"/>
              </w:rPr>
              <w:t>(ii)</w:t>
            </w:r>
          </w:p>
        </w:tc>
        <w:tc>
          <w:tcPr>
            <w:tcW w:w="6840" w:type="dxa"/>
            <w:vAlign w:val="bottom"/>
          </w:tcPr>
          <w:p>
            <w:pPr>
              <w:ind w:left="160"/>
              <w:spacing w:after="0"/>
              <w:rPr>
                <w:sz w:val="20"/>
                <w:szCs w:val="20"/>
                <w:color w:val="auto"/>
              </w:rPr>
            </w:pPr>
            <w:r>
              <w:rPr>
                <w:rFonts w:ascii="Arial" w:cs="Arial" w:eastAsia="Arial" w:hAnsi="Arial"/>
                <w:sz w:val="18"/>
                <w:szCs w:val="18"/>
                <w:color w:val="auto"/>
                <w:w w:val="92"/>
              </w:rPr>
              <w:t>Section 12.9(b)(iii) of the Equity Definitions is hereby amended by inserting in the third line</w:t>
            </w:r>
          </w:p>
        </w:tc>
      </w:tr>
      <w:tr>
        <w:trPr>
          <w:trHeight w:val="216"/>
        </w:trPr>
        <w:tc>
          <w:tcPr>
            <w:tcW w:w="2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w w:val="96"/>
              </w:rPr>
              <w:t>thereof, after the words “to terminate the Transaction”, the words “or, as applicable, the</w:t>
            </w:r>
          </w:p>
        </w:tc>
      </w:tr>
      <w:tr>
        <w:trPr>
          <w:trHeight w:val="230"/>
        </w:trPr>
        <w:tc>
          <w:tcPr>
            <w:tcW w:w="2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portion of the Transaction affected by such Hedging Disruption”.</w:t>
            </w:r>
          </w:p>
        </w:tc>
      </w:tr>
      <w:tr>
        <w:trPr>
          <w:trHeight w:val="392"/>
        </w:trPr>
        <w:tc>
          <w:tcPr>
            <w:tcW w:w="2460" w:type="dxa"/>
            <w:vAlign w:val="bottom"/>
          </w:tcPr>
          <w:p>
            <w:pPr>
              <w:spacing w:after="0"/>
              <w:rPr>
                <w:sz w:val="20"/>
                <w:szCs w:val="20"/>
                <w:color w:val="auto"/>
              </w:rPr>
            </w:pPr>
            <w:r>
              <w:rPr>
                <w:rFonts w:ascii="Arial" w:cs="Arial" w:eastAsia="Arial" w:hAnsi="Arial"/>
                <w:sz w:val="18"/>
                <w:szCs w:val="18"/>
                <w:color w:val="auto"/>
              </w:rPr>
              <w:t>Increased Cost of Hedging:</w:t>
            </w:r>
          </w:p>
        </w:tc>
        <w:tc>
          <w:tcPr>
            <w:tcW w:w="7660" w:type="dxa"/>
            <w:vAlign w:val="bottom"/>
            <w:gridSpan w:val="2"/>
          </w:tcPr>
          <w:p>
            <w:pPr>
              <w:ind w:left="460"/>
              <w:spacing w:after="0"/>
              <w:rPr>
                <w:sz w:val="20"/>
                <w:szCs w:val="20"/>
                <w:color w:val="auto"/>
              </w:rPr>
            </w:pPr>
            <w:r>
              <w:rPr>
                <w:rFonts w:ascii="Arial" w:cs="Arial" w:eastAsia="Arial" w:hAnsi="Arial"/>
                <w:sz w:val="18"/>
                <w:szCs w:val="18"/>
                <w:color w:val="auto"/>
              </w:rPr>
              <w:t>Not Applicable</w:t>
            </w:r>
          </w:p>
        </w:tc>
      </w:tr>
      <w:tr>
        <w:trPr>
          <w:trHeight w:val="377"/>
        </w:trPr>
        <w:tc>
          <w:tcPr>
            <w:tcW w:w="2460" w:type="dxa"/>
            <w:vAlign w:val="bottom"/>
          </w:tcPr>
          <w:p>
            <w:pPr>
              <w:spacing w:after="0"/>
              <w:rPr>
                <w:sz w:val="20"/>
                <w:szCs w:val="20"/>
                <w:color w:val="auto"/>
              </w:rPr>
            </w:pPr>
            <w:r>
              <w:rPr>
                <w:rFonts w:ascii="Arial" w:cs="Arial" w:eastAsia="Arial" w:hAnsi="Arial"/>
                <w:sz w:val="18"/>
                <w:szCs w:val="18"/>
                <w:color w:val="auto"/>
              </w:rPr>
              <w:t>Hedging Party:</w:t>
            </w:r>
          </w:p>
        </w:tc>
        <w:tc>
          <w:tcPr>
            <w:tcW w:w="7660" w:type="dxa"/>
            <w:vAlign w:val="bottom"/>
            <w:gridSpan w:val="2"/>
          </w:tcPr>
          <w:p>
            <w:pPr>
              <w:ind w:left="460"/>
              <w:spacing w:after="0"/>
              <w:rPr>
                <w:sz w:val="20"/>
                <w:szCs w:val="20"/>
                <w:color w:val="auto"/>
              </w:rPr>
            </w:pPr>
            <w:r>
              <w:rPr>
                <w:rFonts w:ascii="Arial" w:cs="Arial" w:eastAsia="Arial" w:hAnsi="Arial"/>
                <w:sz w:val="18"/>
                <w:szCs w:val="18"/>
                <w:color w:val="auto"/>
              </w:rPr>
              <w:t>For all applicable Additional Disruption Events, Dealer. Following any determination by the</w:t>
            </w:r>
          </w:p>
        </w:tc>
      </w:tr>
      <w:tr>
        <w:trPr>
          <w:trHeight w:val="230"/>
        </w:trPr>
        <w:tc>
          <w:tcPr>
            <w:tcW w:w="2460" w:type="dxa"/>
            <w:vAlign w:val="bottom"/>
          </w:tcPr>
          <w:p>
            <w:pPr>
              <w:spacing w:after="0"/>
              <w:rPr>
                <w:sz w:val="20"/>
                <w:szCs w:val="20"/>
                <w:color w:val="auto"/>
              </w:rPr>
            </w:pPr>
          </w:p>
        </w:tc>
        <w:tc>
          <w:tcPr>
            <w:tcW w:w="7660" w:type="dxa"/>
            <w:vAlign w:val="bottom"/>
            <w:gridSpan w:val="2"/>
          </w:tcPr>
          <w:p>
            <w:pPr>
              <w:ind w:left="460"/>
              <w:spacing w:after="0"/>
              <w:rPr>
                <w:sz w:val="20"/>
                <w:szCs w:val="20"/>
                <w:color w:val="auto"/>
              </w:rPr>
            </w:pPr>
            <w:r>
              <w:rPr>
                <w:rFonts w:ascii="Arial" w:cs="Arial" w:eastAsia="Arial" w:hAnsi="Arial"/>
                <w:sz w:val="18"/>
                <w:szCs w:val="18"/>
                <w:color w:val="auto"/>
                <w:w w:val="91"/>
              </w:rPr>
              <w:t>Hedging Party hereunder and a written request by Counterparty, the Hedging Party shall provide to</w:t>
            </w:r>
          </w:p>
        </w:tc>
      </w:tr>
    </w:tbl>
    <w:p>
      <w:pPr>
        <w:jc w:val="both"/>
        <w:ind w:left="3020"/>
        <w:spacing w:after="0" w:line="267" w:lineRule="auto"/>
        <w:rPr>
          <w:sz w:val="20"/>
          <w:szCs w:val="20"/>
          <w:color w:val="auto"/>
        </w:rPr>
      </w:pPr>
      <w:r>
        <w:rPr>
          <w:rFonts w:ascii="Arial" w:cs="Arial" w:eastAsia="Arial" w:hAnsi="Arial"/>
          <w:sz w:val="17"/>
          <w:szCs w:val="17"/>
          <w:color w:val="auto"/>
        </w:rPr>
        <w:t>Counterparty by e-mail to the e-mail address provided by Counterparty a written explanation and report (in a commonly used file format for the storage and manipulation of financial data) describing in reasonable detail any determination made by it (including, as applicable, any quotations, market data, information from internal sources used in making such determinations, descriptions of the methodology and any assumptions and basis used in making for such determination), it being understood that the Hedging Party shall not be obligated to disclose any proprietary or confidential models or proprietary or confidential information used by it for such determination. When making any determination or calculation as “Hedging Party,” Dealer shall be bound by the same obligations relating to required acts of the Calculation Agent as set forth in Section 1.40 of the Equity Definitions and this Confirmation as if the Hedging Party were the Calculation Agent and that all calculations, adjustments, specifications, choices and determinations by Dealer acting in its capacity as the Hedging Party shall be made in good faith and in a commercially reasonable manner and assuming that Dealer maintains a commercially reasonable hedge position.</w:t>
      </w:r>
    </w:p>
    <w:p>
      <w:pPr>
        <w:spacing w:after="0" w:line="200" w:lineRule="exact"/>
        <w:rPr>
          <w:sz w:val="20"/>
          <w:szCs w:val="20"/>
          <w:color w:val="auto"/>
        </w:rPr>
      </w:pPr>
    </w:p>
    <w:p>
      <w:pPr>
        <w:spacing w:after="0" w:line="23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20"/>
          </w:cols>
          <w:pgMar w:left="1440" w:top="827" w:right="239" w:bottom="1440" w:gutter="0" w:footer="0" w:header="0"/>
        </w:sectPr>
      </w:pPr>
    </w:p>
    <w:bookmarkStart w:id="197" w:name="page198"/>
    <w:bookmarkEnd w:id="197"/>
    <w:p>
      <w:pPr>
        <w:ind w:left="660"/>
        <w:spacing w:after="0"/>
        <w:rPr>
          <w:sz w:val="20"/>
          <w:szCs w:val="20"/>
          <w:color w:val="auto"/>
        </w:rPr>
      </w:pPr>
      <w:r>
        <w:rPr>
          <w:rFonts w:ascii="Arial" w:cs="Arial" w:eastAsia="Arial" w:hAnsi="Arial"/>
          <w:sz w:val="16"/>
          <w:szCs w:val="16"/>
          <w:color w:val="auto"/>
        </w:rPr>
        <w:t>Determining Party:</w:t>
      </w:r>
    </w:p>
    <w:p>
      <w:pPr>
        <w:spacing w:after="0" w:line="20" w:lineRule="exact"/>
        <w:rPr>
          <w:sz w:val="20"/>
          <w:szCs w:val="20"/>
          <w:color w:val="auto"/>
        </w:rPr>
      </w:pPr>
      <w:r>
        <w:rPr>
          <w:sz w:val="20"/>
          <w:szCs w:val="20"/>
          <w:color w:val="auto"/>
        </w:rPr>
        <w:br w:type="column"/>
      </w:r>
    </w:p>
    <w:p>
      <w:pPr>
        <w:jc w:val="both"/>
        <w:spacing w:after="0" w:line="268" w:lineRule="auto"/>
        <w:rPr>
          <w:sz w:val="20"/>
          <w:szCs w:val="20"/>
          <w:color w:val="auto"/>
        </w:rPr>
      </w:pPr>
      <w:r>
        <w:rPr>
          <w:rFonts w:ascii="Arial" w:cs="Arial" w:eastAsia="Arial" w:hAnsi="Arial"/>
          <w:sz w:val="17"/>
          <w:szCs w:val="17"/>
          <w:color w:val="auto"/>
        </w:rPr>
        <w:t>For all applicable Extraordinary Events, Dealer. Following any determination by the Determining Party hereunder and a written request by Counterparty, the Determining Party shall provide to Counterparty by e-mail to the e-mail address provided by Counterparty a written explanation and report (in a commonly used file format for the storage and manipulation of financial data) describing in reasonable detail any determination made by it (including, as applicable, any quotations, market data, information from internal sources used in making such determinations, descriptions of the methodology and any assumptions and basis used in making for such determination), it being understood that the Determining Party shall not be obligated to disclose any proprietary or confidential models or proprietary or confidential information used by it for such determination. When making any determination or calculation as “Determining Party,” Dealer shall be bound by the same obligations relating to required acts of the Calculation Agent as set forth in Section 1.40 of the Equity Definitions and this Confirmation as if the Determining Party were the Calculation Agent and that all calculations, adjustments, specifications, choices and determinations by Dealer acting in its capacity as the Determining Party shall be made in good faith and in a commercially reasonable manner and assuming that Dealer maintains a commercially reasonable hedge position.</w:t>
      </w:r>
    </w:p>
    <w:p>
      <w:pPr>
        <w:spacing w:after="0" w:line="140" w:lineRule="exact"/>
        <w:rPr>
          <w:sz w:val="20"/>
          <w:szCs w:val="20"/>
          <w:color w:val="auto"/>
        </w:rPr>
      </w:pPr>
    </w:p>
    <w:p>
      <w:pPr>
        <w:sectPr>
          <w:pgSz w:w="11900" w:h="16838" w:orient="portrait"/>
          <w:cols w:equalWidth="0" w:num="2">
            <w:col w:w="3500" w:space="720"/>
            <w:col w:w="7200"/>
          </w:cols>
          <w:pgMar w:left="240" w:top="801" w:right="239" w:bottom="1440" w:gutter="0" w:footer="0" w:header="0"/>
        </w:sectPr>
      </w:pPr>
    </w:p>
    <w:p>
      <w:pPr>
        <w:ind w:left="660"/>
        <w:spacing w:after="0"/>
        <w:rPr>
          <w:sz w:val="20"/>
          <w:szCs w:val="20"/>
          <w:color w:val="auto"/>
        </w:rPr>
      </w:pPr>
      <w:r>
        <w:rPr>
          <w:rFonts w:ascii="Arial" w:cs="Arial" w:eastAsia="Arial" w:hAnsi="Arial"/>
          <w:sz w:val="16"/>
          <w:szCs w:val="16"/>
          <w:color w:val="auto"/>
        </w:rPr>
        <w:t>Non-Reliance: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Applicable</w:t>
      </w:r>
    </w:p>
    <w:p>
      <w:pPr>
        <w:spacing w:after="0" w:line="196" w:lineRule="exact"/>
        <w:rPr>
          <w:sz w:val="20"/>
          <w:szCs w:val="20"/>
          <w:color w:val="auto"/>
        </w:rPr>
      </w:pPr>
    </w:p>
    <w:p>
      <w:pPr>
        <w:sectPr>
          <w:pgSz w:w="11900" w:h="16838" w:orient="portrait"/>
          <w:cols w:equalWidth="0" w:num="2">
            <w:col w:w="3500" w:space="720"/>
            <w:col w:w="7200"/>
          </w:cols>
          <w:pgMar w:left="240" w:top="801" w:right="23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Agreements and Acknowledgments</w:t>
      </w:r>
    </w:p>
    <w:p>
      <w:pPr>
        <w:spacing w:after="0" w:line="23" w:lineRule="exact"/>
        <w:rPr>
          <w:sz w:val="20"/>
          <w:szCs w:val="20"/>
          <w:color w:val="auto"/>
        </w:rPr>
      </w:pPr>
    </w:p>
    <w:p>
      <w:pPr>
        <w:ind w:left="660"/>
        <w:spacing w:after="0"/>
        <w:tabs>
          <w:tab w:leader="none" w:pos="3020" w:val="left"/>
        </w:tabs>
        <w:rPr>
          <w:sz w:val="20"/>
          <w:szCs w:val="20"/>
          <w:color w:val="auto"/>
        </w:rPr>
      </w:pPr>
      <w:r>
        <w:rPr>
          <w:rFonts w:ascii="Arial" w:cs="Arial" w:eastAsia="Arial" w:hAnsi="Arial"/>
          <w:sz w:val="18"/>
          <w:szCs w:val="18"/>
          <w:color w:val="auto"/>
        </w:rPr>
        <w:t>Regarding Hedging Activities:</w:t>
      </w:r>
      <w:r>
        <w:rPr>
          <w:sz w:val="20"/>
          <w:szCs w:val="20"/>
          <w:color w:val="auto"/>
        </w:rPr>
        <w:tab/>
      </w:r>
      <w:r>
        <w:rPr>
          <w:rFonts w:ascii="Arial" w:cs="Arial" w:eastAsia="Arial" w:hAnsi="Arial"/>
          <w:sz w:val="16"/>
          <w:szCs w:val="16"/>
          <w:color w:val="auto"/>
        </w:rPr>
        <w:t>Applicable</w:t>
      </w:r>
    </w:p>
    <w:p>
      <w:pPr>
        <w:sectPr>
          <w:pgSz w:w="11900" w:h="16838" w:orient="portrait"/>
          <w:cols w:equalWidth="0" w:num="1">
            <w:col w:w="11420"/>
          </w:cols>
          <w:pgMar w:left="240" w:top="801" w:right="239" w:bottom="1440" w:gutter="0" w:footer="0" w:header="0"/>
          <w:type w:val="continuous"/>
        </w:sectPr>
      </w:pP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Additional Acknowledgments: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Applicable</w:t>
      </w:r>
    </w:p>
    <w:p>
      <w:pPr>
        <w:spacing w:after="0" w:line="192" w:lineRule="exact"/>
        <w:rPr>
          <w:sz w:val="20"/>
          <w:szCs w:val="20"/>
          <w:color w:val="auto"/>
        </w:rPr>
      </w:pPr>
    </w:p>
    <w:p>
      <w:pPr>
        <w:sectPr>
          <w:pgSz w:w="11900" w:h="16838" w:orient="portrait"/>
          <w:cols w:equalWidth="0" w:num="2">
            <w:col w:w="2880" w:space="160"/>
            <w:col w:w="8380"/>
          </w:cols>
          <w:pgMar w:left="240" w:top="801" w:right="239" w:bottom="1440" w:gutter="0" w:footer="0" w:header="0"/>
          <w:type w:val="continuous"/>
        </w:sectPr>
      </w:pPr>
    </w:p>
    <w:p>
      <w:pPr>
        <w:jc w:val="both"/>
        <w:ind w:left="660" w:hanging="652"/>
        <w:spacing w:after="0" w:line="272" w:lineRule="auto"/>
        <w:tabs>
          <w:tab w:leader="none" w:pos="660" w:val="left"/>
        </w:tabs>
        <w:numPr>
          <w:ilvl w:val="0"/>
          <w:numId w:val="16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Calculation Agent</w:t>
      </w:r>
      <w:r>
        <w:rPr>
          <w:rFonts w:ascii="Arial" w:cs="Arial" w:eastAsia="Arial" w:hAnsi="Arial"/>
          <w:sz w:val="17"/>
          <w:szCs w:val="17"/>
          <w:b w:val="1"/>
          <w:bCs w:val="1"/>
          <w:color w:val="auto"/>
        </w:rPr>
        <w:t xml:space="preserve">. </w:t>
      </w:r>
      <w:r>
        <w:rPr>
          <w:rFonts w:ascii="Arial" w:cs="Arial" w:eastAsia="Arial" w:hAnsi="Arial"/>
          <w:sz w:val="17"/>
          <w:szCs w:val="17"/>
          <w:color w:val="auto"/>
        </w:rPr>
        <w:t>Dealer. All calculations and determinations by the Calculation Agent shall be made in good faith and in a commercially</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manner. Following any determination or calculation by the Calculation Agent hereunder, upon a written request by Counterparty, the Calculation Agent shall provide to Counterparty within a commercially reasonable period of time (but not later than five Exchange Business Days) following such request by e-mail to the e-mail address provided by Counterparty in such request a written explanation and report (in a commonly used file format for the storage and manipulation of financial data) displaying in commercially reasonable detail the basis for such determination or calculation (including any quotations, market data or information from internal or external sources, and any assumptions, used in making such determination or calculation), it being understood that the Calculation Agent shall not be obligated to disclose any proprietary or confidential models or proprietary or confidential information used by it for such determination or calculation.</w:t>
      </w:r>
    </w:p>
    <w:p>
      <w:pPr>
        <w:spacing w:after="0" w:line="131" w:lineRule="exact"/>
        <w:rPr>
          <w:rFonts w:ascii="Arial" w:cs="Arial" w:eastAsia="Arial" w:hAnsi="Arial"/>
          <w:sz w:val="17"/>
          <w:szCs w:val="17"/>
          <w:b w:val="1"/>
          <w:bCs w:val="1"/>
          <w:color w:val="auto"/>
        </w:rPr>
      </w:pPr>
    </w:p>
    <w:p>
      <w:pPr>
        <w:ind w:left="320" w:hanging="312"/>
        <w:spacing w:after="0"/>
        <w:tabs>
          <w:tab w:leader="none" w:pos="32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 Details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Account for payments to Counterparty:</w:t>
      </w:r>
    </w:p>
    <w:p>
      <w:pPr>
        <w:spacing w:after="0" w:line="117"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Bank:</w:t>
      </w:r>
      <w:r>
        <w:rPr>
          <w:rFonts w:ascii="Arial" w:cs="Arial" w:eastAsia="Arial" w:hAnsi="Arial"/>
          <w:sz w:val="16"/>
          <w:szCs w:val="16"/>
          <w:color w:val="auto"/>
        </w:rPr>
        <w:t>[____________]</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ABA#:</w:t>
      </w:r>
      <w:r>
        <w:rPr>
          <w:rFonts w:ascii="Arial" w:cs="Arial" w:eastAsia="Arial" w:hAnsi="Arial"/>
          <w:sz w:val="16"/>
          <w:szCs w:val="16"/>
          <w:color w:val="auto"/>
        </w:rPr>
        <w:t>[____________]</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Acct No.:</w:t>
      </w:r>
      <w:r>
        <w:rPr>
          <w:rFonts w:ascii="Arial" w:cs="Arial" w:eastAsia="Arial" w:hAnsi="Arial"/>
          <w:sz w:val="16"/>
          <w:szCs w:val="16"/>
          <w:color w:val="auto"/>
        </w:rPr>
        <w:t>[____________]</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Beneficiary:  [____________]</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Ref:</w:t>
      </w:r>
      <w:r>
        <w:rPr>
          <w:rFonts w:ascii="Arial" w:cs="Arial" w:eastAsia="Arial" w:hAnsi="Arial"/>
          <w:sz w:val="16"/>
          <w:szCs w:val="16"/>
          <w:color w:val="auto"/>
        </w:rPr>
        <w:t>[____________]</w:t>
      </w:r>
    </w:p>
    <w:p>
      <w:pPr>
        <w:spacing w:after="0" w:line="170" w:lineRule="exact"/>
        <w:rPr>
          <w:rFonts w:ascii="Arial" w:cs="Arial" w:eastAsia="Arial" w:hAnsi="Arial"/>
          <w:sz w:val="18"/>
          <w:szCs w:val="18"/>
          <w:color w:val="auto"/>
        </w:rPr>
      </w:pPr>
    </w:p>
    <w:p>
      <w:pPr>
        <w:ind w:left="1300" w:right="6660"/>
        <w:spacing w:after="0" w:line="340" w:lineRule="auto"/>
        <w:rPr>
          <w:rFonts w:ascii="Arial" w:cs="Arial" w:eastAsia="Arial" w:hAnsi="Arial"/>
          <w:sz w:val="18"/>
          <w:szCs w:val="18"/>
          <w:color w:val="auto"/>
        </w:rPr>
      </w:pPr>
      <w:r>
        <w:rPr>
          <w:rFonts w:ascii="Arial" w:cs="Arial" w:eastAsia="Arial" w:hAnsi="Arial"/>
          <w:sz w:val="18"/>
          <w:szCs w:val="18"/>
          <w:color w:val="auto"/>
        </w:rPr>
        <w:t>Account for delivery of Shares to Counterparty: [____________]</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1" w:right="239" w:bottom="1440" w:gutter="0" w:footer="0" w:header="0"/>
          <w:type w:val="continuous"/>
        </w:sectPr>
      </w:pPr>
    </w:p>
    <w:bookmarkStart w:id="198" w:name="page199"/>
    <w:bookmarkEnd w:id="198"/>
    <w:p>
      <w:pPr>
        <w:ind w:left="660"/>
        <w:spacing w:after="0"/>
        <w:rPr>
          <w:sz w:val="20"/>
          <w:szCs w:val="20"/>
          <w:color w:val="auto"/>
        </w:rPr>
      </w:pPr>
      <w:r>
        <w:rPr>
          <w:rFonts w:ascii="Arial" w:cs="Arial" w:eastAsia="Arial" w:hAnsi="Arial"/>
          <w:sz w:val="16"/>
          <w:szCs w:val="16"/>
          <w:color w:val="auto"/>
        </w:rPr>
        <w:t>(b)Account for payments to Dealer:</w:t>
      </w:r>
    </w:p>
    <w:p>
      <w:pPr>
        <w:sectPr>
          <w:pgSz w:w="11900" w:h="16838" w:orient="portrait"/>
          <w:cols w:equalWidth="0" w:num="1">
            <w:col w:w="11420"/>
          </w:cols>
          <w:pgMar w:left="240" w:top="801" w:right="239" w:bottom="1440" w:gutter="0" w:footer="0" w:header="0"/>
        </w:sectPr>
      </w:pP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Bank:</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ABA#: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Acct No.: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Beneficiary:</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Ref:</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192" w:lineRule="exact"/>
        <w:rPr>
          <w:sz w:val="20"/>
          <w:szCs w:val="20"/>
          <w:color w:val="auto"/>
        </w:rPr>
      </w:pPr>
    </w:p>
    <w:p>
      <w:pPr>
        <w:sectPr>
          <w:pgSz w:w="11900" w:h="16838" w:orient="portrait"/>
          <w:cols w:equalWidth="0" w:num="2">
            <w:col w:w="2200" w:space="160"/>
            <w:col w:w="9060"/>
          </w:cols>
          <w:pgMar w:left="240" w:top="801" w:right="2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Account for delivery of Shares from Dealer:</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w:t>
      </w:r>
    </w:p>
    <w:p>
      <w:pPr>
        <w:spacing w:after="0" w:line="221" w:lineRule="exact"/>
        <w:rPr>
          <w:sz w:val="20"/>
          <w:szCs w:val="20"/>
          <w:color w:val="auto"/>
        </w:rPr>
      </w:pPr>
    </w:p>
    <w:p>
      <w:pPr>
        <w:ind w:left="320" w:hanging="312"/>
        <w:spacing w:after="0"/>
        <w:tabs>
          <w:tab w:leader="none" w:pos="32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Offices</w:t>
      </w:r>
      <w:r>
        <w:rPr>
          <w:rFonts w:ascii="Arial" w:cs="Arial" w:eastAsia="Arial" w:hAnsi="Arial"/>
          <w:sz w:val="18"/>
          <w:szCs w:val="18"/>
          <w:b w:val="1"/>
          <w:bCs w:val="1"/>
          <w:color w:val="auto"/>
        </w:rPr>
        <w:t>.</w:t>
      </w:r>
    </w:p>
    <w:p>
      <w:pPr>
        <w:spacing w:after="0" w:line="188"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Office of Counterparty for the Transaction is: Inapplicable, Counterparty is not a Multibranch Party.</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Office of Dealer for the Transaction is: [______________]</w:t>
      </w:r>
    </w:p>
    <w:p>
      <w:pPr>
        <w:spacing w:after="0" w:line="180" w:lineRule="exact"/>
        <w:rPr>
          <w:rFonts w:ascii="Arial" w:cs="Arial" w:eastAsia="Arial" w:hAnsi="Arial"/>
          <w:sz w:val="18"/>
          <w:szCs w:val="18"/>
          <w:color w:val="auto"/>
        </w:rPr>
      </w:pPr>
    </w:p>
    <w:p>
      <w:pPr>
        <w:ind w:left="320" w:hanging="312"/>
        <w:spacing w:after="0"/>
        <w:tabs>
          <w:tab w:leader="none" w:pos="32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188"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Address for notices or communications to Counterparty:</w:t>
      </w:r>
    </w:p>
    <w:p>
      <w:pPr>
        <w:spacing w:after="0" w:line="184" w:lineRule="exact"/>
        <w:rPr>
          <w:rFonts w:ascii="Arial" w:cs="Arial" w:eastAsia="Arial" w:hAnsi="Arial"/>
          <w:sz w:val="18"/>
          <w:szCs w:val="18"/>
          <w:color w:val="auto"/>
        </w:rPr>
      </w:pPr>
    </w:p>
    <w:p>
      <w:pPr>
        <w:ind w:left="1300" w:right="7020"/>
        <w:spacing w:after="0" w:line="258" w:lineRule="auto"/>
        <w:rPr>
          <w:rFonts w:ascii="Arial" w:cs="Arial" w:eastAsia="Arial" w:hAnsi="Arial"/>
          <w:sz w:val="18"/>
          <w:szCs w:val="18"/>
          <w:color w:val="auto"/>
        </w:rPr>
      </w:pPr>
      <w:r>
        <w:rPr>
          <w:rFonts w:ascii="Arial" w:cs="Arial" w:eastAsia="Arial" w:hAnsi="Arial"/>
          <w:sz w:val="18"/>
          <w:szCs w:val="18"/>
          <w:color w:val="auto"/>
        </w:rPr>
        <w:t>Marriott Vacations Worldwide Corporation 6649 Westwood Blvd.</w:t>
      </w:r>
    </w:p>
    <w:p>
      <w:pPr>
        <w:spacing w:after="0" w:line="1" w:lineRule="exact"/>
        <w:rPr>
          <w:rFonts w:ascii="Arial" w:cs="Arial" w:eastAsia="Arial" w:hAnsi="Arial"/>
          <w:sz w:val="18"/>
          <w:szCs w:val="18"/>
          <w:color w:val="auto"/>
        </w:rPr>
      </w:pPr>
    </w:p>
    <w:p>
      <w:pPr>
        <w:ind w:left="1300" w:right="7620"/>
        <w:spacing w:after="0" w:line="254" w:lineRule="auto"/>
        <w:rPr>
          <w:rFonts w:ascii="Arial" w:cs="Arial" w:eastAsia="Arial" w:hAnsi="Arial"/>
          <w:sz w:val="18"/>
          <w:szCs w:val="18"/>
          <w:color w:val="auto"/>
        </w:rPr>
      </w:pPr>
      <w:r>
        <w:rPr>
          <w:rFonts w:ascii="Arial" w:cs="Arial" w:eastAsia="Arial" w:hAnsi="Arial"/>
          <w:sz w:val="18"/>
          <w:szCs w:val="18"/>
          <w:color w:val="auto"/>
        </w:rPr>
        <w:t>Orlando, FL 32821 Attention: [____________] Telephone No.: [____________] Facsimile No.: [____________]</w:t>
      </w:r>
    </w:p>
    <w:p>
      <w:pPr>
        <w:spacing w:after="0" w:line="149" w:lineRule="exact"/>
        <w:rPr>
          <w:rFonts w:ascii="Arial" w:cs="Arial" w:eastAsia="Arial" w:hAnsi="Arial"/>
          <w:sz w:val="18"/>
          <w:szCs w:val="18"/>
          <w:color w:val="auto"/>
        </w:rPr>
      </w:pPr>
    </w:p>
    <w:p>
      <w:pPr>
        <w:ind w:left="1300" w:hanging="644"/>
        <w:spacing w:after="0"/>
        <w:tabs>
          <w:tab w:leader="none" w:pos="13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Address for notices or communications to Dealer:</w:t>
      </w:r>
    </w:p>
    <w:p>
      <w:pPr>
        <w:spacing w:after="0" w:line="184" w:lineRule="exact"/>
        <w:rPr>
          <w:rFonts w:ascii="Arial" w:cs="Arial" w:eastAsia="Arial" w:hAnsi="Arial"/>
          <w:sz w:val="18"/>
          <w:szCs w:val="18"/>
          <w:color w:val="auto"/>
        </w:rPr>
      </w:pPr>
    </w:p>
    <w:p>
      <w:pPr>
        <w:ind w:left="1300" w:right="7620"/>
        <w:spacing w:after="0" w:line="279" w:lineRule="auto"/>
        <w:rPr>
          <w:rFonts w:ascii="Arial" w:cs="Arial" w:eastAsia="Arial" w:hAnsi="Arial"/>
          <w:sz w:val="18"/>
          <w:szCs w:val="18"/>
          <w:color w:val="auto"/>
        </w:rPr>
      </w:pPr>
      <w:r>
        <w:rPr>
          <w:rFonts w:ascii="Arial" w:cs="Arial" w:eastAsia="Arial" w:hAnsi="Arial"/>
          <w:sz w:val="17"/>
          <w:szCs w:val="17"/>
          <w:color w:val="auto"/>
        </w:rPr>
        <w:t>[____________________] Attention: [____________] Telephone No.: [____________] Facsimile No.: [____________]</w:t>
      </w:r>
    </w:p>
    <w:p>
      <w:pPr>
        <w:spacing w:after="0" w:line="126" w:lineRule="exact"/>
        <w:rPr>
          <w:rFonts w:ascii="Arial" w:cs="Arial" w:eastAsia="Arial" w:hAnsi="Arial"/>
          <w:sz w:val="18"/>
          <w:szCs w:val="18"/>
          <w:color w:val="auto"/>
        </w:rPr>
      </w:pPr>
    </w:p>
    <w:p>
      <w:pPr>
        <w:ind w:left="320" w:hanging="312"/>
        <w:spacing w:after="0"/>
        <w:tabs>
          <w:tab w:leader="none" w:pos="32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Counterparty</w:t>
      </w:r>
      <w:r>
        <w:rPr>
          <w:rFonts w:ascii="Arial" w:cs="Arial" w:eastAsia="Arial" w:hAnsi="Arial"/>
          <w:sz w:val="18"/>
          <w:szCs w:val="18"/>
          <w:b w:val="1"/>
          <w:bCs w:val="1"/>
          <w:color w:val="auto"/>
        </w:rPr>
        <w:t>.</w:t>
      </w:r>
    </w:p>
    <w:p>
      <w:pPr>
        <w:spacing w:after="0" w:line="185" w:lineRule="exact"/>
        <w:rPr>
          <w:sz w:val="20"/>
          <w:szCs w:val="20"/>
          <w:color w:val="auto"/>
        </w:rPr>
      </w:pPr>
    </w:p>
    <w:p>
      <w:pPr>
        <w:jc w:val="both"/>
        <w:ind w:left="620"/>
        <w:spacing w:after="0" w:line="258" w:lineRule="auto"/>
        <w:rPr>
          <w:sz w:val="20"/>
          <w:szCs w:val="20"/>
          <w:color w:val="auto"/>
        </w:rPr>
      </w:pPr>
      <w:r>
        <w:rPr>
          <w:rFonts w:ascii="Arial" w:cs="Arial" w:eastAsia="Arial" w:hAnsi="Arial"/>
          <w:sz w:val="18"/>
          <w:szCs w:val="18"/>
          <w:color w:val="auto"/>
        </w:rPr>
        <w:t>Each of the representations and warranties of Counterparty set forth in Section 3 of the Purchase Agreement (the “</w:t>
      </w:r>
      <w:r>
        <w:rPr>
          <w:rFonts w:ascii="Arial" w:cs="Arial" w:eastAsia="Arial" w:hAnsi="Arial"/>
          <w:sz w:val="18"/>
          <w:szCs w:val="18"/>
          <w:b w:val="1"/>
          <w:bCs w:val="1"/>
          <w:color w:val="auto"/>
        </w:rPr>
        <w:t>Purchase Agreement</w:t>
      </w:r>
      <w:r>
        <w:rPr>
          <w:rFonts w:ascii="Arial" w:cs="Arial" w:eastAsia="Arial" w:hAnsi="Arial"/>
          <w:sz w:val="18"/>
          <w:szCs w:val="18"/>
          <w:color w:val="auto"/>
        </w:rPr>
        <w:t>”) dated as of September 20, 2017 between Counterparty and J.P. Morgan Securities LLC and Merrill Lynch, Pierce, Fenner &amp; Smith Incorporated, as representative of the Initial Purchasers party thereto (the “</w:t>
      </w:r>
      <w:r>
        <w:rPr>
          <w:rFonts w:ascii="Arial" w:cs="Arial" w:eastAsia="Arial" w:hAnsi="Arial"/>
          <w:sz w:val="18"/>
          <w:szCs w:val="18"/>
          <w:b w:val="1"/>
          <w:bCs w:val="1"/>
          <w:color w:val="auto"/>
        </w:rPr>
        <w:t>Initial Purchasers</w:t>
      </w:r>
      <w:r>
        <w:rPr>
          <w:rFonts w:ascii="Arial" w:cs="Arial" w:eastAsia="Arial" w:hAnsi="Arial"/>
          <w:sz w:val="18"/>
          <w:szCs w:val="18"/>
          <w:color w:val="auto"/>
        </w:rPr>
        <w:t>”), are true and correct and are hereby deemed to be repeated to Dealer as if set forth herein. Counterparty hereby further represents and warrants to Dealer on the date hereof and on and as of the Premium Payment Date that:</w:t>
      </w:r>
    </w:p>
    <w:p>
      <w:pPr>
        <w:spacing w:after="0" w:line="147" w:lineRule="exact"/>
        <w:rPr>
          <w:sz w:val="20"/>
          <w:szCs w:val="20"/>
          <w:color w:val="auto"/>
        </w:rPr>
      </w:pPr>
    </w:p>
    <w:p>
      <w:pPr>
        <w:jc w:val="both"/>
        <w:ind w:left="1300" w:hanging="644"/>
        <w:spacing w:after="0" w:line="271" w:lineRule="auto"/>
        <w:tabs>
          <w:tab w:leader="none" w:pos="130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Counterparty has all necessary corporate power and authority to execute, deliver and perform its obligations in respect of the Transaction; such execution, delivery and performance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1" w:right="239" w:bottom="1440" w:gutter="0" w:footer="0" w:header="0"/>
          <w:type w:val="continuous"/>
        </w:sectPr>
      </w:pPr>
    </w:p>
    <w:bookmarkStart w:id="199" w:name="page200"/>
    <w:bookmarkEnd w:id="199"/>
    <w:p>
      <w:pPr>
        <w:jc w:val="both"/>
        <w:ind w:left="1300" w:hanging="644"/>
        <w:spacing w:after="0" w:line="219" w:lineRule="exact"/>
        <w:tabs>
          <w:tab w:leader="none" w:pos="13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Neither the execution and delivery of this Confirmation nor the incurrence or performance of obligations of Counterparty hereunder will conflict with or result in a breach of the certificate of incorporation or by</w:t>
      </w:r>
      <w:r>
        <w:rPr>
          <w:rFonts w:ascii="MS PGothic" w:cs="MS PGothic" w:eastAsia="MS PGothic" w:hAnsi="MS PGothic"/>
          <w:sz w:val="18"/>
          <w:szCs w:val="18"/>
          <w:color w:val="auto"/>
        </w:rPr>
        <w:t>‑</w:t>
      </w:r>
      <w:r>
        <w:rPr>
          <w:rFonts w:ascii="Arial" w:cs="Arial" w:eastAsia="Arial" w:hAnsi="Arial"/>
          <w:sz w:val="18"/>
          <w:szCs w:val="18"/>
          <w:color w:val="auto"/>
        </w:rPr>
        <w:t>laws (or any equivalent documents) of Counterparty, or any applicable law or regulation, or any order, writ, injunction or decree of any court or governmental authority or agency, or any agreement or instrument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62"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or state securities laws.</w:t>
      </w:r>
    </w:p>
    <w:p>
      <w:pPr>
        <w:spacing w:after="0" w:line="73"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Counterparty is not and, after consummation of the transactions contemplated hereby, will not be required to register as an “investment company” as such term is defined in the Investment Company Act of 1940, as amended.</w:t>
      </w:r>
    </w:p>
    <w:p>
      <w:pPr>
        <w:spacing w:after="0" w:line="62"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Counterparty is an “eligible contract participant” (as such term is defined in Section 1a(18) of the Commodity Exchange Act, as amended, other than a person that is an eligible contract participant under Section 1a(18)(C) of the Commodity Exchange Act).</w:t>
      </w:r>
    </w:p>
    <w:p>
      <w:pPr>
        <w:spacing w:after="0" w:line="62"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Each of it and its affiliates is not, on the date hereof, in possession of any material non-public information with respect to Counterparty or the Shares.</w:t>
      </w:r>
    </w:p>
    <w:p>
      <w:pPr>
        <w:spacing w:after="0" w:line="62" w:lineRule="exact"/>
        <w:rPr>
          <w:rFonts w:ascii="Arial" w:cs="Arial" w:eastAsia="Arial" w:hAnsi="Arial"/>
          <w:sz w:val="18"/>
          <w:szCs w:val="18"/>
          <w:color w:val="auto"/>
        </w:rPr>
      </w:pPr>
    </w:p>
    <w:p>
      <w:pPr>
        <w:jc w:val="both"/>
        <w:ind w:left="1300" w:hanging="644"/>
        <w:spacing w:after="0" w:line="297" w:lineRule="auto"/>
        <w:tabs>
          <w:tab w:leader="none" w:pos="130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To Counterparty’s knowledge, no state or local (including any non-U.S. jurisdiction’s) law, rule, regulation or regulatory order applicable to the Shares (not including laws, rules, regulations or regulatory orders of any jurisdiction that are applicable solely as a result of Dealer’s and/or its affiliates’ activities, assets or businesses, other than Dealer’s activities in respect of the Transaction) would give rise to any reporting, consent, registration or other requirement (including without limitation a requirement to obtain prior approval from any person or entity) as a result of Dealer or its affiliates owning or holding (however defined) Shares in connection with the Transaction.</w:t>
      </w:r>
    </w:p>
    <w:p>
      <w:pPr>
        <w:spacing w:after="0" w:line="50" w:lineRule="exact"/>
        <w:rPr>
          <w:rFonts w:ascii="Arial" w:cs="Arial" w:eastAsia="Arial" w:hAnsi="Arial"/>
          <w:sz w:val="16"/>
          <w:szCs w:val="16"/>
          <w:color w:val="auto"/>
        </w:rPr>
      </w:pPr>
    </w:p>
    <w:p>
      <w:pPr>
        <w:jc w:val="both"/>
        <w:ind w:left="1300" w:hanging="644"/>
        <w:spacing w:after="0" w:line="312" w:lineRule="auto"/>
        <w:tabs>
          <w:tab w:leader="none" w:pos="130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 million.</w:t>
      </w:r>
    </w:p>
    <w:p>
      <w:pPr>
        <w:spacing w:after="0" w:line="34" w:lineRule="exact"/>
        <w:rPr>
          <w:rFonts w:ascii="Arial" w:cs="Arial" w:eastAsia="Arial" w:hAnsi="Arial"/>
          <w:sz w:val="16"/>
          <w:szCs w:val="16"/>
          <w:color w:val="auto"/>
        </w:rPr>
      </w:pPr>
    </w:p>
    <w:p>
      <w:pPr>
        <w:ind w:left="320" w:hanging="312"/>
        <w:spacing w:after="0"/>
        <w:tabs>
          <w:tab w:leader="none" w:pos="32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Provisions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jc w:val="both"/>
        <w:ind w:left="1300" w:hanging="644"/>
        <w:spacing w:after="0" w:line="259" w:lineRule="auto"/>
        <w:tabs>
          <w:tab w:leader="none" w:pos="1300" w:val="left"/>
        </w:tabs>
        <w:numPr>
          <w:ilvl w:val="1"/>
          <w:numId w:val="172"/>
        </w:numPr>
        <w:rPr>
          <w:rFonts w:ascii="Arial" w:cs="Arial" w:eastAsia="Arial" w:hAnsi="Arial"/>
          <w:sz w:val="18"/>
          <w:szCs w:val="18"/>
          <w:color w:val="auto"/>
        </w:rPr>
      </w:pPr>
      <w:r>
        <w:rPr>
          <w:rFonts w:ascii="Arial" w:cs="Arial" w:eastAsia="Arial" w:hAnsi="Arial"/>
          <w:sz w:val="18"/>
          <w:szCs w:val="18"/>
          <w:i w:val="1"/>
          <w:iCs w:val="1"/>
          <w:u w:val="single" w:color="auto"/>
          <w:color w:val="auto"/>
        </w:rPr>
        <w:t>Opinions</w:t>
      </w:r>
      <w:r>
        <w:rPr>
          <w:rFonts w:ascii="Arial" w:cs="Arial" w:eastAsia="Arial" w:hAnsi="Arial"/>
          <w:sz w:val="18"/>
          <w:szCs w:val="18"/>
          <w:color w:val="auto"/>
        </w:rPr>
        <w:t>. Counterparty shall deliver to Dealer an opinion of counsel, dated as of the Premium Payment Date, covering customary matters,</w:t>
      </w:r>
      <w:r>
        <w:rPr>
          <w:rFonts w:ascii="Arial" w:cs="Arial" w:eastAsia="Arial" w:hAnsi="Arial"/>
          <w:sz w:val="18"/>
          <w:szCs w:val="18"/>
          <w:i w:val="1"/>
          <w:iCs w:val="1"/>
          <w:color w:val="auto"/>
        </w:rPr>
        <w:t xml:space="preserve"> </w:t>
      </w:r>
      <w:r>
        <w:rPr>
          <w:rFonts w:ascii="Arial" w:cs="Arial" w:eastAsia="Arial" w:hAnsi="Arial"/>
          <w:sz w:val="18"/>
          <w:szCs w:val="18"/>
          <w:color w:val="auto"/>
        </w:rPr>
        <w:t>and subject to customary assumptions, qualifications and exceptions, in each case reasonably acceptable to Dealer. Delivery of such opinion to Dealer shall be a condition precedent for the purpose of Section 2(a)(iii) of the Agreement with respect to each obligation of Dealer under Section 2(a)(i) of the Agreement.</w:t>
      </w:r>
    </w:p>
    <w:p>
      <w:pPr>
        <w:spacing w:after="0" w:line="78" w:lineRule="exact"/>
        <w:rPr>
          <w:rFonts w:ascii="Arial" w:cs="Arial" w:eastAsia="Arial" w:hAnsi="Arial"/>
          <w:sz w:val="18"/>
          <w:szCs w:val="18"/>
          <w:color w:val="auto"/>
        </w:rPr>
      </w:pPr>
    </w:p>
    <w:p>
      <w:pPr>
        <w:jc w:val="both"/>
        <w:ind w:left="1300" w:hanging="644"/>
        <w:spacing w:after="0" w:line="268" w:lineRule="auto"/>
        <w:tabs>
          <w:tab w:leader="none" w:pos="1300" w:val="left"/>
        </w:tabs>
        <w:numPr>
          <w:ilvl w:val="1"/>
          <w:numId w:val="172"/>
        </w:numPr>
        <w:rPr>
          <w:rFonts w:ascii="Arial" w:cs="Arial" w:eastAsia="Arial" w:hAnsi="Arial"/>
          <w:sz w:val="16"/>
          <w:szCs w:val="16"/>
          <w:color w:val="auto"/>
        </w:rPr>
      </w:pPr>
      <w:r>
        <w:rPr>
          <w:rFonts w:ascii="Arial" w:cs="Arial" w:eastAsia="Arial" w:hAnsi="Arial"/>
          <w:sz w:val="16"/>
          <w:szCs w:val="16"/>
          <w:i w:val="1"/>
          <w:iCs w:val="1"/>
          <w:u w:val="single" w:color="auto"/>
          <w:color w:val="auto"/>
        </w:rPr>
        <w:t>Repurchase Notices</w:t>
      </w:r>
      <w:r>
        <w:rPr>
          <w:rFonts w:ascii="Arial" w:cs="Arial" w:eastAsia="Arial" w:hAnsi="Arial"/>
          <w:sz w:val="16"/>
          <w:szCs w:val="16"/>
          <w:color w:val="auto"/>
        </w:rPr>
        <w:t>. Counterparty shall, on any day on which Counterparty effects any repurchase of Shares, promptly give Dealer a</w:t>
      </w:r>
      <w:r>
        <w:rPr>
          <w:rFonts w:ascii="Arial" w:cs="Arial" w:eastAsia="Arial" w:hAnsi="Arial"/>
          <w:sz w:val="16"/>
          <w:szCs w:val="16"/>
          <w:i w:val="1"/>
          <w:iCs w:val="1"/>
          <w:color w:val="auto"/>
        </w:rPr>
        <w:t xml:space="preserve"> </w:t>
      </w:r>
      <w:r>
        <w:rPr>
          <w:rFonts w:ascii="Arial" w:cs="Arial" w:eastAsia="Arial" w:hAnsi="Arial"/>
          <w:sz w:val="16"/>
          <w:szCs w:val="16"/>
          <w:color w:val="auto"/>
        </w:rPr>
        <w:t>written notice of such repurchase (a “</w:t>
      </w:r>
      <w:r>
        <w:rPr>
          <w:rFonts w:ascii="Arial" w:cs="Arial" w:eastAsia="Arial" w:hAnsi="Arial"/>
          <w:sz w:val="16"/>
          <w:szCs w:val="16"/>
          <w:b w:val="1"/>
          <w:bCs w:val="1"/>
          <w:color w:val="auto"/>
        </w:rPr>
        <w:t>Repurchase Notice</w:t>
      </w:r>
      <w:r>
        <w:rPr>
          <w:rFonts w:ascii="Arial" w:cs="Arial" w:eastAsia="Arial" w:hAnsi="Arial"/>
          <w:sz w:val="16"/>
          <w:szCs w:val="16"/>
          <w:color w:val="auto"/>
        </w:rPr>
        <w:t>”) on such day if following such repurchase, the number of outstanding Shares as determined on such day is (i) less than [__]</w:t>
      </w:r>
      <w:r>
        <w:rPr>
          <w:rFonts w:ascii="Arial" w:cs="Arial" w:eastAsia="Arial" w:hAnsi="Arial"/>
          <w:sz w:val="22"/>
          <w:szCs w:val="22"/>
          <w:color w:val="auto"/>
          <w:vertAlign w:val="superscript"/>
        </w:rPr>
        <w:t>12</w:t>
      </w:r>
      <w:r>
        <w:rPr>
          <w:rFonts w:ascii="Arial" w:cs="Arial" w:eastAsia="Arial" w:hAnsi="Arial"/>
          <w:sz w:val="16"/>
          <w:szCs w:val="16"/>
          <w:color w:val="auto"/>
        </w:rPr>
        <w:t xml:space="preserve"> million (in the case of the first such notice) or (ii) thereafter more than [__]</w:t>
      </w:r>
      <w:r>
        <w:rPr>
          <w:rFonts w:ascii="Arial" w:cs="Arial" w:eastAsia="Arial" w:hAnsi="Arial"/>
          <w:sz w:val="22"/>
          <w:szCs w:val="22"/>
          <w:color w:val="auto"/>
          <w:vertAlign w:val="superscript"/>
        </w:rPr>
        <w:t>13</w:t>
      </w:r>
      <w:r>
        <w:rPr>
          <w:rFonts w:ascii="Arial" w:cs="Arial" w:eastAsia="Arial" w:hAnsi="Arial"/>
          <w:sz w:val="16"/>
          <w:szCs w:val="16"/>
          <w:color w:val="auto"/>
        </w:rPr>
        <w:t xml:space="preserve"> million less than the number of Shares included in the immediately preceding Repurchase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Counterparty may provide Dealer with advance notice on or prior to any such day to the extent it expects that repurchases effected on such day may result in an obligation to deliver a Repurchase Notice (which, to the extent that Counterparty actually repurchases the number of Shares specified in such advance</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notice, advance notice shall be deemed a Repurchase Notice). Counterparty agrees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w:t>
      </w:r>
    </w:p>
    <w:p>
      <w:pPr>
        <w:spacing w:after="0" w:line="3" w:lineRule="exact"/>
        <w:rPr>
          <w:sz w:val="20"/>
          <w:szCs w:val="20"/>
          <w:color w:val="auto"/>
        </w:rPr>
      </w:pPr>
    </w:p>
    <w:p>
      <w:pPr>
        <w:ind w:right="20" w:firstLine="8"/>
        <w:spacing w:after="0" w:line="237" w:lineRule="auto"/>
        <w:tabs>
          <w:tab w:leader="none" w:pos="152" w:val="left"/>
        </w:tabs>
        <w:numPr>
          <w:ilvl w:val="0"/>
          <w:numId w:val="173"/>
        </w:numPr>
        <w:rPr>
          <w:rFonts w:ascii="Arial" w:cs="Arial" w:eastAsia="Arial" w:hAnsi="Arial"/>
          <w:sz w:val="19"/>
          <w:szCs w:val="19"/>
          <w:color w:val="auto"/>
          <w:vertAlign w:val="superscript"/>
        </w:rPr>
      </w:pPr>
      <w:r>
        <w:rPr>
          <w:rFonts w:ascii="Arial" w:cs="Arial" w:eastAsia="Arial" w:hAnsi="Arial"/>
          <w:sz w:val="15"/>
          <w:szCs w:val="15"/>
          <w:color w:val="auto"/>
        </w:rPr>
        <w:t>Insert the number of Shares outstanding that would cause Dealer’s current position in the Shares underlying the Transaction (including the number of Shares underlying any additional transaction if the greenshoe is exercised in full, and any Shares under pre-existing call option transactions with Counterparty) to increase by 0.5%.</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0" w:right="239" w:bottom="1440" w:gutter="0" w:footer="0" w:header="0"/>
        </w:sectPr>
      </w:pPr>
    </w:p>
    <w:bookmarkStart w:id="200" w:name="page201"/>
    <w:bookmarkEnd w:id="200"/>
    <w:p>
      <w:pPr>
        <w:ind w:right="60" w:firstLine="8"/>
        <w:spacing w:after="0" w:line="262" w:lineRule="auto"/>
        <w:tabs>
          <w:tab w:leader="none" w:pos="149" w:val="left"/>
        </w:tabs>
        <w:numPr>
          <w:ilvl w:val="0"/>
          <w:numId w:val="174"/>
        </w:numPr>
        <w:rPr>
          <w:rFonts w:ascii="Arial" w:cs="Arial" w:eastAsia="Arial" w:hAnsi="Arial"/>
          <w:sz w:val="18"/>
          <w:szCs w:val="18"/>
          <w:color w:val="auto"/>
          <w:vertAlign w:val="superscript"/>
        </w:rPr>
      </w:pPr>
      <w:r>
        <w:rPr>
          <w:rFonts w:ascii="Arial" w:cs="Arial" w:eastAsia="Arial" w:hAnsi="Arial"/>
          <w:sz w:val="14"/>
          <w:szCs w:val="14"/>
          <w:color w:val="auto"/>
        </w:rPr>
        <w:t>Insert the number of Shares that, if repurchased, would cause Dealer’s current position in the Shares underlying the Transaction (including the number of Shares underlying any additional transaction if the greenshoe is exercised in full, and any Shares under pre-existing call option transactions with Counterparty) to increase by a further 0.5% from the threshold for the first Repurchase Notice.</w:t>
      </w:r>
    </w:p>
    <w:p>
      <w:pPr>
        <w:spacing w:after="0" w:line="1" w:lineRule="exact"/>
        <w:rPr>
          <w:rFonts w:ascii="Arial" w:cs="Arial" w:eastAsia="Arial" w:hAnsi="Arial"/>
          <w:sz w:val="18"/>
          <w:szCs w:val="18"/>
          <w:color w:val="auto"/>
          <w:vertAlign w:val="superscript"/>
        </w:rPr>
      </w:pPr>
    </w:p>
    <w:p>
      <w:pPr>
        <w:jc w:val="both"/>
        <w:ind w:left="1300"/>
        <w:spacing w:after="0" w:line="283" w:lineRule="auto"/>
        <w:rPr>
          <w:rFonts w:ascii="Arial" w:cs="Arial" w:eastAsia="Arial" w:hAnsi="Arial"/>
          <w:sz w:val="18"/>
          <w:szCs w:val="18"/>
          <w:color w:val="auto"/>
          <w:vertAlign w:val="superscript"/>
        </w:rPr>
      </w:pPr>
      <w:r>
        <w:rPr>
          <w:rFonts w:ascii="Arial" w:cs="Arial" w:eastAsia="Arial" w:hAnsi="Arial"/>
          <w:sz w:val="16"/>
          <w:szCs w:val="16"/>
          <w:color w:val="auto"/>
        </w:rPr>
        <w:t>to indemnify and hold harmless Dealer and its affiliates and their respective officers, directors, employees, affiliates, advisors, agents and controlling persons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from and against any and all reasonable losses (including losses relating to Dealer’s commercially reasonable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judgments, liabilities and reasonable expenses (including reasonable attorney’s fees), joint or several, which an Indemnified Person may become subject to, as a result of Counterparty’s failure to provide Dealer with a Repurchase Notice on the day and in the manner specified in this paragraph, and to reimburse, within 30 days, upon written request, each of such Indemnified Persons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reasonable fees and expenses of such counsel related to such proceeding. Counterparty shall be relieved from liability to the extent that any Indemnified Person fails promptly to notify Counterparty of any action commenced against it in respect of which indemnity may be sought hereunder to the extent Counterparty is materially prejudiced as a result thereof. Counterparty shall not be liable for any settlement of any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that is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 For the avoidance of doubt, any payments due as a result of this provision may not be used to set off any obligation of the Dealer upon settlement of the Transaction.</w:t>
      </w:r>
    </w:p>
    <w:p>
      <w:pPr>
        <w:spacing w:after="0" w:line="350" w:lineRule="exact"/>
        <w:rPr>
          <w:rFonts w:ascii="Arial" w:cs="Arial" w:eastAsia="Arial" w:hAnsi="Arial"/>
          <w:sz w:val="18"/>
          <w:szCs w:val="18"/>
          <w:color w:val="auto"/>
          <w:vertAlign w:val="superscript"/>
        </w:rPr>
      </w:pPr>
    </w:p>
    <w:p>
      <w:pPr>
        <w:jc w:val="both"/>
        <w:ind w:left="1300" w:hanging="644"/>
        <w:spacing w:after="0" w:line="279" w:lineRule="auto"/>
        <w:tabs>
          <w:tab w:leader="none" w:pos="1300" w:val="left"/>
        </w:tabs>
        <w:numPr>
          <w:ilvl w:val="1"/>
          <w:numId w:val="174"/>
        </w:numPr>
        <w:rPr>
          <w:rFonts w:ascii="Arial" w:cs="Arial" w:eastAsia="Arial" w:hAnsi="Arial"/>
          <w:sz w:val="17"/>
          <w:szCs w:val="17"/>
          <w:color w:val="auto"/>
        </w:rPr>
      </w:pPr>
      <w:r>
        <w:rPr>
          <w:rFonts w:ascii="Arial" w:cs="Arial" w:eastAsia="Arial" w:hAnsi="Arial"/>
          <w:sz w:val="17"/>
          <w:szCs w:val="17"/>
          <w:i w:val="1"/>
          <w:iCs w:val="1"/>
          <w:u w:val="single" w:color="auto"/>
          <w:color w:val="auto"/>
        </w:rPr>
        <w:t>Regulation M</w:t>
      </w:r>
      <w:r>
        <w:rPr>
          <w:rFonts w:ascii="Arial" w:cs="Arial" w:eastAsia="Arial" w:hAnsi="Arial"/>
          <w:sz w:val="17"/>
          <w:szCs w:val="17"/>
          <w:color w:val="auto"/>
        </w:rPr>
        <w:t>. Counterparty is not on the Trade Date engaged in a distribution, as such term is used in Regulation M under the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of any securities of Counterparty, other than a distribution meeting the requirements of the exception set forth in Rules 101(b)(10) and 102(b)(7) of Regulation M. Counterparty shall not, until the second Scheduled Trading Day immediately following the Effective Date, engage in any such distribution.</w:t>
      </w:r>
    </w:p>
    <w:p>
      <w:pPr>
        <w:spacing w:after="0" w:line="130"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1"/>
          <w:numId w:val="174"/>
        </w:numPr>
        <w:rPr>
          <w:rFonts w:ascii="Arial" w:cs="Arial" w:eastAsia="Arial" w:hAnsi="Arial"/>
          <w:sz w:val="18"/>
          <w:szCs w:val="18"/>
          <w:color w:val="auto"/>
        </w:rPr>
      </w:pPr>
      <w:r>
        <w:rPr>
          <w:rFonts w:ascii="Arial" w:cs="Arial" w:eastAsia="Arial" w:hAnsi="Arial"/>
          <w:sz w:val="18"/>
          <w:szCs w:val="18"/>
          <w:i w:val="1"/>
          <w:iCs w:val="1"/>
          <w:u w:val="single" w:color="auto"/>
          <w:color w:val="auto"/>
        </w:rPr>
        <w:t>No Manipulation</w:t>
      </w:r>
      <w:r>
        <w:rPr>
          <w:rFonts w:ascii="Arial" w:cs="Arial" w:eastAsia="Arial" w:hAnsi="Arial"/>
          <w:sz w:val="18"/>
          <w:szCs w:val="18"/>
          <w:color w:val="auto"/>
        </w:rPr>
        <w:t>. Counterparty is not entering into the Transaction to create actual or apparent trading activity in the Shares (or any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into or exchangeable for the Shares) or to raise or depress or otherwise manipulate the price of the Shares (or any security convertible into or exchangeable for the Shares) or otherwise in violation of the Exchange Act.</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1"/>
          <w:numId w:val="174"/>
        </w:numPr>
        <w:rPr>
          <w:rFonts w:ascii="Arial" w:cs="Arial" w:eastAsia="Arial" w:hAnsi="Arial"/>
          <w:sz w:val="18"/>
          <w:szCs w:val="18"/>
          <w:color w:val="auto"/>
        </w:rPr>
      </w:pPr>
      <w:r>
        <w:rPr>
          <w:rFonts w:ascii="Arial" w:cs="Arial" w:eastAsia="Arial" w:hAnsi="Arial"/>
          <w:sz w:val="18"/>
          <w:szCs w:val="18"/>
          <w:i w:val="1"/>
          <w:iCs w:val="1"/>
          <w:u w:val="single" w:color="auto"/>
          <w:color w:val="auto"/>
        </w:rPr>
        <w:t>Transfer or Assignment</w:t>
      </w:r>
      <w:r>
        <w:rPr>
          <w:rFonts w:ascii="Arial" w:cs="Arial" w:eastAsia="Arial" w:hAnsi="Arial"/>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5" w:right="239" w:bottom="1440" w:gutter="0" w:footer="0" w:header="0"/>
        </w:sectPr>
      </w:pPr>
    </w:p>
    <w:bookmarkStart w:id="201" w:name="page202"/>
    <w:bookmarkEnd w:id="201"/>
    <w:p>
      <w:pPr>
        <w:jc w:val="both"/>
        <w:ind w:left="760" w:hanging="655"/>
        <w:spacing w:after="0" w:line="286" w:lineRule="auto"/>
        <w:tabs>
          <w:tab w:leader="none" w:pos="7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Counterparty shall have the right to transfer or assign its rights and obligations hereunder with respect to all, but not less than all, of the Options hereunder (such Options, the “</w:t>
      </w:r>
      <w:r>
        <w:rPr>
          <w:rFonts w:ascii="Arial" w:cs="Arial" w:eastAsia="Arial" w:hAnsi="Arial"/>
          <w:sz w:val="17"/>
          <w:szCs w:val="17"/>
          <w:b w:val="1"/>
          <w:bCs w:val="1"/>
          <w:color w:val="auto"/>
        </w:rPr>
        <w:t>Transfer Options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transfer or assignment shall be subject to reasonable conditions that Dealer may impose, including but not limited, to the following conditions:</w:t>
      </w:r>
    </w:p>
    <w:p>
      <w:pPr>
        <w:spacing w:after="0" w:line="125" w:lineRule="exact"/>
        <w:rPr>
          <w:rFonts w:ascii="Arial" w:cs="Arial" w:eastAsia="Arial" w:hAnsi="Arial"/>
          <w:sz w:val="17"/>
          <w:szCs w:val="17"/>
          <w:color w:val="auto"/>
        </w:rPr>
      </w:pPr>
    </w:p>
    <w:p>
      <w:pPr>
        <w:ind w:left="1400" w:hanging="647"/>
        <w:spacing w:after="0" w:line="277" w:lineRule="auto"/>
        <w:tabs>
          <w:tab w:leader="none" w:pos="14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With respect to any Transfer Options, Counterparty shall not be released from its notice and indemnification obligations pursuant to Section 9(b) or any obligations under Section 9(n) or 9(s) of this Confirmation;</w:t>
      </w:r>
    </w:p>
    <w:p>
      <w:pPr>
        <w:spacing w:after="0" w:line="129" w:lineRule="exact"/>
        <w:rPr>
          <w:rFonts w:ascii="Arial" w:cs="Arial" w:eastAsia="Arial" w:hAnsi="Arial"/>
          <w:sz w:val="18"/>
          <w:szCs w:val="18"/>
          <w:color w:val="auto"/>
        </w:rPr>
      </w:pPr>
    </w:p>
    <w:p>
      <w:pPr>
        <w:ind w:left="1400" w:hanging="647"/>
        <w:spacing w:after="0" w:line="277" w:lineRule="auto"/>
        <w:tabs>
          <w:tab w:leader="none" w:pos="14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Any Transfer Options shall only be transferred or assigned to a third party that is a United States person (as defined in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jc w:val="both"/>
        <w:ind w:left="1400" w:hanging="647"/>
        <w:spacing w:after="0" w:line="276" w:lineRule="auto"/>
        <w:tabs>
          <w:tab w:leader="none" w:pos="140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requested and reasonably satisfactory to Dealer;</w:t>
      </w:r>
    </w:p>
    <w:p>
      <w:pPr>
        <w:spacing w:after="0" w:line="132" w:lineRule="exact"/>
        <w:rPr>
          <w:rFonts w:ascii="Arial" w:cs="Arial" w:eastAsia="Arial" w:hAnsi="Arial"/>
          <w:sz w:val="17"/>
          <w:szCs w:val="17"/>
          <w:color w:val="auto"/>
        </w:rPr>
      </w:pPr>
    </w:p>
    <w:p>
      <w:pPr>
        <w:jc w:val="both"/>
        <w:ind w:left="1400" w:hanging="647"/>
        <w:spacing w:after="0" w:line="264" w:lineRule="auto"/>
        <w:tabs>
          <w:tab w:leader="none" w:pos="14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Dealer will not, as a result of such transfer and assignment, be required to pay the transferee on any payment date an amount under Section 2(d)(i)(4) of the Agreement greater than an amount that Dealer would have been required to pay to Counterparty in the absence of such transfer and assignment;</w:t>
      </w:r>
    </w:p>
    <w:p>
      <w:pPr>
        <w:spacing w:after="0" w:line="140" w:lineRule="exact"/>
        <w:rPr>
          <w:rFonts w:ascii="Arial" w:cs="Arial" w:eastAsia="Arial" w:hAnsi="Arial"/>
          <w:sz w:val="18"/>
          <w:szCs w:val="18"/>
          <w:color w:val="auto"/>
        </w:rPr>
      </w:pPr>
    </w:p>
    <w:p>
      <w:pPr>
        <w:ind w:left="1400" w:hanging="647"/>
        <w:spacing w:after="0" w:line="277" w:lineRule="auto"/>
        <w:tabs>
          <w:tab w:leader="none" w:pos="14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An Event of Default, Potential Event of Default or Termination Event will not occur as a result of such transfer and assignment;</w:t>
      </w:r>
    </w:p>
    <w:p>
      <w:pPr>
        <w:spacing w:after="0" w:line="129" w:lineRule="exact"/>
        <w:rPr>
          <w:rFonts w:ascii="Arial" w:cs="Arial" w:eastAsia="Arial" w:hAnsi="Arial"/>
          <w:sz w:val="18"/>
          <w:szCs w:val="18"/>
          <w:color w:val="auto"/>
        </w:rPr>
      </w:pPr>
    </w:p>
    <w:p>
      <w:pPr>
        <w:jc w:val="both"/>
        <w:ind w:left="1400" w:hanging="647"/>
        <w:spacing w:after="0" w:line="312" w:lineRule="auto"/>
        <w:tabs>
          <w:tab w:leader="none" w:pos="140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Without limiting the generality of clause (B), Counterparty shall cause the transferee to make such Payee Tax Representations and to provide such tax documentation as may be reasonably requested by Dealer to permit Dealer to determine that results described in clauses (D) and (E) will not occur upon or after such transfer and assignment; and</w:t>
      </w:r>
    </w:p>
    <w:p>
      <w:pPr>
        <w:spacing w:after="0" w:line="106" w:lineRule="exact"/>
        <w:rPr>
          <w:rFonts w:ascii="Arial" w:cs="Arial" w:eastAsia="Arial" w:hAnsi="Arial"/>
          <w:sz w:val="16"/>
          <w:szCs w:val="16"/>
          <w:color w:val="auto"/>
        </w:rPr>
      </w:pPr>
    </w:p>
    <w:p>
      <w:pPr>
        <w:ind w:left="1400" w:hanging="647"/>
        <w:spacing w:after="0" w:line="277" w:lineRule="auto"/>
        <w:tabs>
          <w:tab w:leader="none" w:pos="14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Counterparty shall be responsible for all reasonable costs and expenses, including reasonable counsel fees, incurred by Dealer in connection with such transfer or assignment.</w:t>
      </w:r>
    </w:p>
    <w:p>
      <w:pPr>
        <w:spacing w:after="0" w:line="129" w:lineRule="exact"/>
        <w:rPr>
          <w:rFonts w:ascii="Arial" w:cs="Arial" w:eastAsia="Arial" w:hAnsi="Arial"/>
          <w:sz w:val="18"/>
          <w:szCs w:val="18"/>
          <w:color w:val="auto"/>
        </w:rPr>
      </w:pPr>
    </w:p>
    <w:p>
      <w:pPr>
        <w:jc w:val="both"/>
        <w:ind w:left="760" w:hanging="655"/>
        <w:spacing w:after="0" w:line="287" w:lineRule="auto"/>
        <w:tabs>
          <w:tab w:leader="none" w:pos="7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Dealer may, without Counterparty’s consent, transfer or assign all or any part of its rights or obligations under the Transaction (A) to any affiliate of Dealer (1) that has a long-term issuer rating that is equal to or better than Dealer’s credit rating at the time of such transfer or assignment, or (2) whose obligations hereunder will be guaranteed, pursuant to the terms of a customary guarantee in a form used by Dealer generally for similar transactions, by Dealer[ or Dealer’s parent], provided that, after a transfer and/or assignment pursuant to this clause (A), Counterparty shall be entitled to a payment, on any payment date, that is not less than the payment Counterparty would have received in the absence of such transfer and/or assignment on account of any deduction or withholding under Section 2(d)(i) of the Agreement, except to the extent such deduction or withholding results from a Change in Tax Law occurring after the date of such transfer and/or assignment or (B) if an Excess Ownership Position (as defined below) exists, but only to the extent of such Excess Ownership Position, to any other recognized dealer in transactions such as the Transaction with a long-term issuer rating equal to or better than the lesser of (1) the credit rating of Dealer at the time of the transfer and (2) A- by Standard and Poor’s Rating Group, Inc. or its successor (“</w:t>
      </w:r>
      <w:r>
        <w:rPr>
          <w:rFonts w:ascii="Arial" w:cs="Arial" w:eastAsia="Arial" w:hAnsi="Arial"/>
          <w:sz w:val="16"/>
          <w:szCs w:val="16"/>
          <w:b w:val="1"/>
          <w:bCs w:val="1"/>
          <w:color w:val="auto"/>
        </w:rPr>
        <w:t>S&amp;P</w:t>
      </w:r>
      <w:r>
        <w:rPr>
          <w:rFonts w:ascii="Arial" w:cs="Arial" w:eastAsia="Arial" w:hAnsi="Arial"/>
          <w:sz w:val="16"/>
          <w:szCs w:val="16"/>
          <w:color w:val="auto"/>
        </w:rPr>
        <w:t>”), or A3 by Moody’s Investor Service, Inc. (“</w:t>
      </w:r>
      <w:r>
        <w:rPr>
          <w:rFonts w:ascii="Arial" w:cs="Arial" w:eastAsia="Arial" w:hAnsi="Arial"/>
          <w:sz w:val="16"/>
          <w:szCs w:val="16"/>
          <w:b w:val="1"/>
          <w:bCs w:val="1"/>
          <w:color w:val="auto"/>
        </w:rPr>
        <w:t>Moody’s</w:t>
      </w:r>
      <w:r>
        <w:rPr>
          <w:rFonts w:ascii="Arial" w:cs="Arial" w:eastAsia="Arial" w:hAnsi="Arial"/>
          <w:sz w:val="16"/>
          <w:szCs w:val="16"/>
          <w:color w:val="auto"/>
        </w:rPr>
        <w:t>”) or, if either S&amp;P or Moody’s ceases to rate such debt, at least an equivalent rating or better by a substitute</w:t>
      </w:r>
    </w:p>
    <w:p>
      <w:pPr>
        <w:spacing w:after="0" w:line="200" w:lineRule="exact"/>
        <w:rPr>
          <w:sz w:val="20"/>
          <w:szCs w:val="20"/>
          <w:color w:val="auto"/>
        </w:rPr>
      </w:pP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20"/>
          </w:cols>
          <w:pgMar w:left="1440" w:top="800" w:right="239" w:bottom="1440" w:gutter="0" w:footer="0" w:header="0"/>
        </w:sectPr>
      </w:pPr>
    </w:p>
    <w:bookmarkStart w:id="202" w:name="page203"/>
    <w:bookmarkEnd w:id="202"/>
    <w:p>
      <w:pPr>
        <w:jc w:val="both"/>
        <w:ind w:left="760"/>
        <w:spacing w:after="0" w:line="283" w:lineRule="auto"/>
        <w:rPr>
          <w:sz w:val="20"/>
          <w:szCs w:val="20"/>
          <w:color w:val="auto"/>
        </w:rPr>
      </w:pPr>
      <w:r>
        <w:rPr>
          <w:rFonts w:ascii="Arial" w:cs="Arial" w:eastAsia="Arial" w:hAnsi="Arial"/>
          <w:sz w:val="16"/>
          <w:szCs w:val="16"/>
          <w:color w:val="auto"/>
        </w:rPr>
        <w:t>rating agency mutually agreed by Counterparty and Dealer. Dealer shall promptly notify Counterparty of any transfer or assignment made hereunder. If at any time at which (A) the Section 16 Percentage exceeds 8.5%, (B) the Option Equity Percentage exceeds 14.5%, or (C) the Share Amount exceeds the Applicable Share Limit (if any applies) (any such condition described in clauses (A), (B) or (C), an “</w:t>
      </w:r>
      <w:r>
        <w:rPr>
          <w:rFonts w:ascii="Arial" w:cs="Arial" w:eastAsia="Arial" w:hAnsi="Arial"/>
          <w:sz w:val="16"/>
          <w:szCs w:val="16"/>
          <w:b w:val="1"/>
          <w:bCs w:val="1"/>
          <w:color w:val="auto"/>
        </w:rPr>
        <w:t>Excess Ownership Position</w:t>
      </w:r>
      <w:r>
        <w:rPr>
          <w:rFonts w:ascii="Arial" w:cs="Arial" w:eastAsia="Arial" w:hAnsi="Arial"/>
          <w:sz w:val="16"/>
          <w:szCs w:val="16"/>
          <w:color w:val="auto"/>
        </w:rPr>
        <w:t>”), Dealer is unable after using its commercially reasonable efforts to 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Arial" w:cs="Arial" w:eastAsia="Arial" w:hAnsi="Arial"/>
          <w:sz w:val="16"/>
          <w:szCs w:val="16"/>
          <w:b w:val="1"/>
          <w:bCs w:val="1"/>
          <w:color w:val="auto"/>
        </w:rPr>
        <w:t>Terminated Portion</w:t>
      </w:r>
      <w:r>
        <w:rPr>
          <w:rFonts w:ascii="Arial" w:cs="Arial" w:eastAsia="Arial" w:hAnsi="Arial"/>
          <w:sz w:val="16"/>
          <w:szCs w:val="16"/>
          <w:color w:val="auto"/>
        </w:rPr>
        <w:t>”), such that following such partial termination no Excess Ownership Position exists.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(and, for the avoidance of doubt, the provisions of Section 9(l) shall apply to any amount that is payable by Dealer to Counterparty pursuant to this sentence as if Counterparty was not the Affected Party). The “</w:t>
      </w:r>
      <w:r>
        <w:rPr>
          <w:rFonts w:ascii="Arial" w:cs="Arial" w:eastAsia="Arial" w:hAnsi="Arial"/>
          <w:sz w:val="16"/>
          <w:szCs w:val="16"/>
          <w:b w:val="1"/>
          <w:bCs w:val="1"/>
          <w:color w:val="auto"/>
        </w:rPr>
        <w:t>Section 16 Percentage</w:t>
      </w:r>
      <w:r>
        <w:rPr>
          <w:rFonts w:ascii="Arial" w:cs="Arial" w:eastAsia="Arial" w:hAnsi="Arial"/>
          <w:sz w:val="16"/>
          <w:szCs w:val="16"/>
          <w:color w:val="auto"/>
        </w:rPr>
        <w:t>” as of any day is the fraction, expressed as a percentage, (A) the numerator of which is the number of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The “</w:t>
      </w:r>
      <w:r>
        <w:rPr>
          <w:rFonts w:ascii="Arial" w:cs="Arial" w:eastAsia="Arial" w:hAnsi="Arial"/>
          <w:sz w:val="16"/>
          <w:szCs w:val="16"/>
          <w:b w:val="1"/>
          <w:bCs w:val="1"/>
          <w:color w:val="auto"/>
        </w:rPr>
        <w:t>Option Equity</w:t>
      </w:r>
      <w:r>
        <w:rPr>
          <w:rFonts w:ascii="Arial" w:cs="Arial" w:eastAsia="Arial" w:hAnsi="Arial"/>
          <w:sz w:val="16"/>
          <w:szCs w:val="16"/>
          <w:color w:val="auto"/>
        </w:rPr>
        <w:t xml:space="preserve"> </w:t>
      </w:r>
      <w:r>
        <w:rPr>
          <w:rFonts w:ascii="Arial" w:cs="Arial" w:eastAsia="Arial" w:hAnsi="Arial"/>
          <w:sz w:val="16"/>
          <w:szCs w:val="16"/>
          <w:b w:val="1"/>
          <w:bCs w:val="1"/>
          <w:color w:val="auto"/>
        </w:rPr>
        <w:t>Percentage</w:t>
      </w:r>
      <w:r>
        <w:rPr>
          <w:rFonts w:ascii="Arial" w:cs="Arial" w:eastAsia="Arial" w:hAnsi="Arial"/>
          <w:sz w:val="16"/>
          <w:szCs w:val="16"/>
          <w:color w:val="auto"/>
        </w:rPr>
        <w:t>” as of any day is the fraction, expressed as a percentage, (A) the numerator of which is the sum of (1) the product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Number of Options and the Option Entitlement and (2) the aggregate number of Shares underlying any other call option transaction sold by Dealer to Counterparty, and (B) the denominator of which is the number of Shares outstanding. The “</w:t>
      </w:r>
      <w:r>
        <w:rPr>
          <w:rFonts w:ascii="Arial" w:cs="Arial" w:eastAsia="Arial" w:hAnsi="Arial"/>
          <w:sz w:val="16"/>
          <w:szCs w:val="16"/>
          <w:b w:val="1"/>
          <w:bCs w:val="1"/>
          <w:color w:val="auto"/>
        </w:rPr>
        <w:t>Share</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as of any day is the number of Shares that Dealer and any person whose ownership position would be aggregated with</w:t>
      </w:r>
      <w:r>
        <w:rPr>
          <w:rFonts w:ascii="Arial" w:cs="Arial" w:eastAsia="Arial" w:hAnsi="Arial"/>
          <w:sz w:val="16"/>
          <w:szCs w:val="16"/>
          <w:b w:val="1"/>
          <w:bCs w:val="1"/>
          <w:color w:val="auto"/>
        </w:rPr>
        <w:t xml:space="preserve"> </w:t>
      </w:r>
      <w:r>
        <w:rPr>
          <w:rFonts w:ascii="Arial" w:cs="Arial" w:eastAsia="Arial" w:hAnsi="Arial"/>
          <w:sz w:val="16"/>
          <w:szCs w:val="16"/>
          <w:color w:val="auto"/>
        </w:rPr>
        <w:t>that of Dealer (Dealer or any such person, a “</w:t>
      </w:r>
      <w:r>
        <w:rPr>
          <w:rFonts w:ascii="Arial" w:cs="Arial" w:eastAsia="Arial" w:hAnsi="Arial"/>
          <w:sz w:val="16"/>
          <w:szCs w:val="16"/>
          <w:b w:val="1"/>
          <w:bCs w:val="1"/>
          <w:color w:val="auto"/>
        </w:rPr>
        <w:t>Dealer Person</w:t>
      </w:r>
      <w:r>
        <w:rPr>
          <w:rFonts w:ascii="Arial" w:cs="Arial" w:eastAsia="Arial" w:hAnsi="Arial"/>
          <w:sz w:val="16"/>
          <w:szCs w:val="16"/>
          <w:color w:val="auto"/>
        </w:rPr>
        <w:t>”) under any law, rule, regulation, regulatory order or organizational documents or contracts of Counterparty that are, in each case, applicable to ownership of Shares (“</w:t>
      </w:r>
      <w:r>
        <w:rPr>
          <w:rFonts w:ascii="Arial" w:cs="Arial" w:eastAsia="Arial" w:hAnsi="Arial"/>
          <w:sz w:val="16"/>
          <w:szCs w:val="16"/>
          <w:b w:val="1"/>
          <w:bCs w:val="1"/>
          <w:color w:val="auto"/>
        </w:rPr>
        <w:t>Applicable Restrictions</w:t>
      </w:r>
      <w:r>
        <w:rPr>
          <w:rFonts w:ascii="Arial" w:cs="Arial" w:eastAsia="Arial" w:hAnsi="Arial"/>
          <w:sz w:val="16"/>
          <w:szCs w:val="16"/>
          <w:color w:val="auto"/>
        </w:rPr>
        <w:t>”), owns, beneficially owns, constructively owns, controls, holds the power to vote or otherwise meets a relevant definition of ownership under any Applicable Restriction, as determined by Dealer in its reasonable discretion. The “</w:t>
      </w:r>
      <w:r>
        <w:rPr>
          <w:rFonts w:ascii="Arial" w:cs="Arial" w:eastAsia="Arial" w:hAnsi="Arial"/>
          <w:sz w:val="16"/>
          <w:szCs w:val="16"/>
          <w:b w:val="1"/>
          <w:bCs w:val="1"/>
          <w:color w:val="auto"/>
        </w:rPr>
        <w:t>Applicable Share Limit</w:t>
      </w:r>
      <w:r>
        <w:rPr>
          <w:rFonts w:ascii="Arial" w:cs="Arial" w:eastAsia="Arial" w:hAnsi="Arial"/>
          <w:sz w:val="16"/>
          <w:szCs w:val="16"/>
          <w:color w:val="auto"/>
        </w:rPr>
        <w:t xml:space="preserve">” means a number of Shares equal to (A) the minimum number of Shares that, in Dealer’s reasonable judgment on advice of counsel, could give rise to reporting or registration obligations (except for filings on Form 13F, Schedule 13D or Schedule 13G) or other requirements (including obtaining prior approval from any person or entity, but excluding any such requirements that can be satisfied without administrative or operational burden or cost to Dealer) of a Dealer Person, or could result in an adverse effect on a Dealer Person, under any Applicable Restriction,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1% of the number of Shares outstanding. Dealer shall provide counterparty with written notice of any transfer or assignment on the date of or as promptly as practicable after the date of such transfer or assignment.</w:t>
      </w:r>
    </w:p>
    <w:p>
      <w:pPr>
        <w:spacing w:after="0" w:line="362" w:lineRule="exact"/>
        <w:rPr>
          <w:sz w:val="20"/>
          <w:szCs w:val="20"/>
          <w:color w:val="auto"/>
        </w:rPr>
      </w:pPr>
    </w:p>
    <w:p>
      <w:pPr>
        <w:jc w:val="both"/>
        <w:ind w:left="760" w:hanging="655"/>
        <w:spacing w:after="0" w:line="259" w:lineRule="auto"/>
        <w:tabs>
          <w:tab w:leader="none" w:pos="7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w:t>
      </w:r>
    </w:p>
    <w:p>
      <w:pPr>
        <w:spacing w:after="0" w:line="200" w:lineRule="exact"/>
        <w:rPr>
          <w:sz w:val="20"/>
          <w:szCs w:val="20"/>
          <w:color w:val="auto"/>
        </w:rPr>
      </w:pPr>
    </w:p>
    <w:p>
      <w:pPr>
        <w:spacing w:after="0" w:line="24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20"/>
          </w:cols>
          <w:pgMar w:left="1440" w:top="801" w:right="239" w:bottom="1440" w:gutter="0" w:footer="0" w:header="0"/>
        </w:sectPr>
      </w:pPr>
    </w:p>
    <w:bookmarkStart w:id="203" w:name="page204"/>
    <w:bookmarkEnd w:id="203"/>
    <w:p>
      <w:pPr>
        <w:ind w:left="1304"/>
        <w:spacing w:after="0" w:line="277" w:lineRule="auto"/>
        <w:rPr>
          <w:sz w:val="20"/>
          <w:szCs w:val="20"/>
          <w:color w:val="auto"/>
        </w:rPr>
      </w:pPr>
      <w:r>
        <w:rPr>
          <w:rFonts w:ascii="Arial" w:cs="Arial" w:eastAsia="Arial" w:hAnsi="Arial"/>
          <w:sz w:val="18"/>
          <w:szCs w:val="18"/>
          <w:color w:val="auto"/>
        </w:rPr>
        <w:t>the Transaction and any such designee may assume such obligations. Dealer shall be discharged of its obligations to Counterparty to the extent of any such performance.</w:t>
      </w:r>
    </w:p>
    <w:p>
      <w:pPr>
        <w:spacing w:after="0" w:line="130" w:lineRule="exact"/>
        <w:rPr>
          <w:sz w:val="20"/>
          <w:szCs w:val="20"/>
          <w:color w:val="auto"/>
        </w:rPr>
      </w:pPr>
    </w:p>
    <w:p>
      <w:pPr>
        <w:jc w:val="both"/>
        <w:ind w:left="644" w:hanging="644"/>
        <w:spacing w:after="0" w:line="276" w:lineRule="auto"/>
        <w:tabs>
          <w:tab w:leader="none" w:pos="644" w:val="left"/>
        </w:tabs>
        <w:numPr>
          <w:ilvl w:val="0"/>
          <w:numId w:val="177"/>
        </w:numPr>
        <w:rPr>
          <w:rFonts w:ascii="Arial" w:cs="Arial" w:eastAsia="Arial" w:hAnsi="Arial"/>
          <w:sz w:val="17"/>
          <w:szCs w:val="17"/>
          <w:color w:val="auto"/>
        </w:rPr>
      </w:pPr>
      <w:r>
        <w:rPr>
          <w:rFonts w:ascii="Arial" w:cs="Arial" w:eastAsia="Arial" w:hAnsi="Arial"/>
          <w:sz w:val="17"/>
          <w:szCs w:val="17"/>
          <w:i w:val="1"/>
          <w:iCs w:val="1"/>
          <w:u w:val="single" w:color="auto"/>
          <w:color w:val="auto"/>
        </w:rPr>
        <w:t>Staggered Settlement</w:t>
      </w:r>
      <w:r>
        <w:rPr>
          <w:rFonts w:ascii="Arial" w:cs="Arial" w:eastAsia="Arial" w:hAnsi="Arial"/>
          <w:sz w:val="17"/>
          <w:szCs w:val="17"/>
          <w:color w:val="auto"/>
        </w:rPr>
        <w:t>. If upon advice of counsel with respect to applicable legal and regulatory requirements, including any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relating to Dealer’s commercially reasonable hedging activities hereunder, Dealer reasonably determines that it would not be practicable or advisable to deliver, or to acquire Shares to deliver, any or all of the Shares to be delivered by Dealer on any Settlement Date for the Transaction, Dealer may, by notice to Counterparty on or prior to any Settlement Date (a “</w:t>
      </w:r>
      <w:r>
        <w:rPr>
          <w:rFonts w:ascii="Arial" w:cs="Arial" w:eastAsia="Arial" w:hAnsi="Arial"/>
          <w:sz w:val="17"/>
          <w:szCs w:val="17"/>
          <w:b w:val="1"/>
          <w:bCs w:val="1"/>
          <w:color w:val="auto"/>
        </w:rPr>
        <w:t>Nominal Settlement Date</w:t>
      </w:r>
      <w:r>
        <w:rPr>
          <w:rFonts w:ascii="Arial" w:cs="Arial" w:eastAsia="Arial" w:hAnsi="Arial"/>
          <w:sz w:val="17"/>
          <w:szCs w:val="17"/>
          <w:color w:val="auto"/>
        </w:rPr>
        <w:t>”), elect to deliver the Shares on two or more dates (each, a “</w:t>
      </w:r>
      <w:r>
        <w:rPr>
          <w:rFonts w:ascii="Arial" w:cs="Arial" w:eastAsia="Arial" w:hAnsi="Arial"/>
          <w:sz w:val="17"/>
          <w:szCs w:val="17"/>
          <w:b w:val="1"/>
          <w:bCs w:val="1"/>
          <w:color w:val="auto"/>
        </w:rPr>
        <w:t>Staggered Settlement Date</w:t>
      </w:r>
      <w:r>
        <w:rPr>
          <w:rFonts w:ascii="Arial" w:cs="Arial" w:eastAsia="Arial" w:hAnsi="Arial"/>
          <w:sz w:val="17"/>
          <w:szCs w:val="17"/>
          <w:color w:val="auto"/>
        </w:rPr>
        <w:t>”) as follows:</w:t>
      </w:r>
    </w:p>
    <w:p>
      <w:pPr>
        <w:spacing w:after="0" w:line="132" w:lineRule="exact"/>
        <w:rPr>
          <w:rFonts w:ascii="Arial" w:cs="Arial" w:eastAsia="Arial" w:hAnsi="Arial"/>
          <w:sz w:val="17"/>
          <w:szCs w:val="17"/>
          <w:color w:val="auto"/>
        </w:rPr>
      </w:pPr>
    </w:p>
    <w:p>
      <w:pPr>
        <w:ind w:left="1304" w:hanging="655"/>
        <w:spacing w:after="0" w:line="308" w:lineRule="auto"/>
        <w:tabs>
          <w:tab w:leader="none" w:pos="1304" w:val="left"/>
        </w:tabs>
        <w:numPr>
          <w:ilvl w:val="1"/>
          <w:numId w:val="177"/>
        </w:numPr>
        <w:rPr>
          <w:rFonts w:ascii="Arial" w:cs="Arial" w:eastAsia="Arial" w:hAnsi="Arial"/>
          <w:sz w:val="17"/>
          <w:szCs w:val="17"/>
          <w:color w:val="auto"/>
        </w:rPr>
      </w:pPr>
      <w:r>
        <w:rPr>
          <w:rFonts w:ascii="Arial" w:cs="Arial" w:eastAsia="Arial" w:hAnsi="Arial"/>
          <w:sz w:val="17"/>
          <w:szCs w:val="17"/>
          <w:color w:val="auto"/>
        </w:rPr>
        <w:t>in such notice, Dealer will specify to Counterparty the related Staggered Settlement Dates (each of which shall be on or prior to the Nominal Settlement Date) and the number of Shares that it will deliver on each Staggered Settlement Date;</w:t>
      </w:r>
    </w:p>
    <w:p>
      <w:pPr>
        <w:spacing w:after="0" w:line="106" w:lineRule="exact"/>
        <w:rPr>
          <w:rFonts w:ascii="Arial" w:cs="Arial" w:eastAsia="Arial" w:hAnsi="Arial"/>
          <w:sz w:val="17"/>
          <w:szCs w:val="17"/>
          <w:color w:val="auto"/>
        </w:rPr>
      </w:pPr>
    </w:p>
    <w:p>
      <w:pPr>
        <w:ind w:left="1304" w:right="20" w:hanging="655"/>
        <w:spacing w:after="0" w:line="308" w:lineRule="auto"/>
        <w:tabs>
          <w:tab w:leader="none" w:pos="1304" w:val="left"/>
        </w:tabs>
        <w:numPr>
          <w:ilvl w:val="1"/>
          <w:numId w:val="177"/>
        </w:numPr>
        <w:rPr>
          <w:rFonts w:ascii="Arial" w:cs="Arial" w:eastAsia="Arial" w:hAnsi="Arial"/>
          <w:sz w:val="17"/>
          <w:szCs w:val="17"/>
          <w:color w:val="auto"/>
        </w:rPr>
      </w:pPr>
      <w:r>
        <w:rPr>
          <w:rFonts w:ascii="Arial" w:cs="Arial" w:eastAsia="Arial" w:hAnsi="Arial"/>
          <w:sz w:val="17"/>
          <w:szCs w:val="17"/>
          <w:color w:val="auto"/>
        </w:rPr>
        <w:t>the aggregate number of Shares that Dealer will deliver to Counterparty hereunder on all such Staggered Settlement Dates will equal the number of Shares that Dealer would otherwise be required to deliver on such Nominal Settlement Date; and</w:t>
      </w:r>
    </w:p>
    <w:p>
      <w:pPr>
        <w:spacing w:after="0" w:line="106" w:lineRule="exact"/>
        <w:rPr>
          <w:rFonts w:ascii="Arial" w:cs="Arial" w:eastAsia="Arial" w:hAnsi="Arial"/>
          <w:sz w:val="17"/>
          <w:szCs w:val="17"/>
          <w:color w:val="auto"/>
        </w:rPr>
      </w:pPr>
    </w:p>
    <w:p>
      <w:pPr>
        <w:jc w:val="both"/>
        <w:ind w:left="1304" w:hanging="655"/>
        <w:spacing w:after="0" w:line="279" w:lineRule="auto"/>
        <w:tabs>
          <w:tab w:leader="none" w:pos="1304" w:val="left"/>
        </w:tabs>
        <w:numPr>
          <w:ilvl w:val="1"/>
          <w:numId w:val="177"/>
        </w:numPr>
        <w:rPr>
          <w:rFonts w:ascii="Arial" w:cs="Arial" w:eastAsia="Arial" w:hAnsi="Arial"/>
          <w:sz w:val="17"/>
          <w:szCs w:val="17"/>
          <w:color w:val="auto"/>
        </w:rPr>
      </w:pPr>
      <w:r>
        <w:rPr>
          <w:rFonts w:ascii="Arial" w:cs="Arial" w:eastAsia="Arial" w:hAnsi="Arial"/>
          <w:sz w:val="17"/>
          <w:szCs w:val="17"/>
          <w:color w:val="auto"/>
        </w:rPr>
        <w:t>if the Net Share Settlement terms or the Combination Settlement terms set forth above were to apply on the Nominal Settlement Date, then the Net Share Settlement terms or the Combination Settlement terms, as the case may be, will apply on each Staggered Settlement Date, except that the Shares otherwise deliverable on such Nominal Settlement Date will be allocated among such Staggered Settlement Dates as specified by Dealer in the notice referred to in clause (i) above.</w:t>
      </w:r>
    </w:p>
    <w:p>
      <w:pPr>
        <w:spacing w:after="0" w:line="130" w:lineRule="exact"/>
        <w:rPr>
          <w:rFonts w:ascii="Arial" w:cs="Arial" w:eastAsia="Arial" w:hAnsi="Arial"/>
          <w:sz w:val="17"/>
          <w:szCs w:val="17"/>
          <w:color w:val="auto"/>
        </w:rPr>
      </w:pPr>
    </w:p>
    <w:p>
      <w:pPr>
        <w:ind w:left="644" w:hanging="644"/>
        <w:spacing w:after="0"/>
        <w:tabs>
          <w:tab w:leader="none" w:pos="644"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w:t>
      </w:r>
      <w:r>
        <w:rPr>
          <w:rFonts w:ascii="Arial" w:cs="Arial" w:eastAsia="Arial" w:hAnsi="Arial"/>
          <w:sz w:val="18"/>
          <w:szCs w:val="18"/>
          <w:i w:val="1"/>
          <w:iCs w:val="1"/>
          <w:u w:val="single" w:color="auto"/>
          <w:color w:val="auto"/>
        </w:rPr>
        <w:t>Insert agent language, if necessary</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644" w:hanging="644"/>
        <w:spacing w:after="0" w:line="253" w:lineRule="auto"/>
        <w:tabs>
          <w:tab w:leader="none" w:pos="644" w:val="left"/>
        </w:tabs>
        <w:numPr>
          <w:ilvl w:val="0"/>
          <w:numId w:val="177"/>
        </w:numPr>
        <w:rPr>
          <w:rFonts w:ascii="Arial" w:cs="Arial" w:eastAsia="Arial" w:hAnsi="Arial"/>
          <w:sz w:val="18"/>
          <w:szCs w:val="18"/>
          <w:color w:val="auto"/>
        </w:rPr>
      </w:pPr>
      <w:r>
        <w:rPr>
          <w:rFonts w:ascii="Arial" w:cs="Arial" w:eastAsia="Arial" w:hAnsi="Arial"/>
          <w:sz w:val="18"/>
          <w:szCs w:val="18"/>
          <w:i w:val="1"/>
          <w:iCs w:val="1"/>
          <w:u w:val="single" w:color="auto"/>
          <w:color w:val="auto"/>
        </w:rPr>
        <w:t>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If at any time during the period from and including the Effective Date, to but excluding the Expiration Date, (i) an ex-dividend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date for a regular quarterly cash dividend occurs with respect to the Shares (an “Ex-Dividend Date”), and that dividend is less than the Regular Dividend on a per Share basis or (ii) if no Ex-Dividend Date for a regular quarterly cash dividend occurs with respect to the Shares in any quarterly dividend period of Counterparty, then the Calculation Agent will make a corresponding adjustment to any one or more of the Strike Price, Number of Options, Option Entitlement and/or any other variable relevant to the exercise, settlement or payment for the Transaction to preserve the fair value of the Options to Dealer after taking into account such dividend or lack thereof. “Regular Dividend” shall mean USD 0.35 per Share per quarter. Upon any adjustment to the “Initial Dividend Threshold” (as defined in the Indenture) for the Convertible Notes pursuant to the Indenture, the Calculation Agent will make a corresponding adjustment to the Regular Dividend for the Transaction.</w:t>
      </w:r>
    </w:p>
    <w:p>
      <w:pPr>
        <w:spacing w:after="0" w:line="156" w:lineRule="exact"/>
        <w:rPr>
          <w:rFonts w:ascii="Arial" w:cs="Arial" w:eastAsia="Arial" w:hAnsi="Arial"/>
          <w:sz w:val="18"/>
          <w:szCs w:val="18"/>
          <w:color w:val="auto"/>
        </w:rPr>
      </w:pPr>
    </w:p>
    <w:p>
      <w:pPr>
        <w:ind w:left="644" w:hanging="644"/>
        <w:spacing w:after="0"/>
        <w:tabs>
          <w:tab w:leader="none" w:pos="644" w:val="left"/>
        </w:tabs>
        <w:numPr>
          <w:ilvl w:val="0"/>
          <w:numId w:val="177"/>
        </w:numPr>
        <w:rPr>
          <w:rFonts w:ascii="Arial" w:cs="Arial" w:eastAsia="Arial" w:hAnsi="Arial"/>
          <w:sz w:val="18"/>
          <w:szCs w:val="18"/>
          <w:color w:val="auto"/>
        </w:rPr>
      </w:pPr>
      <w:r>
        <w:rPr>
          <w:rFonts w:ascii="Arial" w:cs="Arial" w:eastAsia="Arial" w:hAnsi="Arial"/>
          <w:sz w:val="18"/>
          <w:szCs w:val="18"/>
          <w:i w:val="1"/>
          <w:iCs w:val="1"/>
          <w:u w:val="single" w:color="auto"/>
          <w:color w:val="auto"/>
        </w:rPr>
        <w:t>Additional Termination Events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1304" w:hanging="655"/>
        <w:spacing w:after="0" w:line="293" w:lineRule="auto"/>
        <w:tabs>
          <w:tab w:leader="none" w:pos="1304" w:val="left"/>
        </w:tabs>
        <w:numPr>
          <w:ilvl w:val="1"/>
          <w:numId w:val="177"/>
        </w:numPr>
        <w:rPr>
          <w:rFonts w:ascii="Arial" w:cs="Arial" w:eastAsia="Arial" w:hAnsi="Arial"/>
          <w:sz w:val="16"/>
          <w:szCs w:val="16"/>
          <w:color w:val="auto"/>
        </w:rPr>
      </w:pPr>
      <w:r>
        <w:rPr>
          <w:rFonts w:ascii="Arial" w:cs="Arial" w:eastAsia="Arial" w:hAnsi="Arial"/>
          <w:sz w:val="16"/>
          <w:szCs w:val="16"/>
          <w:color w:val="auto"/>
        </w:rPr>
        <w:t>Notwithstanding anything to the contrary in this Confirmation if an event of default with respect to Counterparty occurs under the terms of the Convertible Notes as set forth in Section 6.01 of the Indenture that results in the Convertible Notes being declared, or becoming, immediately due and payable pursuant to the terms of the Indenture, then such event of default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w:t>
      </w:r>
    </w:p>
    <w:p>
      <w:pPr>
        <w:spacing w:after="0" w:line="124" w:lineRule="exact"/>
        <w:rPr>
          <w:rFonts w:ascii="Arial" w:cs="Arial" w:eastAsia="Arial" w:hAnsi="Arial"/>
          <w:sz w:val="16"/>
          <w:szCs w:val="16"/>
          <w:color w:val="auto"/>
        </w:rPr>
      </w:pPr>
    </w:p>
    <w:p>
      <w:pPr>
        <w:jc w:val="both"/>
        <w:ind w:left="1304" w:hanging="655"/>
        <w:spacing w:after="0" w:line="259" w:lineRule="auto"/>
        <w:tabs>
          <w:tab w:leader="none" w:pos="1304" w:val="left"/>
        </w:tabs>
        <w:numPr>
          <w:ilvl w:val="1"/>
          <w:numId w:val="177"/>
        </w:numPr>
        <w:rPr>
          <w:rFonts w:ascii="Arial" w:cs="Arial" w:eastAsia="Arial" w:hAnsi="Arial"/>
          <w:sz w:val="18"/>
          <w:szCs w:val="18"/>
          <w:color w:val="auto"/>
        </w:rPr>
      </w:pPr>
      <w:r>
        <w:rPr>
          <w:rFonts w:ascii="Arial" w:cs="Arial" w:eastAsia="Arial" w:hAnsi="Arial"/>
          <w:sz w:val="18"/>
          <w:szCs w:val="18"/>
          <w:color w:val="auto"/>
        </w:rPr>
        <w:t>Notwithstanding anything to the contrary in this Confirmation, the occurrence of an Amendment Event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w:t>
      </w:r>
    </w:p>
    <w:p>
      <w:pPr>
        <w:spacing w:after="0" w:line="200" w:lineRule="exact"/>
        <w:rPr>
          <w:sz w:val="20"/>
          <w:szCs w:val="20"/>
          <w:color w:val="auto"/>
        </w:rPr>
      </w:pPr>
    </w:p>
    <w:p>
      <w:pPr>
        <w:spacing w:after="0" w:line="24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64"/>
          </w:cols>
          <w:pgMar w:left="896" w:top="801" w:right="239" w:bottom="1440" w:gutter="0" w:footer="0" w:header="0"/>
        </w:sectPr>
      </w:pPr>
    </w:p>
    <w:bookmarkStart w:id="204" w:name="page205"/>
    <w:bookmarkEnd w:id="204"/>
    <w:p>
      <w:pPr>
        <w:jc w:val="both"/>
        <w:ind w:left="1960"/>
        <w:spacing w:after="0" w:line="344" w:lineRule="auto"/>
        <w:rPr>
          <w:sz w:val="20"/>
          <w:szCs w:val="20"/>
          <w:color w:val="auto"/>
        </w:rPr>
      </w:pPr>
      <w:r>
        <w:rPr>
          <w:rFonts w:ascii="Arial" w:cs="Arial" w:eastAsia="Arial" w:hAnsi="Arial"/>
          <w:sz w:val="16"/>
          <w:szCs w:val="16"/>
          <w:color w:val="auto"/>
        </w:rPr>
        <w:t>Date pursuant to Section 6(b) of the Agreement. “</w:t>
      </w:r>
      <w:r>
        <w:rPr>
          <w:rFonts w:ascii="Arial" w:cs="Arial" w:eastAsia="Arial" w:hAnsi="Arial"/>
          <w:sz w:val="16"/>
          <w:szCs w:val="16"/>
          <w:b w:val="1"/>
          <w:bCs w:val="1"/>
          <w:color w:val="auto"/>
        </w:rPr>
        <w:t>Amendment Event</w:t>
      </w:r>
      <w:r>
        <w:rPr>
          <w:rFonts w:ascii="Arial" w:cs="Arial" w:eastAsia="Arial" w:hAnsi="Arial"/>
          <w:sz w:val="16"/>
          <w:szCs w:val="16"/>
          <w:color w:val="auto"/>
        </w:rPr>
        <w:t>” means that Counterparty amends, modifies, supplements, waives or obtains a waiver in respect of any term of the Indenture or the Convertible Notes governing the principal amount, coupon, maturity, repurchase obligation of Counterparty, redemption right of Counterparty, any term relating to conversion of the Convertible Notes (including changes to the conversion rate, conversion rate adjustment provisions, conversion settlement dates or conversion conditions), or any term that would require consent of the holders of not less than 100% of the principal amount of the Convertible Notes to amend (other than, in each case, any amendment or supplement (x) pursuant to Section 10.01(k) of the Indenture that, as determined by the Calculation Agent, conforms the Indenture to the description of Convertible Notes in the Offering Memorandum or (y) pursuant to Section 14.07 of the Indenture), in each case, without the consent of Dealer.</w:t>
      </w:r>
    </w:p>
    <w:p>
      <w:pPr>
        <w:spacing w:after="0" w:line="96" w:lineRule="exact"/>
        <w:rPr>
          <w:sz w:val="20"/>
          <w:szCs w:val="20"/>
          <w:color w:val="auto"/>
        </w:rPr>
      </w:pPr>
    </w:p>
    <w:p>
      <w:pPr>
        <w:jc w:val="both"/>
        <w:ind w:left="1960" w:hanging="655"/>
        <w:spacing w:after="0" w:line="280" w:lineRule="auto"/>
        <w:tabs>
          <w:tab w:leader="none" w:pos="196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Within five Scheduled Trading Days promptly following any Repayment Event (as defined below), Counterparty may notify Dealer of such Repayment Event and the aggregate principal amount of Convertible Notes subject to such Repayment Event (any such notice, a “</w:t>
      </w:r>
      <w:r>
        <w:rPr>
          <w:rFonts w:ascii="Arial" w:cs="Arial" w:eastAsia="Arial" w:hAnsi="Arial"/>
          <w:sz w:val="16"/>
          <w:szCs w:val="16"/>
          <w:b w:val="1"/>
          <w:bCs w:val="1"/>
          <w:color w:val="auto"/>
        </w:rPr>
        <w:t>Repayment Notice</w:t>
      </w:r>
      <w:r>
        <w:rPr>
          <w:rFonts w:ascii="Arial" w:cs="Arial" w:eastAsia="Arial" w:hAnsi="Arial"/>
          <w:sz w:val="16"/>
          <w:szCs w:val="16"/>
          <w:color w:val="auto"/>
        </w:rPr>
        <w:t>”)[; provided that, any “Repayment Notice” delivered to Dealer pursuant to the Base Convertible Bond Hedge Transaction Confirmation shall be deemed to be a Repayment Notice pursuant to this Confirmation and the terms of such Repayment Notice shall apply, mutatis mutandis, to this Confirmation]</w:t>
      </w:r>
      <w:r>
        <w:rPr>
          <w:rFonts w:ascii="Arial" w:cs="Arial" w:eastAsia="Arial" w:hAnsi="Arial"/>
          <w:sz w:val="22"/>
          <w:szCs w:val="22"/>
          <w:color w:val="auto"/>
          <w:vertAlign w:val="superscript"/>
        </w:rPr>
        <w:t>14</w:t>
      </w:r>
      <w:r>
        <w:rPr>
          <w:rFonts w:ascii="Arial" w:cs="Arial" w:eastAsia="Arial" w:hAnsi="Arial"/>
          <w:sz w:val="16"/>
          <w:szCs w:val="16"/>
          <w:color w:val="auto"/>
        </w:rPr>
        <w:t>. The receipt by Dealer from Counterparty of any Repayment Notice, within the applicable time period set forth in the preceding sentence, shall constitute an Additional Termination Event as provided in this paragraph. Upon receipt of any such Repayment Notice, Dealer shall designate an Exchange Business Day following receipt of such Repayment Notice as an Early Termination Date with respect to the portion of the Transaction corresponding to a number of Options (the “</w:t>
      </w:r>
      <w:r>
        <w:rPr>
          <w:rFonts w:ascii="Arial" w:cs="Arial" w:eastAsia="Arial" w:hAnsi="Arial"/>
          <w:sz w:val="16"/>
          <w:szCs w:val="16"/>
          <w:b w:val="1"/>
          <w:bCs w:val="1"/>
          <w:color w:val="auto"/>
        </w:rPr>
        <w:t>Repayment Options</w:t>
      </w:r>
      <w:r>
        <w:rPr>
          <w:rFonts w:ascii="Arial" w:cs="Arial" w:eastAsia="Arial" w:hAnsi="Arial"/>
          <w:sz w:val="16"/>
          <w:szCs w:val="16"/>
          <w:color w:val="auto"/>
        </w:rPr>
        <w:t>”) equal to the lesser of (A) [(x)] the aggregate principal amount of such Convertible Notes specified in such Repayment Notice, divided by USD 1,000, [minus (y) the number of Repayment Options (as defined in the Base Convertible Bond Hedge Transaction Confirmation), if any, that relate to such Convertible Notes (and for the purposes of determining whether any Options under this Confirmation or under the Base Convertible Bond Hedge Transaction Confirmation will be among the Repayment Options hereunder or under, and as defined in, the Base Convertible Bond Hedge Transaction Confirmation, the Convertible Notes specified in such Repayment Notice shall be allocated first to the Base Convertible Bond Hedge Transaction Confirmation until all Options thereunder are exercised or terminated)], and (B) the Number of Options as of the date Dealer designates such Early Termination Date and, as of such date, the Number of Options shall be reduced by the number of Repayment Options. Any payment hereunder with respect to such termination (the “</w:t>
      </w:r>
      <w:r>
        <w:rPr>
          <w:rFonts w:ascii="Arial" w:cs="Arial" w:eastAsia="Arial" w:hAnsi="Arial"/>
          <w:sz w:val="16"/>
          <w:szCs w:val="16"/>
          <w:b w:val="1"/>
          <w:bCs w:val="1"/>
          <w:color w:val="auto"/>
        </w:rPr>
        <w:t>Repayment Unwind Payment</w:t>
      </w:r>
      <w:r>
        <w:rPr>
          <w:rFonts w:ascii="Arial" w:cs="Arial" w:eastAsia="Arial" w:hAnsi="Arial"/>
          <w:sz w:val="16"/>
          <w:szCs w:val="16"/>
          <w:color w:val="auto"/>
        </w:rPr>
        <w:t>”) shall be calculated pursuant to Section 6 of the Agreement as if (1) an Early Termination Date had been designated in respect of a Transaction having terms identical to the Transaction and a Number of Options equal to the number of Repayment Options, (2) Counterparty were the sole Affected Party with respect to such Additional Termination Event and (3) the terminated portion of the Transaction were the sole Affected Transaction. For the avoidance of doubt, solely for purposes of calculating the amount payable pursuant to Section 6 of the Agreement pursuant to the immediately preceding sentence, Counterparty shall assume that the relevant Repayment Event (and, if applicable, the related Fundamental Change and the announcement of such Fundamental Change) had not occurred. “</w:t>
      </w:r>
      <w:r>
        <w:rPr>
          <w:rFonts w:ascii="Arial" w:cs="Arial" w:eastAsia="Arial" w:hAnsi="Arial"/>
          <w:sz w:val="16"/>
          <w:szCs w:val="16"/>
          <w:b w:val="1"/>
          <w:bCs w:val="1"/>
          <w:color w:val="auto"/>
        </w:rPr>
        <w:t>Repayment Event</w:t>
      </w:r>
      <w:r>
        <w:rPr>
          <w:rFonts w:ascii="Arial" w:cs="Arial" w:eastAsia="Arial" w:hAnsi="Arial"/>
          <w:sz w:val="16"/>
          <w:szCs w:val="16"/>
          <w:color w:val="auto"/>
        </w:rPr>
        <w:t>” means that (i) any Convertible Notes are repurchased and cancelled in accordance with the Indenture (whether in connection with or as a result of a fundamental change, howsoever defined, or for any other reason) by Counterparty or any of its subsidiaries, (ii) any Convertible Notes are delivered to Counterparty or any of its subsidiaries in exchange for delivery of any property or assets of such party (howsoever described), (iii) any principal of any of the Convertible Notes is repaid prior to the final maturity date of the Convertible Notes (for any reason other than as a result of an acceleration of the Convertible Notes that results in an Additional Termination Event pursuant to the preceding Section 9(i)(i)), or (iv) any Convertible Notes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w:t>
      </w:r>
    </w:p>
    <w:p>
      <w:pPr>
        <w:spacing w:after="0" w:line="47" w:lineRule="exact"/>
        <w:rPr>
          <w:sz w:val="20"/>
          <w:szCs w:val="20"/>
          <w:color w:val="auto"/>
        </w:rPr>
      </w:pPr>
    </w:p>
    <w:p>
      <w:pPr>
        <w:ind w:left="160" w:hanging="152"/>
        <w:spacing w:after="0"/>
        <w:tabs>
          <w:tab w:leader="none" w:pos="160" w:val="left"/>
        </w:tabs>
        <w:numPr>
          <w:ilvl w:val="0"/>
          <w:numId w:val="179"/>
        </w:numPr>
        <w:rPr>
          <w:rFonts w:ascii="Arial" w:cs="Arial" w:eastAsia="Arial" w:hAnsi="Arial"/>
          <w:sz w:val="19"/>
          <w:szCs w:val="19"/>
          <w:color w:val="auto"/>
          <w:vertAlign w:val="superscript"/>
        </w:rPr>
      </w:pPr>
      <w:r>
        <w:rPr>
          <w:rFonts w:ascii="Arial" w:cs="Arial" w:eastAsia="Arial" w:hAnsi="Arial"/>
          <w:sz w:val="15"/>
          <w:szCs w:val="15"/>
          <w:color w:val="auto"/>
        </w:rPr>
        <w:t>Include for additional bond hedge confirmation only.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23" w:right="239" w:bottom="1440" w:gutter="0" w:footer="0" w:header="0"/>
        </w:sectPr>
      </w:pPr>
    </w:p>
    <w:bookmarkStart w:id="205" w:name="page206"/>
    <w:bookmarkEnd w:id="205"/>
    <w:p>
      <w:pPr>
        <w:jc w:val="both"/>
        <w:ind w:left="1304"/>
        <w:spacing w:after="0" w:line="272" w:lineRule="auto"/>
        <w:rPr>
          <w:sz w:val="20"/>
          <w:szCs w:val="20"/>
          <w:color w:val="auto"/>
        </w:rPr>
      </w:pPr>
      <w:r>
        <w:rPr>
          <w:rFonts w:ascii="Arial" w:cs="Arial" w:eastAsia="Arial" w:hAnsi="Arial"/>
          <w:sz w:val="17"/>
          <w:szCs w:val="17"/>
          <w:color w:val="auto"/>
        </w:rPr>
        <w:t>are exchanged by or for the benefit of the holders thereof for any other securities of Counterparty or any of its subsidiaries (or any other property, or any combination thereof) pursuant to any exchange offer or similar transaction. For the avoidance of doubt, any conversion of Convertible Notes (whether into cash, Shares, Reference Property (as defined in the Indenture) or any combination thereof) pursuant to the terms of the Indenture shall not constitute a Repayment Event. In addition, Counterparty acknowledges, based on advice of outside counsel, its responsibilities under applicable securities laws, including, in particular, Sections 9 and 10(b) of the Exchange Act and the rules and regulations thereunder in respect of the Repayment Event, including, without limitation, the delivery of a Repayment Notice hereunder.</w:t>
      </w:r>
    </w:p>
    <w:p>
      <w:pPr>
        <w:spacing w:after="0" w:line="137" w:lineRule="exact"/>
        <w:rPr>
          <w:sz w:val="20"/>
          <w:szCs w:val="20"/>
          <w:color w:val="auto"/>
        </w:rPr>
      </w:pPr>
    </w:p>
    <w:p>
      <w:pPr>
        <w:ind w:left="644" w:hanging="644"/>
        <w:spacing w:after="0"/>
        <w:tabs>
          <w:tab w:leader="none" w:pos="644" w:val="left"/>
        </w:tabs>
        <w:numPr>
          <w:ilvl w:val="0"/>
          <w:numId w:val="180"/>
        </w:numPr>
        <w:rPr>
          <w:rFonts w:ascii="Arial" w:cs="Arial" w:eastAsia="Arial" w:hAnsi="Arial"/>
          <w:sz w:val="18"/>
          <w:szCs w:val="18"/>
          <w:color w:val="auto"/>
        </w:rPr>
      </w:pPr>
      <w:r>
        <w:rPr>
          <w:rFonts w:ascii="Arial" w:cs="Arial" w:eastAsia="Arial" w:hAnsi="Arial"/>
          <w:sz w:val="18"/>
          <w:szCs w:val="18"/>
          <w:i w:val="1"/>
          <w:iCs w:val="1"/>
          <w:u w:val="single" w:color="auto"/>
          <w:color w:val="auto"/>
        </w:rPr>
        <w:t>Amendments to Equity Definitions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1304" w:hanging="655"/>
        <w:spacing w:after="0" w:line="259" w:lineRule="auto"/>
        <w:tabs>
          <w:tab w:leader="none" w:pos="130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Section 12.6(a)(ii) of the Equity Definitions is hereby amended by (1) inserting “(1)” immediately following the word “means” in the first line thereof and (2) inserting immediately prior to the semi-colon at the end of subsection (B) thereof the following words: “or (2) the occurrence of any of the events specified in Section 5(a)(vii)(1) through (9) of the ISDA Master Agreement with respect to that Issuer”.</w:t>
      </w:r>
    </w:p>
    <w:p>
      <w:pPr>
        <w:spacing w:after="0" w:line="146" w:lineRule="exact"/>
        <w:rPr>
          <w:rFonts w:ascii="Arial" w:cs="Arial" w:eastAsia="Arial" w:hAnsi="Arial"/>
          <w:sz w:val="18"/>
          <w:szCs w:val="18"/>
          <w:color w:val="auto"/>
        </w:rPr>
      </w:pPr>
    </w:p>
    <w:p>
      <w:pPr>
        <w:ind w:left="1304" w:right="20" w:hanging="655"/>
        <w:spacing w:after="0" w:line="308" w:lineRule="auto"/>
        <w:tabs>
          <w:tab w:leader="none" w:pos="1304" w:val="left"/>
        </w:tabs>
        <w:numPr>
          <w:ilvl w:val="1"/>
          <w:numId w:val="180"/>
        </w:numPr>
        <w:rPr>
          <w:rFonts w:ascii="Arial" w:cs="Arial" w:eastAsia="Arial" w:hAnsi="Arial"/>
          <w:sz w:val="17"/>
          <w:szCs w:val="17"/>
          <w:color w:val="auto"/>
        </w:rPr>
      </w:pPr>
      <w:r>
        <w:rPr>
          <w:rFonts w:ascii="Arial" w:cs="Arial" w:eastAsia="Arial" w:hAnsi="Arial"/>
          <w:sz w:val="17"/>
          <w:szCs w:val="17"/>
          <w:color w:val="auto"/>
        </w:rPr>
        <w:t>Section 12.9(b)(i) of the Equity Definitions is hereby amended by (1) replacing “either party may elect” with “Dealer may elect” and (2) replacing “notice to the other party” with “notice to Counterparty” in the first sentence of such section.</w:t>
      </w:r>
    </w:p>
    <w:p>
      <w:pPr>
        <w:spacing w:after="0" w:line="322" w:lineRule="exact"/>
        <w:rPr>
          <w:rFonts w:ascii="Arial" w:cs="Arial" w:eastAsia="Arial" w:hAnsi="Arial"/>
          <w:sz w:val="17"/>
          <w:szCs w:val="17"/>
          <w:color w:val="auto"/>
        </w:rPr>
      </w:pPr>
    </w:p>
    <w:p>
      <w:pPr>
        <w:jc w:val="both"/>
        <w:ind w:left="644" w:hanging="644"/>
        <w:spacing w:after="0" w:line="259" w:lineRule="auto"/>
        <w:tabs>
          <w:tab w:leader="none" w:pos="644" w:val="left"/>
        </w:tabs>
        <w:numPr>
          <w:ilvl w:val="0"/>
          <w:numId w:val="180"/>
        </w:numPr>
        <w:rPr>
          <w:rFonts w:ascii="Arial" w:cs="Arial" w:eastAsia="Arial" w:hAnsi="Arial"/>
          <w:sz w:val="18"/>
          <w:szCs w:val="18"/>
          <w:color w:val="auto"/>
        </w:rPr>
      </w:pPr>
      <w:r>
        <w:rPr>
          <w:rFonts w:ascii="Arial" w:cs="Arial" w:eastAsia="Arial" w:hAnsi="Arial"/>
          <w:sz w:val="18"/>
          <w:szCs w:val="18"/>
          <w:i w:val="1"/>
          <w:iCs w:val="1"/>
          <w:u w:val="single" w:color="auto"/>
          <w:color w:val="auto"/>
        </w:rPr>
        <w:t>Setoff</w:t>
      </w:r>
      <w:r>
        <w:rPr>
          <w:rFonts w:ascii="Arial" w:cs="Arial" w:eastAsia="Arial" w:hAnsi="Arial"/>
          <w:sz w:val="18"/>
          <w:szCs w:val="18"/>
          <w:color w:val="auto"/>
        </w:rPr>
        <w:t>. Notwithstanding any provision of the Agreement (including without limitation Section 6(f) thereof) and this Confirmation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limitation this Section 8(k)) or any other agreement between the parties to the contrary, each party waives any and all rights it may have to set off obligations arising under the Agreement and the Transaction against other obligations between the parties, whether arising under any other agreement, applicable law or otherwise.</w:t>
      </w:r>
    </w:p>
    <w:p>
      <w:pPr>
        <w:spacing w:after="0" w:line="146" w:lineRule="exact"/>
        <w:rPr>
          <w:rFonts w:ascii="Arial" w:cs="Arial" w:eastAsia="Arial" w:hAnsi="Arial"/>
          <w:sz w:val="18"/>
          <w:szCs w:val="18"/>
          <w:color w:val="auto"/>
        </w:rPr>
      </w:pPr>
    </w:p>
    <w:p>
      <w:pPr>
        <w:jc w:val="both"/>
        <w:ind w:left="644" w:hanging="644"/>
        <w:spacing w:after="0" w:line="268" w:lineRule="auto"/>
        <w:tabs>
          <w:tab w:leader="none" w:pos="644" w:val="left"/>
        </w:tabs>
        <w:numPr>
          <w:ilvl w:val="0"/>
          <w:numId w:val="180"/>
        </w:numPr>
        <w:rPr>
          <w:rFonts w:ascii="Arial" w:cs="Arial" w:eastAsia="Arial" w:hAnsi="Arial"/>
          <w:sz w:val="17"/>
          <w:szCs w:val="17"/>
          <w:color w:val="auto"/>
        </w:rPr>
      </w:pPr>
      <w:r>
        <w:rPr>
          <w:rFonts w:ascii="Arial" w:cs="Arial" w:eastAsia="Arial" w:hAnsi="Arial"/>
          <w:sz w:val="17"/>
          <w:szCs w:val="17"/>
          <w:i w:val="1"/>
          <w:iCs w:val="1"/>
          <w:u w:val="single" w:color="auto"/>
          <w:color w:val="auto"/>
        </w:rPr>
        <w:t>Alternative Calculations and Payment on Early Termination and on Certain Extraordinary Events</w:t>
      </w:r>
      <w:r>
        <w:rPr>
          <w:rFonts w:ascii="Arial" w:cs="Arial" w:eastAsia="Arial" w:hAnsi="Arial"/>
          <w:sz w:val="17"/>
          <w:szCs w:val="17"/>
          <w:color w:val="auto"/>
        </w:rPr>
        <w:t>. If (a) an Early Termination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(whether as a result of an Event of Default or a Termination Event) occurs or is designated with respect to the Transaction or (b) the Transaction is cancelled or terminated upon the occurrence of an Extraordinary Event (except as a result of (i) a Nationalization, Insolvency or Merger Event in which the consideration to be paid to holders of Shares consists solely of cash, (ii) a Merger Event or Tender Offer that is within Counterparty’s control, or (iii) an Event of Default in which Counterparty is the Defaulting Party or a Termination Event in which Counterparty is the Affected Party other than an Event of Default of the type described in Section 5(a)(iii), (v), (vi), (vii) or (viii) of the Agreement or a Termination Event of the type described in Section 5(b) of the Agreement, in each case that resulted from an event or events outside Counterparty’s control), and if Dealer would owe any amount to Counterparty pursuant to Section 6(d)(ii) of the Agreement or any Cancellation Amount pursuant to Article 12 of the Equity Definitions (any such amount, a “</w:t>
      </w:r>
      <w:r>
        <w:rPr>
          <w:rFonts w:ascii="Arial" w:cs="Arial" w:eastAsia="Arial" w:hAnsi="Arial"/>
          <w:sz w:val="17"/>
          <w:szCs w:val="17"/>
          <w:b w:val="1"/>
          <w:bCs w:val="1"/>
          <w:color w:val="auto"/>
        </w:rPr>
        <w:t>Payment Obligation</w:t>
      </w:r>
      <w:r>
        <w:rPr>
          <w:rFonts w:ascii="Arial" w:cs="Arial" w:eastAsia="Arial" w:hAnsi="Arial"/>
          <w:sz w:val="17"/>
          <w:szCs w:val="17"/>
          <w:color w:val="auto"/>
        </w:rPr>
        <w:t>”), then Dealer shall satisfy the Payment Obligation by the Share Termination Alternative (as defined below), unless (a) Counterparty gives irrevocable telephonic notice to Dealer, confirmed in writing within one Scheduled Trading Day, no later than 12:00 p.m. (New York City time) on the Merger Date, Tender Offer Date, Announcement Date (in the case of a Nationalization, Insolvency or Delisting), Early Termination Date or date of cancellation, as applicable, of its election that the Share Termination Alternative shall not apply, (b) Counterparty remakes the representation set forth in Section 8(f) as of the date of such election and (c) Dealer agrees, in its commercially reasonable sole discretion, to such election, in which case the provisions of Section 12.7 or Section 12.9 of the Equity Definitions, or the provisions of Section 6(d)(ii) of the Agreement, as the case may be, shall apply.</w:t>
      </w:r>
    </w:p>
    <w:p>
      <w:pPr>
        <w:sectPr>
          <w:pgSz w:w="11900" w:h="16838" w:orient="portrait"/>
          <w:cols w:equalWidth="0" w:num="1">
            <w:col w:w="10764"/>
          </w:cols>
          <w:pgMar w:left="896" w:top="801" w:right="239" w:bottom="1440" w:gutter="0" w:footer="0" w:header="0"/>
        </w:sectPr>
      </w:pPr>
    </w:p>
    <w:p>
      <w:pPr>
        <w:spacing w:after="0" w:line="140" w:lineRule="exact"/>
        <w:rPr>
          <w:sz w:val="20"/>
          <w:szCs w:val="20"/>
          <w:color w:val="auto"/>
        </w:rPr>
      </w:pPr>
    </w:p>
    <w:p>
      <w:pPr>
        <w:ind w:left="644"/>
        <w:spacing w:after="0"/>
        <w:rPr>
          <w:sz w:val="20"/>
          <w:szCs w:val="20"/>
          <w:color w:val="auto"/>
        </w:rPr>
      </w:pPr>
      <w:r>
        <w:rPr>
          <w:rFonts w:ascii="Arial" w:cs="Arial" w:eastAsia="Arial" w:hAnsi="Arial"/>
          <w:sz w:val="16"/>
          <w:szCs w:val="16"/>
          <w:color w:val="auto"/>
        </w:rPr>
        <w:t>Share Termination Alternative: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If applicable, Dealer shall deliver to Counterparty the Share Termination Delivery Property on, or within a commercially reasonable period of time after, the date when the relevant Payment Obligation would otherwise be due pursuant to Section 12.7 or 12.9 of the Equity</w:t>
      </w:r>
    </w:p>
    <w:p>
      <w:pPr>
        <w:spacing w:after="0" w:line="200" w:lineRule="exact"/>
        <w:rPr>
          <w:sz w:val="20"/>
          <w:szCs w:val="20"/>
          <w:color w:val="auto"/>
        </w:rPr>
      </w:pPr>
    </w:p>
    <w:p>
      <w:pPr>
        <w:sectPr>
          <w:pgSz w:w="11900" w:h="16838" w:orient="portrait"/>
          <w:cols w:equalWidth="0" w:num="2">
            <w:col w:w="3164" w:space="720"/>
            <w:col w:w="6880"/>
          </w:cols>
          <w:pgMar w:left="896" w:top="801" w:right="239" w:bottom="1440" w:gutter="0" w:footer="0" w:header="0"/>
          <w:type w:val="continuous"/>
        </w:sectPr>
      </w:pPr>
    </w:p>
    <w:p>
      <w:pPr>
        <w:spacing w:after="0" w:line="222" w:lineRule="exact"/>
        <w:rPr>
          <w:sz w:val="20"/>
          <w:szCs w:val="20"/>
          <w:color w:val="auto"/>
        </w:rPr>
      </w:pPr>
    </w:p>
    <w:p>
      <w:pPr>
        <w:ind w:left="4964"/>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764"/>
          </w:cols>
          <w:pgMar w:left="896" w:top="801" w:right="239" w:bottom="1440" w:gutter="0" w:footer="0" w:header="0"/>
          <w:type w:val="continuous"/>
        </w:sectPr>
      </w:pPr>
    </w:p>
    <w:bookmarkStart w:id="206" w:name="page207"/>
    <w:bookmarkEnd w:id="206"/>
    <w:p>
      <w:pPr>
        <w:ind w:left="3340"/>
        <w:spacing w:after="0" w:line="395" w:lineRule="auto"/>
        <w:rPr>
          <w:sz w:val="20"/>
          <w:szCs w:val="20"/>
          <w:color w:val="auto"/>
        </w:rPr>
      </w:pPr>
      <w:r>
        <w:rPr>
          <w:rFonts w:ascii="Arial" w:cs="Arial" w:eastAsia="Arial" w:hAnsi="Arial"/>
          <w:sz w:val="16"/>
          <w:szCs w:val="16"/>
          <w:color w:val="auto"/>
        </w:rPr>
        <w:t>Definitions or Section 6(d)(ii) and 6(e) of the Agreement, as applicable, in satisfaction of such Payment Obligation in the manner reasonably requested by Counterparty free of payment.</w:t>
      </w:r>
    </w:p>
    <w:p>
      <w:pPr>
        <w:sectPr>
          <w:pgSz w:w="11900" w:h="16838" w:orient="portrait"/>
          <w:cols w:equalWidth="0" w:num="1">
            <w:col w:w="10220"/>
          </w:cols>
          <w:pgMar w:left="1440" w:top="827" w:right="239" w:bottom="1440" w:gutter="0" w:footer="0" w:header="0"/>
        </w:sectPr>
      </w:pPr>
    </w:p>
    <w:p>
      <w:pPr>
        <w:spacing w:after="0" w:line="5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Share Termination Delivery Property:</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 number of Share Termination Delivery Units, as calculated by the Calculation Agent, equal to the Payment Obligation divided by the Share Termination Unit Price. The Calculation Agent shall adjust the Share Termination Delivery Property by replacing any fractional portion of a security therein with an amount of cash equal to the value of such fractional security based on the values used to calculate the Share Termination Unit Price.</w:t>
      </w:r>
    </w:p>
    <w:p>
      <w:pPr>
        <w:spacing w:after="0" w:line="132" w:lineRule="exact"/>
        <w:rPr>
          <w:sz w:val="20"/>
          <w:szCs w:val="20"/>
          <w:color w:val="auto"/>
        </w:rPr>
      </w:pPr>
    </w:p>
    <w:p>
      <w:pPr>
        <w:sectPr>
          <w:pgSz w:w="11900" w:h="16838" w:orient="portrait"/>
          <w:cols w:equalWidth="0" w:num="2">
            <w:col w:w="2820" w:space="520"/>
            <w:col w:w="6880"/>
          </w:cols>
          <w:pgMar w:left="1440" w:top="827" w:right="239"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Share Termination Unit Price:</w:t>
      </w:r>
    </w:p>
    <w:p>
      <w:pPr>
        <w:spacing w:after="0" w:line="20" w:lineRule="exact"/>
        <w:rPr>
          <w:sz w:val="20"/>
          <w:szCs w:val="20"/>
          <w:color w:val="auto"/>
        </w:rPr>
      </w:pPr>
      <w:r>
        <w:rPr>
          <w:sz w:val="20"/>
          <w:szCs w:val="20"/>
          <w:color w:val="auto"/>
        </w:rPr>
        <w:br w:type="column"/>
      </w:r>
    </w:p>
    <w:p>
      <w:pPr>
        <w:jc w:val="both"/>
        <w:spacing w:after="0" w:line="272" w:lineRule="auto"/>
        <w:rPr>
          <w:sz w:val="20"/>
          <w:szCs w:val="20"/>
          <w:color w:val="auto"/>
        </w:rPr>
      </w:pPr>
      <w:r>
        <w:rPr>
          <w:rFonts w:ascii="Arial" w:cs="Arial" w:eastAsia="Arial" w:hAnsi="Arial"/>
          <w:sz w:val="17"/>
          <w:szCs w:val="17"/>
          <w:color w:val="auto"/>
        </w:rPr>
        <w:t>The value of property contained in one Share Termination Delivery Unit, as determined by the Calculation Agent in its discretion by commercially reasonable means and notified by the Calculation Agent to Dealer at the time of notification of the Payment Obligation. For the avoidance of doubt, the parties agree that in determining the Share Termination Delivery Unit Price the Calculation Agent may consider the purchase price paid in connection with the purchase of Share Termination Delivery Property, to the extent such Share Termination Delivery Property was purchased in a commercially reasonable manner.</w:t>
      </w:r>
    </w:p>
    <w:p>
      <w:pPr>
        <w:spacing w:after="0" w:line="137" w:lineRule="exact"/>
        <w:rPr>
          <w:sz w:val="20"/>
          <w:szCs w:val="20"/>
          <w:color w:val="auto"/>
        </w:rPr>
      </w:pPr>
    </w:p>
    <w:p>
      <w:pPr>
        <w:sectPr>
          <w:pgSz w:w="11900" w:h="16838" w:orient="portrait"/>
          <w:cols w:equalWidth="0" w:num="2">
            <w:col w:w="2620" w:space="720"/>
            <w:col w:w="6880"/>
          </w:cols>
          <w:pgMar w:left="1440" w:top="827" w:right="239"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Share Termination Delivery Unit:</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Arial" w:cs="Arial" w:eastAsia="Arial" w:hAnsi="Arial"/>
          <w:sz w:val="18"/>
          <w:szCs w:val="18"/>
          <w:color w:val="auto"/>
        </w:rPr>
        <w:t>One Share or, if the Shares have changed into cash or any other property or the right to receive cash or any other property as the result of a Nationalization, Insolvency or Merger Event (any such cash or other property, the “</w:t>
      </w:r>
      <w:r>
        <w:rPr>
          <w:rFonts w:ascii="Arial" w:cs="Arial" w:eastAsia="Arial" w:hAnsi="Arial"/>
          <w:sz w:val="18"/>
          <w:szCs w:val="18"/>
          <w:b w:val="1"/>
          <w:bCs w:val="1"/>
          <w:color w:val="auto"/>
        </w:rPr>
        <w:t>Exchange Property</w:t>
      </w:r>
      <w:r>
        <w:rPr>
          <w:rFonts w:ascii="Arial" w:cs="Arial" w:eastAsia="Arial" w:hAnsi="Arial"/>
          <w:sz w:val="18"/>
          <w:szCs w:val="18"/>
          <w:color w:val="auto"/>
        </w:rPr>
        <w:t>”), a unit consisting of the type and amount of such Exchange Property received by a holder of one Share (without consideration of any requirement to pay cash or other consideration in lieu of fractional amounts of any securities) in such Nationalization, Insolvency or Merger Event, as determined by the Calculation Agent.</w:t>
      </w:r>
    </w:p>
    <w:p>
      <w:pPr>
        <w:spacing w:after="0" w:line="149" w:lineRule="exact"/>
        <w:rPr>
          <w:sz w:val="20"/>
          <w:szCs w:val="20"/>
          <w:color w:val="auto"/>
        </w:rPr>
      </w:pPr>
    </w:p>
    <w:p>
      <w:pPr>
        <w:sectPr>
          <w:pgSz w:w="11900" w:h="16838" w:orient="portrait"/>
          <w:cols w:equalWidth="0" w:num="2">
            <w:col w:w="2620" w:space="720"/>
            <w:col w:w="6880"/>
          </w:cols>
          <w:pgMar w:left="1440" w:top="827" w:right="239" w:bottom="1440" w:gutter="0" w:footer="0" w:header="0"/>
          <w:type w:val="continuous"/>
        </w:sectPr>
      </w:pPr>
    </w:p>
    <w:p>
      <w:pPr>
        <w:ind w:left="100"/>
        <w:spacing w:after="0"/>
        <w:rPr>
          <w:sz w:val="20"/>
          <w:szCs w:val="20"/>
          <w:color w:val="auto"/>
        </w:rPr>
      </w:pPr>
      <w:r>
        <w:rPr>
          <w:rFonts w:ascii="Arial" w:cs="Arial" w:eastAsia="Arial" w:hAnsi="Arial"/>
          <w:sz w:val="17"/>
          <w:szCs w:val="17"/>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Applicable</w:t>
      </w:r>
    </w:p>
    <w:p>
      <w:pPr>
        <w:spacing w:after="0" w:line="196" w:lineRule="exact"/>
        <w:rPr>
          <w:sz w:val="20"/>
          <w:szCs w:val="20"/>
          <w:color w:val="auto"/>
        </w:rPr>
      </w:pPr>
    </w:p>
    <w:p>
      <w:pPr>
        <w:sectPr>
          <w:pgSz w:w="11900" w:h="16838" w:orient="portrait"/>
          <w:cols w:equalWidth="0" w:num="2">
            <w:col w:w="2620" w:space="720"/>
            <w:col w:w="6880"/>
          </w:cols>
          <w:pgMar w:left="1440" w:top="827" w:right="239"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jc w:val="both"/>
        <w:spacing w:after="0" w:line="272" w:lineRule="auto"/>
        <w:rPr>
          <w:sz w:val="20"/>
          <w:szCs w:val="20"/>
          <w:color w:val="auto"/>
        </w:rPr>
      </w:pPr>
      <w:r>
        <w:rPr>
          <w:rFonts w:ascii="Arial" w:cs="Arial" w:eastAsia="Arial" w:hAnsi="Arial"/>
          <w:sz w:val="17"/>
          <w:szCs w:val="17"/>
          <w:color w:val="auto"/>
        </w:rPr>
        <w:t>If Share Termination Alternative is applicable, the provisions of Sections 9.8, 9.9 and 9.11 (as modified above) of the Equity Definitions and the provisions set forth opposite the caption “Representation and Agreement” in Section 2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Share Termination Alternative is applicable to the Transaction.</w:t>
      </w:r>
    </w:p>
    <w:p>
      <w:pPr>
        <w:spacing w:after="0" w:line="200" w:lineRule="exact"/>
        <w:rPr>
          <w:sz w:val="20"/>
          <w:szCs w:val="20"/>
          <w:color w:val="auto"/>
        </w:rPr>
      </w:pPr>
    </w:p>
    <w:p>
      <w:pPr>
        <w:sectPr>
          <w:pgSz w:w="11900" w:h="16838" w:orient="portrait"/>
          <w:cols w:equalWidth="0" w:num="2">
            <w:col w:w="2620" w:space="720"/>
            <w:col w:w="6880"/>
          </w:cols>
          <w:pgMar w:left="1440" w:top="827" w:right="239" w:bottom="1440" w:gutter="0" w:footer="0" w:header="0"/>
          <w:type w:val="continuous"/>
        </w:sectPr>
      </w:pPr>
    </w:p>
    <w:p>
      <w:pPr>
        <w:spacing w:after="0" w:line="235"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220"/>
          </w:cols>
          <w:pgMar w:left="1440" w:top="827" w:right="239" w:bottom="1440" w:gutter="0" w:footer="0" w:header="0"/>
          <w:type w:val="continuous"/>
        </w:sectPr>
      </w:pPr>
    </w:p>
    <w:bookmarkStart w:id="207" w:name="page208"/>
    <w:bookmarkEnd w:id="207"/>
    <w:p>
      <w:pPr>
        <w:jc w:val="both"/>
        <w:ind w:left="644" w:hanging="644"/>
        <w:spacing w:after="0" w:line="257" w:lineRule="auto"/>
        <w:tabs>
          <w:tab w:leader="none" w:pos="644" w:val="left"/>
        </w:tabs>
        <w:numPr>
          <w:ilvl w:val="0"/>
          <w:numId w:val="181"/>
        </w:numPr>
        <w:rPr>
          <w:rFonts w:ascii="Arial" w:cs="Arial" w:eastAsia="Arial" w:hAnsi="Arial"/>
          <w:sz w:val="18"/>
          <w:szCs w:val="18"/>
          <w:color w:val="auto"/>
        </w:rPr>
      </w:pPr>
      <w:r>
        <w:rPr>
          <w:rFonts w:ascii="Arial" w:cs="Arial" w:eastAsia="Arial" w:hAnsi="Arial"/>
          <w:sz w:val="18"/>
          <w:szCs w:val="18"/>
          <w:i w:val="1"/>
          <w:iCs w:val="1"/>
          <w:u w:val="single" w:color="auto"/>
          <w:color w:val="auto"/>
        </w:rPr>
        <w:t>Waiver of Jury Trial</w:t>
      </w:r>
      <w:r>
        <w:rPr>
          <w:rFonts w:ascii="Arial" w:cs="Arial" w:eastAsia="Arial" w:hAnsi="Arial"/>
          <w:sz w:val="18"/>
          <w:szCs w:val="18"/>
          <w:color w:val="auto"/>
        </w:rPr>
        <w:t>. Each party waives, to the fullest extent permitted by applicable law, any right it may have to a trial by jury in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of any 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147" w:lineRule="exact"/>
        <w:rPr>
          <w:rFonts w:ascii="Arial" w:cs="Arial" w:eastAsia="Arial" w:hAnsi="Arial"/>
          <w:sz w:val="18"/>
          <w:szCs w:val="18"/>
          <w:color w:val="auto"/>
        </w:rPr>
      </w:pPr>
    </w:p>
    <w:p>
      <w:pPr>
        <w:jc w:val="both"/>
        <w:ind w:left="644" w:hanging="644"/>
        <w:spacing w:after="0" w:line="268" w:lineRule="auto"/>
        <w:tabs>
          <w:tab w:leader="none" w:pos="644" w:val="left"/>
        </w:tabs>
        <w:numPr>
          <w:ilvl w:val="0"/>
          <w:numId w:val="181"/>
        </w:numPr>
        <w:rPr>
          <w:rFonts w:ascii="Arial" w:cs="Arial" w:eastAsia="Arial" w:hAnsi="Arial"/>
          <w:sz w:val="17"/>
          <w:szCs w:val="17"/>
          <w:color w:val="auto"/>
        </w:rPr>
      </w:pPr>
      <w:r>
        <w:rPr>
          <w:rFonts w:ascii="Arial" w:cs="Arial" w:eastAsia="Arial" w:hAnsi="Arial"/>
          <w:sz w:val="17"/>
          <w:szCs w:val="17"/>
          <w:i w:val="1"/>
          <w:iCs w:val="1"/>
          <w:u w:val="single" w:color="auto"/>
          <w:color w:val="auto"/>
        </w:rPr>
        <w:t>Registration</w:t>
      </w:r>
      <w:r>
        <w:rPr>
          <w:rFonts w:ascii="Arial" w:cs="Arial" w:eastAsia="Arial" w:hAnsi="Arial"/>
          <w:sz w:val="17"/>
          <w:szCs w:val="17"/>
          <w:color w:val="auto"/>
        </w:rPr>
        <w:t>. Counterparty hereby agrees that if, in the good faith reasonable judgment of Dealer, based on the advice of counsel, the Shares</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Hedge Shares</w:t>
      </w:r>
      <w:r>
        <w:rPr>
          <w:rFonts w:ascii="Arial" w:cs="Arial" w:eastAsia="Arial" w:hAnsi="Arial"/>
          <w:sz w:val="17"/>
          <w:szCs w:val="17"/>
          <w:color w:val="auto"/>
        </w:rPr>
        <w:t xml:space="preserve">”) acquired by Dealer for the purpose effecting a commercially reasonable hedge of its obligations pursuant to the Transaction cannot be sold in the public market by Dealer without registration under the Securities Act, Counterparty shall, at its election, either (i) in order to allow Dealer to sell the Hedge Shares in a registered offering of a similar size in a similar industry, make available to Dealer an effective registration statement under the Securities Act and enter into an agreement, in form and substance reasonably satisfactory to Dealer, substantially in the form of an underwriting agreement for a registered secondary offering of substantially similar size and in a similar industry;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enter into a private placement agreement substantially similar to private placement purchase agreements customary for private placements of equity securities of similar size in a similar industry, in form and substance reasonably satisfactory to Dealer (in which case, the Calculation Agent shall make any adjustments to the terms of the Transaction that are necessary, in its reasonable judgment, to compensate Dealer for any discount from the public market price of the Shares incurred on the sale of Hedge Shares in a private placement), or (iii) purchase the Hedge Shares from Dealer at the then-current market price on such Exchange Business Days, and in the amounts and at such time(s), requested by Dealer.</w:t>
      </w:r>
    </w:p>
    <w:p>
      <w:pPr>
        <w:spacing w:after="0" w:line="142" w:lineRule="exact"/>
        <w:rPr>
          <w:rFonts w:ascii="Arial" w:cs="Arial" w:eastAsia="Arial" w:hAnsi="Arial"/>
          <w:sz w:val="17"/>
          <w:szCs w:val="17"/>
          <w:color w:val="auto"/>
        </w:rPr>
      </w:pPr>
    </w:p>
    <w:p>
      <w:pPr>
        <w:jc w:val="both"/>
        <w:ind w:left="644" w:hanging="644"/>
        <w:spacing w:after="0" w:line="259" w:lineRule="auto"/>
        <w:tabs>
          <w:tab w:leader="none" w:pos="644" w:val="left"/>
        </w:tabs>
        <w:numPr>
          <w:ilvl w:val="0"/>
          <w:numId w:val="181"/>
        </w:numPr>
        <w:rPr>
          <w:rFonts w:ascii="Arial" w:cs="Arial" w:eastAsia="Arial" w:hAnsi="Arial"/>
          <w:sz w:val="18"/>
          <w:szCs w:val="18"/>
          <w:color w:val="auto"/>
        </w:rPr>
      </w:pPr>
      <w:r>
        <w:rPr>
          <w:rFonts w:ascii="Arial" w:cs="Arial" w:eastAsia="Arial" w:hAnsi="Arial"/>
          <w:sz w:val="18"/>
          <w:szCs w:val="18"/>
          <w:i w:val="1"/>
          <w:iCs w:val="1"/>
          <w:u w:val="single" w:color="auto"/>
          <w:color w:val="auto"/>
        </w:rPr>
        <w:t>Tax Disclosure</w:t>
      </w:r>
      <w:r>
        <w:rPr>
          <w:rFonts w:ascii="Arial" w:cs="Arial" w:eastAsia="Arial" w:hAnsi="Arial"/>
          <w:sz w:val="18"/>
          <w:szCs w:val="18"/>
          <w:color w:val="auto"/>
        </w:rPr>
        <w:t>. Effective from the date of commencement of discussions concerning the Transaction, Counterparty and each of its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46" w:lineRule="exact"/>
        <w:rPr>
          <w:rFonts w:ascii="Arial" w:cs="Arial" w:eastAsia="Arial" w:hAnsi="Arial"/>
          <w:sz w:val="18"/>
          <w:szCs w:val="18"/>
          <w:color w:val="auto"/>
        </w:rPr>
      </w:pPr>
    </w:p>
    <w:p>
      <w:pPr>
        <w:jc w:val="both"/>
        <w:ind w:left="644" w:hanging="644"/>
        <w:spacing w:after="0" w:line="271" w:lineRule="auto"/>
        <w:tabs>
          <w:tab w:leader="none" w:pos="644" w:val="left"/>
        </w:tabs>
        <w:numPr>
          <w:ilvl w:val="0"/>
          <w:numId w:val="181"/>
        </w:numPr>
        <w:rPr>
          <w:rFonts w:ascii="Arial" w:cs="Arial" w:eastAsia="Arial" w:hAnsi="Arial"/>
          <w:sz w:val="17"/>
          <w:szCs w:val="17"/>
          <w:color w:val="auto"/>
        </w:rPr>
      </w:pPr>
      <w:r>
        <w:rPr>
          <w:rFonts w:ascii="Arial" w:cs="Arial" w:eastAsia="Arial" w:hAnsi="Arial"/>
          <w:sz w:val="17"/>
          <w:szCs w:val="17"/>
          <w:i w:val="1"/>
          <w:iCs w:val="1"/>
          <w:u w:val="single" w:color="auto"/>
          <w:color w:val="auto"/>
        </w:rPr>
        <w:t>Right to Extend</w:t>
      </w:r>
      <w:r>
        <w:rPr>
          <w:rFonts w:ascii="Arial" w:cs="Arial" w:eastAsia="Arial" w:hAnsi="Arial"/>
          <w:sz w:val="17"/>
          <w:szCs w:val="17"/>
          <w:color w:val="auto"/>
        </w:rPr>
        <w:t>. Dealer may postpone or add, in whole or in part, any Valid Day or Valid Days during the Settlement Averaging Period or</w:t>
      </w:r>
      <w:r>
        <w:rPr>
          <w:rFonts w:ascii="Arial" w:cs="Arial" w:eastAsia="Arial" w:hAnsi="Arial"/>
          <w:sz w:val="17"/>
          <w:szCs w:val="17"/>
          <w:i w:val="1"/>
          <w:iCs w:val="1"/>
          <w:color w:val="auto"/>
        </w:rPr>
        <w:t xml:space="preserve"> </w:t>
      </w:r>
      <w:r>
        <w:rPr>
          <w:rFonts w:ascii="Arial" w:cs="Arial" w:eastAsia="Arial" w:hAnsi="Arial"/>
          <w:sz w:val="17"/>
          <w:szCs w:val="17"/>
          <w:color w:val="auto"/>
        </w:rPr>
        <w:t>any other date of valuation, payment or delivery by Dealer, with respect to some or all of the Options hereunder, to the extent Dealer reasonably determines, based on advice of counsel in the case of the immediately following clause (ii) that such action is reasonably necessary or appropriate to (i) preserve Dealer’s commercially reasonable hedging or hedge unwind activity hereunder in light of existing liquidity conditions (but only in the case of a material decrease in liquidity relative to Dealer’s expectations as of the Trade Date) or (ii) to enable Dealer to effect purchases of Shares in connection with its hedging, hedge unwind or settlement activity hereunder in a manner that would, if Dealer were Counterparty or an affiliated purchaser of Counterparty, be in compliance with applicable legal, regulatory or self-regulatory requirements, or with related policies and procedures applicable to Dealer.</w:t>
      </w:r>
    </w:p>
    <w:p>
      <w:pPr>
        <w:spacing w:after="0" w:line="138" w:lineRule="exact"/>
        <w:rPr>
          <w:rFonts w:ascii="Arial" w:cs="Arial" w:eastAsia="Arial" w:hAnsi="Arial"/>
          <w:sz w:val="17"/>
          <w:szCs w:val="17"/>
          <w:color w:val="auto"/>
        </w:rPr>
      </w:pPr>
    </w:p>
    <w:p>
      <w:pPr>
        <w:jc w:val="both"/>
        <w:ind w:left="644" w:hanging="644"/>
        <w:spacing w:after="0" w:line="297" w:lineRule="auto"/>
        <w:tabs>
          <w:tab w:leader="none" w:pos="644" w:val="left"/>
        </w:tabs>
        <w:numPr>
          <w:ilvl w:val="0"/>
          <w:numId w:val="181"/>
        </w:numPr>
        <w:rPr>
          <w:rFonts w:ascii="Arial" w:cs="Arial" w:eastAsia="Arial" w:hAnsi="Arial"/>
          <w:sz w:val="16"/>
          <w:szCs w:val="16"/>
          <w:color w:val="auto"/>
        </w:rPr>
      </w:pPr>
      <w:r>
        <w:rPr>
          <w:rFonts w:ascii="Arial" w:cs="Arial" w:eastAsia="Arial" w:hAnsi="Arial"/>
          <w:sz w:val="16"/>
          <w:szCs w:val="16"/>
          <w:i w:val="1"/>
          <w:iCs w:val="1"/>
          <w:u w:val="single" w:color="auto"/>
          <w:color w:val="auto"/>
        </w:rPr>
        <w:t>Status of Claims in Bankruptcy</w:t>
      </w:r>
      <w:r>
        <w:rPr>
          <w:rFonts w:ascii="Arial" w:cs="Arial" w:eastAsia="Arial" w:hAnsi="Arial"/>
          <w:sz w:val="16"/>
          <w:szCs w:val="16"/>
          <w:color w:val="auto"/>
        </w:rPr>
        <w:t>. Dealer acknowledges and agrees that this Confirmation is not intended to convey to Dealer rights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Counterparty with respect to the Transaction that are senior to the claims of common stockholders of Counterparty in any United States bankruptcy proceedings of Counterparty;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herein shall limit or shall be deemed to limit Dealer’s right to pursue remedies in the event of a breach by Counterparty of its obligations and agreements with respect to the Transaction;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nothing herein shall limit or shall be deemed to limit Dealer’s rights in respect of any transactions other than the Transaction.</w:t>
      </w:r>
    </w:p>
    <w:p>
      <w:pPr>
        <w:spacing w:after="0" w:line="200" w:lineRule="exact"/>
        <w:rPr>
          <w:sz w:val="20"/>
          <w:szCs w:val="20"/>
          <w:color w:val="auto"/>
        </w:rPr>
      </w:pPr>
    </w:p>
    <w:p>
      <w:pPr>
        <w:spacing w:after="0" w:line="21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764"/>
          </w:cols>
          <w:pgMar w:left="896" w:top="801" w:right="239" w:bottom="1440" w:gutter="0" w:footer="0" w:header="0"/>
        </w:sectPr>
      </w:pPr>
    </w:p>
    <w:bookmarkStart w:id="208" w:name="page209"/>
    <w:bookmarkEnd w:id="208"/>
    <w:p>
      <w:pPr>
        <w:jc w:val="both"/>
        <w:ind w:left="1300" w:hanging="644"/>
        <w:spacing w:after="0" w:line="255" w:lineRule="auto"/>
        <w:tabs>
          <w:tab w:leader="none" w:pos="1300" w:val="left"/>
        </w:tabs>
        <w:numPr>
          <w:ilvl w:val="0"/>
          <w:numId w:val="182"/>
        </w:numPr>
        <w:rPr>
          <w:rFonts w:ascii="Arial" w:cs="Arial" w:eastAsia="Arial" w:hAnsi="Arial"/>
          <w:sz w:val="18"/>
          <w:szCs w:val="18"/>
          <w:color w:val="auto"/>
        </w:rPr>
      </w:pPr>
      <w:r>
        <w:rPr>
          <w:rFonts w:ascii="Arial" w:cs="Arial" w:eastAsia="Arial" w:hAnsi="Arial"/>
          <w:sz w:val="18"/>
          <w:szCs w:val="18"/>
          <w:i w:val="1"/>
          <w:iCs w:val="1"/>
          <w:u w:val="single" w:color="auto"/>
          <w:color w:val="auto"/>
        </w:rPr>
        <w:t>Securities Contract; Swap Agreement</w:t>
      </w:r>
      <w:r>
        <w:rPr>
          <w:rFonts w:ascii="Arial" w:cs="Arial" w:eastAsia="Arial" w:hAnsi="Arial"/>
          <w:sz w:val="18"/>
          <w:szCs w:val="18"/>
          <w:color w:val="auto"/>
        </w:rPr>
        <w:t>. The parties hereto intend for (i) the Transaction to be a “securities contract” and a “swap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as defined in the Bankruptcy Code (Title 11 of the United States Code) (the “</w:t>
      </w:r>
      <w:r>
        <w:rPr>
          <w:rFonts w:ascii="Arial" w:cs="Arial" w:eastAsia="Arial" w:hAnsi="Arial"/>
          <w:sz w:val="18"/>
          <w:szCs w:val="18"/>
          <w:b w:val="1"/>
          <w:bCs w:val="1"/>
          <w:color w:val="auto"/>
        </w:rPr>
        <w:t>Bankruptcy Code</w:t>
      </w:r>
      <w:r>
        <w:rPr>
          <w:rFonts w:ascii="Arial" w:cs="Arial" w:eastAsia="Arial" w:hAnsi="Arial"/>
          <w:sz w:val="18"/>
          <w:szCs w:val="18"/>
          <w:color w:val="auto"/>
        </w:rPr>
        <w:t>”),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148" w:lineRule="exact"/>
        <w:rPr>
          <w:rFonts w:ascii="Arial" w:cs="Arial" w:eastAsia="Arial" w:hAnsi="Arial"/>
          <w:sz w:val="18"/>
          <w:szCs w:val="18"/>
          <w:color w:val="auto"/>
        </w:rPr>
      </w:pPr>
    </w:p>
    <w:p>
      <w:pPr>
        <w:ind w:left="1300" w:hanging="644"/>
        <w:spacing w:after="0"/>
        <w:tabs>
          <w:tab w:leader="none" w:pos="1300" w:val="left"/>
        </w:tabs>
        <w:numPr>
          <w:ilvl w:val="0"/>
          <w:numId w:val="182"/>
        </w:numPr>
        <w:rPr>
          <w:rFonts w:ascii="Arial" w:cs="Arial" w:eastAsia="Arial" w:hAnsi="Arial"/>
          <w:sz w:val="18"/>
          <w:szCs w:val="18"/>
          <w:color w:val="auto"/>
        </w:rPr>
      </w:pPr>
      <w:r>
        <w:rPr>
          <w:rFonts w:ascii="Arial" w:cs="Arial" w:eastAsia="Arial" w:hAnsi="Arial"/>
          <w:sz w:val="18"/>
          <w:szCs w:val="18"/>
          <w:i w:val="1"/>
          <w:iCs w:val="1"/>
          <w:u w:val="single" w:color="auto"/>
          <w:color w:val="auto"/>
        </w:rPr>
        <w:t>Notice of Certain Other Events</w:t>
      </w:r>
      <w:r>
        <w:rPr>
          <w:rFonts w:ascii="Arial" w:cs="Arial" w:eastAsia="Arial" w:hAnsi="Arial"/>
          <w:sz w:val="18"/>
          <w:szCs w:val="18"/>
          <w:color w:val="auto"/>
        </w:rPr>
        <w:t>. Counterparty covenants and agrees that:</w:t>
      </w:r>
    </w:p>
    <w:p>
      <w:pPr>
        <w:spacing w:after="0" w:line="184" w:lineRule="exact"/>
        <w:rPr>
          <w:rFonts w:ascii="Arial" w:cs="Arial" w:eastAsia="Arial" w:hAnsi="Arial"/>
          <w:sz w:val="18"/>
          <w:szCs w:val="18"/>
          <w:color w:val="auto"/>
        </w:rPr>
      </w:pPr>
    </w:p>
    <w:p>
      <w:pPr>
        <w:jc w:val="both"/>
        <w:ind w:left="1960" w:hanging="655"/>
        <w:spacing w:after="0" w:line="273" w:lineRule="auto"/>
        <w:tabs>
          <w:tab w:leader="none" w:pos="196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promptly following the public announcement of the results of any election by the holders of Shares with respect to the consideration due upon consummation of any Merger Event, Counterparty shall give Dealer written notice of (x) the weighted average of the types and amounts of consideration that holders of Shares have elected to receive upon consummation of such Merger Event or (y) if no holders of Shares affirmatively make such election, the types and amounts of consideration actually received by holders of Shares (the date of such notification, the “</w:t>
      </w:r>
      <w:r>
        <w:rPr>
          <w:rFonts w:ascii="Arial" w:cs="Arial" w:eastAsia="Arial" w:hAnsi="Arial"/>
          <w:sz w:val="17"/>
          <w:szCs w:val="17"/>
          <w:b w:val="1"/>
          <w:bCs w:val="1"/>
          <w:color w:val="auto"/>
        </w:rPr>
        <w:t>Consideration Notification Date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the Consideration Notification Date be later than the date on which such Merger Event is consummated; and</w:t>
      </w:r>
    </w:p>
    <w:p>
      <w:pPr>
        <w:spacing w:after="0" w:line="137" w:lineRule="exact"/>
        <w:rPr>
          <w:rFonts w:ascii="Arial" w:cs="Arial" w:eastAsia="Arial" w:hAnsi="Arial"/>
          <w:sz w:val="17"/>
          <w:szCs w:val="17"/>
          <w:color w:val="auto"/>
        </w:rPr>
      </w:pPr>
    </w:p>
    <w:p>
      <w:pPr>
        <w:jc w:val="both"/>
        <w:ind w:left="1960" w:hanging="655"/>
        <w:spacing w:after="0" w:line="259" w:lineRule="auto"/>
        <w:tabs>
          <w:tab w:leader="none" w:pos="19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 Counterparty shall give Dealer at least one Exchange Business Day advance written notice of the section or sections of the Indenture and, if applicable, the formula therein, pursuant to which any adjustment will be made to the Convertible Notes in connection with any Potential Adjustment Event, Merger Event or Tender Offer and (B) promptly following any such adjustment, Counterparty shall give Dealer written notice of the details of such adjustment.</w:t>
      </w:r>
    </w:p>
    <w:p>
      <w:pPr>
        <w:spacing w:after="0" w:line="146" w:lineRule="exact"/>
        <w:rPr>
          <w:rFonts w:ascii="Arial" w:cs="Arial" w:eastAsia="Arial" w:hAnsi="Arial"/>
          <w:sz w:val="18"/>
          <w:szCs w:val="18"/>
          <w:color w:val="auto"/>
        </w:rPr>
      </w:pPr>
    </w:p>
    <w:p>
      <w:pPr>
        <w:jc w:val="both"/>
        <w:ind w:left="1300" w:hanging="644"/>
        <w:spacing w:after="0" w:line="272" w:lineRule="auto"/>
        <w:tabs>
          <w:tab w:leader="none" w:pos="1300" w:val="left"/>
        </w:tabs>
        <w:numPr>
          <w:ilvl w:val="0"/>
          <w:numId w:val="182"/>
        </w:numPr>
        <w:rPr>
          <w:rFonts w:ascii="Arial" w:cs="Arial" w:eastAsia="Arial" w:hAnsi="Arial"/>
          <w:sz w:val="17"/>
          <w:szCs w:val="17"/>
          <w:color w:val="auto"/>
        </w:rPr>
      </w:pPr>
      <w:r>
        <w:rPr>
          <w:rFonts w:ascii="Arial" w:cs="Arial" w:eastAsia="Arial" w:hAnsi="Arial"/>
          <w:sz w:val="17"/>
          <w:szCs w:val="17"/>
          <w:i w:val="1"/>
          <w:iCs w:val="1"/>
          <w:u w:val="single" w:color="auto"/>
          <w:color w:val="auto"/>
        </w:rPr>
        <w:t>Wall Street Transparency and Accountability Act</w:t>
      </w:r>
      <w:r>
        <w:rPr>
          <w:rFonts w:ascii="Arial" w:cs="Arial" w:eastAsia="Arial" w:hAnsi="Arial"/>
          <w:sz w:val="17"/>
          <w:szCs w:val="17"/>
          <w:color w:val="auto"/>
        </w:rPr>
        <w:t>. In connection with Section 739 of the Wall Street Transparency and Accountability Act of</w:t>
      </w:r>
      <w:r>
        <w:rPr>
          <w:rFonts w:ascii="Arial" w:cs="Arial" w:eastAsia="Arial" w:hAnsi="Arial"/>
          <w:sz w:val="17"/>
          <w:szCs w:val="17"/>
          <w:i w:val="1"/>
          <w:iCs w:val="1"/>
          <w:color w:val="auto"/>
        </w:rPr>
        <w:t xml:space="preserve"> </w:t>
      </w:r>
      <w:r>
        <w:rPr>
          <w:rFonts w:ascii="Arial" w:cs="Arial" w:eastAsia="Arial" w:hAnsi="Arial"/>
          <w:sz w:val="17"/>
          <w:szCs w:val="17"/>
          <w:color w:val="auto"/>
        </w:rPr>
        <w:t>2010 (“</w:t>
      </w:r>
      <w:r>
        <w:rPr>
          <w:rFonts w:ascii="Arial" w:cs="Arial" w:eastAsia="Arial" w:hAnsi="Arial"/>
          <w:sz w:val="17"/>
          <w:szCs w:val="17"/>
          <w:b w:val="1"/>
          <w:bCs w:val="1"/>
          <w:color w:val="auto"/>
        </w:rPr>
        <w:t>WSTAA</w:t>
      </w:r>
      <w:r>
        <w:rPr>
          <w:rFonts w:ascii="Arial" w:cs="Arial" w:eastAsia="Arial" w:hAnsi="Arial"/>
          <w:sz w:val="17"/>
          <w:szCs w:val="17"/>
          <w:color w:val="auto"/>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137" w:lineRule="exact"/>
        <w:rPr>
          <w:rFonts w:ascii="Arial" w:cs="Arial" w:eastAsia="Arial" w:hAnsi="Arial"/>
          <w:sz w:val="17"/>
          <w:szCs w:val="17"/>
          <w:color w:val="auto"/>
        </w:rPr>
      </w:pPr>
    </w:p>
    <w:p>
      <w:pPr>
        <w:jc w:val="both"/>
        <w:ind w:left="1300" w:hanging="644"/>
        <w:spacing w:after="0" w:line="271" w:lineRule="auto"/>
        <w:tabs>
          <w:tab w:leader="none" w:pos="1300" w:val="left"/>
        </w:tabs>
        <w:numPr>
          <w:ilvl w:val="0"/>
          <w:numId w:val="182"/>
        </w:numPr>
        <w:rPr>
          <w:rFonts w:ascii="Arial" w:cs="Arial" w:eastAsia="Arial" w:hAnsi="Arial"/>
          <w:sz w:val="17"/>
          <w:szCs w:val="17"/>
          <w:color w:val="auto"/>
        </w:rPr>
      </w:pPr>
      <w:r>
        <w:rPr>
          <w:rFonts w:ascii="Arial" w:cs="Arial" w:eastAsia="Arial" w:hAnsi="Arial"/>
          <w:sz w:val="17"/>
          <w:szCs w:val="17"/>
          <w:i w:val="1"/>
          <w:iCs w:val="1"/>
          <w:u w:val="single" w:color="auto"/>
          <w:color w:val="auto"/>
        </w:rPr>
        <w:t>Agreements and Acknowledgements Regarding Hedging</w:t>
      </w:r>
      <w:r>
        <w:rPr>
          <w:rFonts w:ascii="Arial" w:cs="Arial" w:eastAsia="Arial" w:hAnsi="Arial"/>
          <w:sz w:val="17"/>
          <w:szCs w:val="17"/>
          <w:color w:val="auto"/>
        </w:rPr>
        <w:t>. Counterparty understands, acknowledges and agrees that: (A) at any time on and</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the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Relevant Prices; and (D) any market activities of Dealer and its affiliates with respect to Shares may affect the market price and volatility of Shares, as well as the Relevant Prices, each in a manner that may be adverse to Counterparty.</w:t>
      </w:r>
    </w:p>
    <w:p>
      <w:pPr>
        <w:spacing w:after="0" w:line="138" w:lineRule="exact"/>
        <w:rPr>
          <w:rFonts w:ascii="Arial" w:cs="Arial" w:eastAsia="Arial" w:hAnsi="Arial"/>
          <w:sz w:val="17"/>
          <w:szCs w:val="17"/>
          <w:color w:val="auto"/>
        </w:rPr>
      </w:pPr>
    </w:p>
    <w:p>
      <w:pPr>
        <w:jc w:val="both"/>
        <w:ind w:left="1300" w:hanging="644"/>
        <w:spacing w:after="0" w:line="245" w:lineRule="auto"/>
        <w:tabs>
          <w:tab w:leader="none" w:pos="1300" w:val="left"/>
        </w:tabs>
        <w:numPr>
          <w:ilvl w:val="0"/>
          <w:numId w:val="182"/>
        </w:numPr>
        <w:rPr>
          <w:rFonts w:ascii="Arial" w:cs="Arial" w:eastAsia="Arial" w:hAnsi="Arial"/>
          <w:sz w:val="16"/>
          <w:szCs w:val="16"/>
          <w:color w:val="auto"/>
        </w:rPr>
      </w:pPr>
      <w:r>
        <w:rPr>
          <w:rFonts w:ascii="Arial" w:cs="Arial" w:eastAsia="Arial" w:hAnsi="Arial"/>
          <w:sz w:val="16"/>
          <w:szCs w:val="16"/>
          <w:i w:val="1"/>
          <w:iCs w:val="1"/>
          <w:u w:val="single" w:color="auto"/>
          <w:color w:val="auto"/>
        </w:rPr>
        <w:t>Early Unwind</w:t>
      </w:r>
      <w:r>
        <w:rPr>
          <w:rFonts w:ascii="Arial" w:cs="Arial" w:eastAsia="Arial" w:hAnsi="Arial"/>
          <w:sz w:val="16"/>
          <w:szCs w:val="16"/>
          <w:i w:val="1"/>
          <w:iCs w:val="1"/>
          <w:color w:val="auto"/>
        </w:rPr>
        <w:t xml:space="preserve">. </w:t>
      </w:r>
      <w:r>
        <w:rPr>
          <w:rFonts w:ascii="Arial" w:cs="Arial" w:eastAsia="Arial" w:hAnsi="Arial"/>
          <w:sz w:val="16"/>
          <w:szCs w:val="16"/>
          <w:color w:val="auto"/>
        </w:rPr>
        <w:t>In the event the sale of the [“Underwritten Securities”]</w:t>
      </w:r>
      <w:r>
        <w:rPr>
          <w:rFonts w:ascii="Arial" w:cs="Arial" w:eastAsia="Arial" w:hAnsi="Arial"/>
          <w:sz w:val="22"/>
          <w:szCs w:val="22"/>
          <w:color w:val="auto"/>
          <w:vertAlign w:val="superscript"/>
        </w:rPr>
        <w:t>15</w:t>
      </w:r>
      <w:r>
        <w:rPr>
          <w:rFonts w:ascii="Arial" w:cs="Arial" w:eastAsia="Arial" w:hAnsi="Arial"/>
          <w:sz w:val="16"/>
          <w:szCs w:val="16"/>
          <w:color w:val="auto"/>
        </w:rPr>
        <w:t>[“Option Securities”]</w:t>
      </w:r>
      <w:r>
        <w:rPr>
          <w:rFonts w:ascii="Arial" w:cs="Arial" w:eastAsia="Arial" w:hAnsi="Arial"/>
          <w:sz w:val="22"/>
          <w:szCs w:val="22"/>
          <w:color w:val="auto"/>
          <w:vertAlign w:val="superscript"/>
        </w:rPr>
        <w:t>16</w:t>
      </w:r>
      <w:r>
        <w:rPr>
          <w:rFonts w:ascii="Arial" w:cs="Arial" w:eastAsia="Arial" w:hAnsi="Arial"/>
          <w:sz w:val="16"/>
          <w:szCs w:val="16"/>
          <w:i w:val="1"/>
          <w:iCs w:val="1"/>
          <w:color w:val="auto"/>
        </w:rPr>
        <w:t xml:space="preserve"> </w:t>
      </w:r>
      <w:r>
        <w:rPr>
          <w:rFonts w:ascii="Arial" w:cs="Arial" w:eastAsia="Arial" w:hAnsi="Arial"/>
          <w:sz w:val="16"/>
          <w:szCs w:val="16"/>
          <w:color w:val="auto"/>
        </w:rPr>
        <w:t>(as defined in the Purchase Agreement) is</w:t>
      </w:r>
      <w:r>
        <w:rPr>
          <w:rFonts w:ascii="Arial" w:cs="Arial" w:eastAsia="Arial" w:hAnsi="Arial"/>
          <w:sz w:val="16"/>
          <w:szCs w:val="16"/>
          <w:i w:val="1"/>
          <w:iCs w:val="1"/>
          <w:color w:val="auto"/>
        </w:rPr>
        <w:t xml:space="preserve"> </w:t>
      </w:r>
      <w:r>
        <w:rPr>
          <w:rFonts w:ascii="Arial" w:cs="Arial" w:eastAsia="Arial" w:hAnsi="Arial"/>
          <w:sz w:val="16"/>
          <w:szCs w:val="16"/>
          <w:color w:val="auto"/>
        </w:rPr>
        <w:t>not consummated with the Initial Purchasers for any reason, or Counterparty fails to deliver to Dealer opinions of counsel as required</w:t>
      </w:r>
    </w:p>
    <w:p>
      <w:pPr>
        <w:ind w:left="1300"/>
        <w:spacing w:after="0"/>
        <w:rPr>
          <w:sz w:val="20"/>
          <w:szCs w:val="20"/>
          <w:color w:val="auto"/>
        </w:rPr>
      </w:pPr>
      <w:r>
        <w:rPr>
          <w:rFonts w:ascii="Arial" w:cs="Arial" w:eastAsia="Arial" w:hAnsi="Arial"/>
          <w:sz w:val="18"/>
          <w:szCs w:val="18"/>
          <w:color w:val="auto"/>
        </w:rPr>
        <w:t>pursuant to Section 9(a), in each case by 5:00 p.m. (New York City time) on the Premium Payment Date, or such later date as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w:t>
      </w:r>
    </w:p>
    <w:p>
      <w:pPr>
        <w:spacing w:after="0" w:line="34" w:lineRule="exact"/>
        <w:rPr>
          <w:sz w:val="20"/>
          <w:szCs w:val="20"/>
          <w:color w:val="auto"/>
        </w:rPr>
      </w:pPr>
    </w:p>
    <w:p>
      <w:pPr>
        <w:ind w:left="160" w:hanging="152"/>
        <w:spacing w:after="0"/>
        <w:tabs>
          <w:tab w:leader="none" w:pos="160" w:val="left"/>
        </w:tabs>
        <w:numPr>
          <w:ilvl w:val="0"/>
          <w:numId w:val="183"/>
        </w:numPr>
        <w:rPr>
          <w:rFonts w:ascii="Arial" w:cs="Arial" w:eastAsia="Arial" w:hAnsi="Arial"/>
          <w:sz w:val="19"/>
          <w:szCs w:val="19"/>
          <w:color w:val="auto"/>
          <w:vertAlign w:val="superscript"/>
        </w:rPr>
      </w:pPr>
      <w:r>
        <w:rPr>
          <w:rFonts w:ascii="Arial" w:cs="Arial" w:eastAsia="Arial" w:hAnsi="Arial"/>
          <w:sz w:val="15"/>
          <w:szCs w:val="15"/>
          <w:color w:val="auto"/>
        </w:rPr>
        <w:t>Insert for Base Call Option Confirmation.</w:t>
      </w:r>
    </w:p>
    <w:p>
      <w:pPr>
        <w:ind w:left="160" w:hanging="152"/>
        <w:spacing w:after="0" w:line="211" w:lineRule="auto"/>
        <w:tabs>
          <w:tab w:leader="none" w:pos="160" w:val="left"/>
        </w:tabs>
        <w:numPr>
          <w:ilvl w:val="0"/>
          <w:numId w:val="183"/>
        </w:numPr>
        <w:rPr>
          <w:rFonts w:ascii="Arial" w:cs="Arial" w:eastAsia="Arial" w:hAnsi="Arial"/>
          <w:sz w:val="19"/>
          <w:szCs w:val="19"/>
          <w:color w:val="auto"/>
          <w:vertAlign w:val="superscript"/>
        </w:rPr>
      </w:pPr>
      <w:r>
        <w:rPr>
          <w:rFonts w:ascii="Arial" w:cs="Arial" w:eastAsia="Arial" w:hAnsi="Arial"/>
          <w:sz w:val="15"/>
          <w:szCs w:val="15"/>
          <w:color w:val="auto"/>
        </w:rPr>
        <w:t>Insert for Additional Call Option Confirmation.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01" w:right="239" w:bottom="1440" w:gutter="0" w:footer="0" w:header="0"/>
        </w:sectPr>
      </w:pPr>
    </w:p>
    <w:bookmarkStart w:id="209" w:name="page210"/>
    <w:bookmarkEnd w:id="209"/>
    <w:p>
      <w:pPr>
        <w:jc w:val="both"/>
        <w:ind w:left="644"/>
        <w:spacing w:after="0" w:line="255" w:lineRule="auto"/>
        <w:rPr>
          <w:sz w:val="20"/>
          <w:szCs w:val="20"/>
          <w:color w:val="auto"/>
        </w:rPr>
      </w:pPr>
      <w:r>
        <w:rPr>
          <w:rFonts w:ascii="Arial" w:cs="Arial" w:eastAsia="Arial" w:hAnsi="Arial"/>
          <w:sz w:val="18"/>
          <w:szCs w:val="18"/>
          <w:color w:val="auto"/>
        </w:rPr>
        <w:t>agreed upon by the parties (the Premium Payment Date or such later date, the “</w:t>
      </w:r>
      <w:r>
        <w:rPr>
          <w:rFonts w:ascii="Arial" w:cs="Arial" w:eastAsia="Arial" w:hAnsi="Arial"/>
          <w:sz w:val="18"/>
          <w:szCs w:val="18"/>
          <w:b w:val="1"/>
          <w:bCs w:val="1"/>
          <w:color w:val="auto"/>
        </w:rPr>
        <w:t>Early Unwind Date</w:t>
      </w:r>
      <w:r>
        <w:rPr>
          <w:rFonts w:ascii="Arial" w:cs="Arial" w:eastAsia="Arial" w:hAnsi="Arial"/>
          <w:sz w:val="18"/>
          <w:szCs w:val="18"/>
          <w:color w:val="auto"/>
        </w:rPr>
        <w:t>”), the Transaction shall automatically terminate (the “</w:t>
      </w:r>
      <w:r>
        <w:rPr>
          <w:rFonts w:ascii="Arial" w:cs="Arial" w:eastAsia="Arial" w:hAnsi="Arial"/>
          <w:sz w:val="18"/>
          <w:szCs w:val="18"/>
          <w:b w:val="1"/>
          <w:bCs w:val="1"/>
          <w:color w:val="auto"/>
        </w:rPr>
        <w:t>Early Unwind</w:t>
      </w:r>
      <w:r>
        <w:rPr>
          <w:rFonts w:ascii="Arial" w:cs="Arial" w:eastAsia="Arial" w:hAnsi="Arial"/>
          <w:sz w:val="18"/>
          <w:szCs w:val="18"/>
          <w:color w:val="auto"/>
        </w:rPr>
        <w:t>”)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spacing w:after="0" w:line="153" w:lineRule="exact"/>
        <w:rPr>
          <w:sz w:val="20"/>
          <w:szCs w:val="20"/>
          <w:color w:val="auto"/>
        </w:rPr>
      </w:pPr>
    </w:p>
    <w:p>
      <w:pPr>
        <w:ind w:left="644" w:hanging="644"/>
        <w:spacing w:after="0"/>
        <w:tabs>
          <w:tab w:leader="none" w:pos="644" w:val="left"/>
        </w:tabs>
        <w:numPr>
          <w:ilvl w:val="0"/>
          <w:numId w:val="184"/>
        </w:numPr>
        <w:rPr>
          <w:rFonts w:ascii="Arial" w:cs="Arial" w:eastAsia="Arial" w:hAnsi="Arial"/>
          <w:sz w:val="18"/>
          <w:szCs w:val="18"/>
          <w:color w:val="auto"/>
        </w:rPr>
      </w:pPr>
      <w:r>
        <w:rPr>
          <w:rFonts w:ascii="Arial" w:cs="Arial" w:eastAsia="Arial" w:hAnsi="Arial"/>
          <w:sz w:val="18"/>
          <w:szCs w:val="18"/>
          <w:i w:val="1"/>
          <w:iCs w:val="1"/>
          <w:u w:val="single" w:color="auto"/>
          <w:color w:val="auto"/>
        </w:rPr>
        <w:t>Tax Matters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1304" w:hanging="655"/>
        <w:spacing w:after="0" w:line="271" w:lineRule="auto"/>
        <w:tabs>
          <w:tab w:leader="none" w:pos="1304" w:val="left"/>
        </w:tabs>
        <w:numPr>
          <w:ilvl w:val="1"/>
          <w:numId w:val="184"/>
        </w:numPr>
        <w:rPr>
          <w:rFonts w:ascii="Arial" w:cs="Arial" w:eastAsia="Arial" w:hAnsi="Arial"/>
          <w:sz w:val="17"/>
          <w:szCs w:val="17"/>
          <w:color w:val="auto"/>
        </w:rPr>
      </w:pPr>
      <w:r>
        <w:rPr>
          <w:rFonts w:ascii="Arial" w:cs="Arial" w:eastAsia="Arial" w:hAnsi="Arial"/>
          <w:sz w:val="17"/>
          <w:szCs w:val="17"/>
          <w:i w:val="1"/>
          <w:iCs w:val="1"/>
          <w:color w:val="auto"/>
        </w:rPr>
        <w:t>Withholding Tax imposed on payments to non-US counterparties under the United States Foreign Account Tax Compliance provisions of the HIRE Act</w:t>
      </w:r>
      <w:r>
        <w:rPr>
          <w:rFonts w:ascii="Arial" w:cs="Arial" w:eastAsia="Arial" w:hAnsi="Arial"/>
          <w:sz w:val="17"/>
          <w:szCs w:val="17"/>
          <w:color w:val="auto"/>
        </w:rPr>
        <w:t>. The parties hereto agree that for the Transaction the terms “Tax” and “Indemnifiable Tax” as defined in</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14 of the Agreement, shall not include any Tax imposed pursuant to Section 1471 or 1472 of the Code, as amended,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Arial" w:cs="Arial" w:eastAsia="Arial" w:hAnsi="Arial"/>
          <w:sz w:val="17"/>
          <w:szCs w:val="17"/>
          <w:b w:val="1"/>
          <w:bCs w:val="1"/>
          <w:color w:val="auto"/>
        </w:rPr>
        <w:t>FATCA Withholding Tax</w:t>
      </w:r>
      <w:r>
        <w:rPr>
          <w:rFonts w:ascii="Arial" w:cs="Arial" w:eastAsia="Arial" w:hAnsi="Arial"/>
          <w:sz w:val="17"/>
          <w:szCs w:val="17"/>
          <w:color w:val="auto"/>
        </w:rPr>
        <w:t>”). For the avoidance of doubt, a FATCA Withholding Tax is a Tax the deduction or withholding of which is required by applicable law for the purposes of Section 2(d) of the Agreement.</w:t>
      </w:r>
    </w:p>
    <w:p>
      <w:pPr>
        <w:spacing w:after="0" w:line="138" w:lineRule="exact"/>
        <w:rPr>
          <w:rFonts w:ascii="Arial" w:cs="Arial" w:eastAsia="Arial" w:hAnsi="Arial"/>
          <w:sz w:val="17"/>
          <w:szCs w:val="17"/>
          <w:color w:val="auto"/>
        </w:rPr>
      </w:pPr>
    </w:p>
    <w:p>
      <w:pPr>
        <w:jc w:val="both"/>
        <w:ind w:left="1304" w:hanging="655"/>
        <w:spacing w:after="0" w:line="273" w:lineRule="auto"/>
        <w:tabs>
          <w:tab w:leader="none" w:pos="1304" w:val="left"/>
        </w:tabs>
        <w:numPr>
          <w:ilvl w:val="1"/>
          <w:numId w:val="184"/>
        </w:numPr>
        <w:rPr>
          <w:rFonts w:ascii="Arial" w:cs="Arial" w:eastAsia="Arial" w:hAnsi="Arial"/>
          <w:sz w:val="17"/>
          <w:szCs w:val="17"/>
          <w:color w:val="auto"/>
        </w:rPr>
      </w:pPr>
      <w:r>
        <w:rPr>
          <w:rFonts w:ascii="Arial" w:cs="Arial" w:eastAsia="Arial" w:hAnsi="Arial"/>
          <w:sz w:val="17"/>
          <w:szCs w:val="17"/>
          <w:i w:val="1"/>
          <w:iCs w:val="1"/>
          <w:color w:val="auto"/>
        </w:rPr>
        <w:t>Tax Documentation</w:t>
      </w:r>
      <w:r>
        <w:rPr>
          <w:rFonts w:ascii="Arial" w:cs="Arial" w:eastAsia="Arial" w:hAnsi="Arial"/>
          <w:sz w:val="17"/>
          <w:szCs w:val="17"/>
          <w:color w:val="auto"/>
        </w:rPr>
        <w:t>. For purposes of Sections 4(a)(i) and (ii) of the Agreement, (i) Counterparty agrees to deliver to Dealer one</w:t>
      </w:r>
      <w:r>
        <w:rPr>
          <w:rFonts w:ascii="Arial" w:cs="Arial" w:eastAsia="Arial" w:hAnsi="Arial"/>
          <w:sz w:val="17"/>
          <w:szCs w:val="17"/>
          <w:i w:val="1"/>
          <w:iCs w:val="1"/>
          <w:color w:val="auto"/>
        </w:rPr>
        <w:t xml:space="preserve"> </w:t>
      </w:r>
      <w:r>
        <w:rPr>
          <w:rFonts w:ascii="Arial" w:cs="Arial" w:eastAsia="Arial" w:hAnsi="Arial"/>
          <w:sz w:val="17"/>
          <w:szCs w:val="17"/>
          <w:color w:val="auto"/>
        </w:rPr>
        <w:t>duly executed and completed United States Internal Revenue Service Form W-9 (or successor thereto) and (ii) Dealer agrees to deliver to Counterparty one duly executed and completed applicable Internal Revenue Service Form W-9 (or successor thereto), in each case, (A) or before the date of execution of this Confirmation and (B) promptly upon learning that any such tax form previously provided by it has become obsolete or incorrect. Additionally, each party shall, promptly upon request by the other party, provide such other tax forms and documents reasonably requested by the other party.</w:t>
      </w:r>
    </w:p>
    <w:p>
      <w:pPr>
        <w:spacing w:after="0" w:line="137" w:lineRule="exact"/>
        <w:rPr>
          <w:rFonts w:ascii="Arial" w:cs="Arial" w:eastAsia="Arial" w:hAnsi="Arial"/>
          <w:sz w:val="17"/>
          <w:szCs w:val="17"/>
          <w:color w:val="auto"/>
        </w:rPr>
      </w:pPr>
    </w:p>
    <w:p>
      <w:pPr>
        <w:jc w:val="both"/>
        <w:ind w:left="1304" w:hanging="655"/>
        <w:spacing w:after="0" w:line="293" w:lineRule="auto"/>
        <w:tabs>
          <w:tab w:leader="none" w:pos="1304" w:val="left"/>
        </w:tabs>
        <w:numPr>
          <w:ilvl w:val="1"/>
          <w:numId w:val="184"/>
        </w:numPr>
        <w:rPr>
          <w:rFonts w:ascii="Arial" w:cs="Arial" w:eastAsia="Arial" w:hAnsi="Arial"/>
          <w:sz w:val="16"/>
          <w:szCs w:val="16"/>
          <w:color w:val="auto"/>
        </w:rPr>
      </w:pPr>
      <w:r>
        <w:rPr>
          <w:rFonts w:ascii="Arial" w:cs="Arial" w:eastAsia="Arial" w:hAnsi="Arial"/>
          <w:sz w:val="16"/>
          <w:szCs w:val="16"/>
          <w:i w:val="1"/>
          <w:iCs w:val="1"/>
          <w:color w:val="auto"/>
        </w:rPr>
        <w:t>Payee Tax Representations</w:t>
      </w:r>
      <w:r>
        <w:rPr>
          <w:rFonts w:ascii="Arial" w:cs="Arial" w:eastAsia="Arial" w:hAnsi="Arial"/>
          <w:sz w:val="16"/>
          <w:szCs w:val="16"/>
          <w:color w:val="auto"/>
        </w:rPr>
        <w:t>. Counterparty is a corporation for U.S. federal income tax purposes and is organized under the laws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State of Delaware. Counterparty is a “U.S. person” (as that term is used in section 1.1441-4(a)(3)(ii) of United States Treasury Regulations) for U.S. federal income tax purposes and an exempt recipient under Treasury Regulation Section 1.6049-4(c)(1)(ii). [</w:t>
      </w:r>
      <w:r>
        <w:rPr>
          <w:rFonts w:ascii="Arial" w:cs="Arial" w:eastAsia="Arial" w:hAnsi="Arial"/>
          <w:sz w:val="16"/>
          <w:szCs w:val="16"/>
          <w:i w:val="1"/>
          <w:iCs w:val="1"/>
          <w:color w:val="auto"/>
        </w:rPr>
        <w:t>Insert Dealer tax representation</w:t>
      </w:r>
      <w:r>
        <w:rPr>
          <w:rFonts w:ascii="Arial" w:cs="Arial" w:eastAsia="Arial" w:hAnsi="Arial"/>
          <w:sz w:val="16"/>
          <w:szCs w:val="16"/>
          <w:color w:val="auto"/>
        </w:rPr>
        <w:t>]. Dealer is a “U.S. person” (as that term is used in section 1.1441-4(a)(3)(ii) of United States Treasury Regulations) for U.S. federal income tax purposes. Each party agrees to give notice of any failure of a representation made by it under this Section 9(aa)(iii) to be accurate and true promptly upon learning of such failure.</w:t>
      </w:r>
    </w:p>
    <w:p>
      <w:pPr>
        <w:spacing w:after="0" w:line="124" w:lineRule="exact"/>
        <w:rPr>
          <w:rFonts w:ascii="Arial" w:cs="Arial" w:eastAsia="Arial" w:hAnsi="Arial"/>
          <w:sz w:val="16"/>
          <w:szCs w:val="16"/>
          <w:color w:val="auto"/>
        </w:rPr>
      </w:pPr>
    </w:p>
    <w:p>
      <w:pPr>
        <w:jc w:val="both"/>
        <w:ind w:left="644" w:hanging="644"/>
        <w:spacing w:after="0" w:line="276" w:lineRule="auto"/>
        <w:tabs>
          <w:tab w:leader="none" w:pos="644" w:val="left"/>
        </w:tabs>
        <w:numPr>
          <w:ilvl w:val="0"/>
          <w:numId w:val="184"/>
        </w:numPr>
        <w:rPr>
          <w:rFonts w:ascii="Arial" w:cs="Arial" w:eastAsia="Arial" w:hAnsi="Arial"/>
          <w:sz w:val="17"/>
          <w:szCs w:val="17"/>
          <w:color w:val="auto"/>
        </w:rPr>
      </w:pPr>
      <w:r>
        <w:rPr>
          <w:rFonts w:ascii="Arial" w:cs="Arial" w:eastAsia="Arial" w:hAnsi="Arial"/>
          <w:sz w:val="17"/>
          <w:szCs w:val="17"/>
          <w:i w:val="1"/>
          <w:iCs w:val="1"/>
          <w:u w:val="single" w:color="auto"/>
          <w:color w:val="auto"/>
        </w:rPr>
        <w:t>Payment by Counterparty</w:t>
      </w:r>
      <w:r>
        <w:rPr>
          <w:rFonts w:ascii="Arial" w:cs="Arial" w:eastAsia="Arial" w:hAnsi="Arial"/>
          <w:sz w:val="17"/>
          <w:szCs w:val="17"/>
          <w:color w:val="auto"/>
        </w:rPr>
        <w:t>. In the event that, following payment of the Premium, (i) an Early Termination Date occurs or is designated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the Transaction as a result of a 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p>
      <w:pPr>
        <w:spacing w:after="0" w:line="200" w:lineRule="exact"/>
        <w:rPr>
          <w:sz w:val="20"/>
          <w:szCs w:val="20"/>
          <w:color w:val="auto"/>
        </w:rPr>
      </w:pPr>
    </w:p>
    <w:p>
      <w:pPr>
        <w:spacing w:after="0" w:line="229"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64"/>
          </w:cols>
          <w:pgMar w:left="896" w:top="797" w:right="239" w:bottom="1440" w:gutter="0" w:footer="0" w:header="0"/>
        </w:sectPr>
      </w:pPr>
    </w:p>
    <w:bookmarkStart w:id="210" w:name="page211"/>
    <w:bookmarkEnd w:id="210"/>
    <w:p>
      <w:pPr>
        <w:ind w:left="660"/>
        <w:spacing w:after="0"/>
        <w:rPr>
          <w:sz w:val="20"/>
          <w:szCs w:val="20"/>
          <w:color w:val="auto"/>
        </w:rPr>
      </w:pPr>
      <w:r>
        <w:rPr>
          <w:rFonts w:ascii="Arial" w:cs="Arial" w:eastAsia="Arial" w:hAnsi="Arial"/>
          <w:sz w:val="16"/>
          <w:szCs w:val="16"/>
          <w:color w:val="auto"/>
        </w:rPr>
        <w:t xml:space="preserve">Please </w:t>
      </w:r>
      <w:r>
        <w:rPr>
          <w:rFonts w:ascii="Arial" w:cs="Arial" w:eastAsia="Arial" w:hAnsi="Arial"/>
          <w:sz w:val="15"/>
          <w:szCs w:val="15"/>
          <w:color w:val="auto"/>
        </w:rPr>
        <w:t>confirm that the foregoing correctly sets forth the terms of our agreement by executing this Confirmation and returning it to</w:t>
      </w:r>
      <w:r>
        <w:rPr>
          <w:rFonts w:ascii="Arial" w:cs="Arial" w:eastAsia="Arial" w:hAnsi="Arial"/>
          <w:sz w:val="16"/>
          <w:szCs w:val="16"/>
          <w:color w:val="auto"/>
        </w:rPr>
        <w:t xml:space="preserve"> Dealer.</w:t>
      </w:r>
    </w:p>
    <w:p>
      <w:pPr>
        <w:spacing w:after="0" w:line="20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318"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[Dealer]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31750</wp:posOffset>
            </wp:positionV>
            <wp:extent cx="16205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43" w:lineRule="exact"/>
        <w:rPr>
          <w:sz w:val="20"/>
          <w:szCs w:val="20"/>
          <w:color w:val="auto"/>
        </w:rPr>
      </w:pPr>
    </w:p>
    <w:p>
      <w:pPr>
        <w:ind w:left="8580"/>
        <w:spacing w:after="0"/>
        <w:rPr>
          <w:sz w:val="20"/>
          <w:szCs w:val="20"/>
          <w:color w:val="auto"/>
        </w:rPr>
      </w:pPr>
      <w:r>
        <w:rPr>
          <w:rFonts w:ascii="Arial" w:cs="Arial" w:eastAsia="Arial" w:hAnsi="Arial"/>
          <w:sz w:val="17"/>
          <w:szCs w:val="17"/>
          <w:color w:val="auto"/>
        </w:rPr>
        <w:t>Authorized Signatory</w:t>
      </w:r>
    </w:p>
    <w:p>
      <w:pPr>
        <w:spacing w:after="0" w:line="75"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Accepted and confirmed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Trade Date:</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31750</wp:posOffset>
            </wp:positionV>
            <wp:extent cx="26930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Authorized Signatory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329" w:lineRule="exact"/>
        <w:rPr>
          <w:sz w:val="20"/>
          <w:szCs w:val="20"/>
          <w:color w:val="auto"/>
        </w:rPr>
      </w:pPr>
    </w:p>
    <w:p>
      <w:pPr>
        <w:ind w:left="3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the [Base][Additional] Call Option Transaction</w:t>
      </w:r>
      <w:r>
        <w:rPr>
          <w:rFonts w:ascii="Arial" w:cs="Arial" w:eastAsia="Arial" w:hAnsi="Arial"/>
          <w:sz w:val="14"/>
          <w:szCs w:val="14"/>
          <w:color w:val="auto"/>
        </w:rPr>
        <w:t>]</w:t>
      </w:r>
    </w:p>
    <w:p>
      <w:pPr>
        <w:sectPr>
          <w:pgSz w:w="11900" w:h="16838" w:orient="portrait"/>
          <w:cols w:equalWidth="0" w:num="1">
            <w:col w:w="10219"/>
          </w:cols>
          <w:pgMar w:left="240" w:top="801" w:right="1440"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10.2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[Dealer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[Dealer Address]</w:t>
      </w:r>
    </w:p>
    <w:p>
      <w:pPr>
        <w:spacing w:after="0" w:line="15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[__________], 20[__]</w:t>
      </w:r>
    </w:p>
    <w:p>
      <w:pPr>
        <w:sectPr>
          <w:pgSz w:w="11900" w:h="16838" w:orient="portrait"/>
          <w:cols w:equalWidth="0" w:num="1">
            <w:col w:w="11420"/>
          </w:cols>
          <w:pgMar w:left="240" w:top="121" w:right="23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Marriott Vacations Worldwide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6649 Westwood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Orlando, FL 32821</w:t>
      </w:r>
    </w:p>
    <w:p>
      <w:pPr>
        <w:spacing w:after="0" w:line="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[____________]</w:t>
      </w:r>
    </w:p>
    <w:p>
      <w:pPr>
        <w:spacing w:after="0" w:line="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Telephone No.:</w:t>
      </w:r>
      <w:r>
        <w:rPr>
          <w:sz w:val="20"/>
          <w:szCs w:val="20"/>
          <w:color w:val="auto"/>
        </w:rPr>
        <w:tab/>
      </w:r>
      <w:r>
        <w:rPr>
          <w:rFonts w:ascii="Arial" w:cs="Arial" w:eastAsia="Arial" w:hAnsi="Arial"/>
          <w:sz w:val="16"/>
          <w:szCs w:val="16"/>
          <w:color w:val="auto"/>
        </w:rPr>
        <w:t>[____________]</w:t>
      </w:r>
    </w:p>
    <w:p>
      <w:pPr>
        <w:spacing w:after="0" w:line="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Facsimile No.:</w:t>
      </w:r>
      <w:r>
        <w:rPr>
          <w:sz w:val="20"/>
          <w:szCs w:val="20"/>
          <w:color w:val="auto"/>
        </w:rPr>
        <w:tab/>
      </w:r>
      <w:r>
        <w:rPr>
          <w:rFonts w:ascii="Arial" w:cs="Arial" w:eastAsia="Arial" w:hAnsi="Arial"/>
          <w:sz w:val="16"/>
          <w:szCs w:val="16"/>
          <w:color w:val="auto"/>
        </w:rPr>
        <w:t>[____________]</w:t>
      </w:r>
    </w:p>
    <w:p>
      <w:pPr>
        <w:spacing w:after="0" w:line="200" w:lineRule="exact"/>
        <w:rPr>
          <w:sz w:val="20"/>
          <w:szCs w:val="20"/>
          <w:color w:val="auto"/>
        </w:rPr>
      </w:pPr>
    </w:p>
    <w:p>
      <w:pPr>
        <w:sectPr>
          <w:pgSz w:w="11900" w:h="16838" w:orient="portrait"/>
          <w:cols w:equalWidth="0" w:num="2">
            <w:col w:w="240" w:space="420"/>
            <w:col w:w="10760"/>
          </w:cols>
          <w:pgMar w:left="240" w:top="121" w:right="239" w:bottom="1440" w:gutter="0" w:footer="0" w:header="0"/>
          <w:type w:val="continuous"/>
        </w:sect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[Base][Additional] Warrants</w:t>
      </w:r>
    </w:p>
    <w:p>
      <w:pPr>
        <w:spacing w:after="0" w:line="200" w:lineRule="exact"/>
        <w:rPr>
          <w:sz w:val="20"/>
          <w:szCs w:val="20"/>
          <w:color w:val="auto"/>
        </w:rPr>
      </w:pPr>
    </w:p>
    <w:p>
      <w:pPr>
        <w:sectPr>
          <w:pgSz w:w="11900" w:h="16838" w:orient="portrait"/>
          <w:cols w:equalWidth="0" w:num="2">
            <w:col w:w="260" w:space="400"/>
            <w:col w:w="10760"/>
          </w:cols>
          <w:pgMar w:left="240" w:top="121" w:right="239" w:bottom="1440" w:gutter="0" w:footer="0" w:header="0"/>
          <w:type w:val="continuous"/>
        </w:sectPr>
      </w:pPr>
    </w:p>
    <w:p>
      <w:pPr>
        <w:spacing w:after="0" w:line="2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The purpose of this letter agreement (this “</w:t>
      </w:r>
      <w:r>
        <w:rPr>
          <w:rFonts w:ascii="Arial" w:cs="Arial" w:eastAsia="Arial" w:hAnsi="Arial"/>
          <w:sz w:val="17"/>
          <w:szCs w:val="17"/>
          <w:b w:val="1"/>
          <w:bCs w:val="1"/>
          <w:color w:val="auto"/>
        </w:rPr>
        <w:t>Confirmation</w:t>
      </w:r>
      <w:r>
        <w:rPr>
          <w:rFonts w:ascii="Arial" w:cs="Arial" w:eastAsia="Arial" w:hAnsi="Arial"/>
          <w:sz w:val="17"/>
          <w:szCs w:val="17"/>
          <w:color w:val="auto"/>
        </w:rPr>
        <w:t>”) is to confirm the terms and conditions of the Warrants issued by Marriott Vacations Worldwide Corporation (“</w:t>
      </w:r>
      <w:r>
        <w:rPr>
          <w:rFonts w:ascii="Arial" w:cs="Arial" w:eastAsia="Arial" w:hAnsi="Arial"/>
          <w:sz w:val="17"/>
          <w:szCs w:val="17"/>
          <w:b w:val="1"/>
          <w:bCs w:val="1"/>
          <w:color w:val="auto"/>
        </w:rPr>
        <w:t>Company</w:t>
      </w:r>
      <w:r>
        <w:rPr>
          <w:rFonts w:ascii="Arial" w:cs="Arial" w:eastAsia="Arial" w:hAnsi="Arial"/>
          <w:sz w:val="17"/>
          <w:szCs w:val="17"/>
          <w:color w:val="auto"/>
        </w:rPr>
        <w:t>”) to [Dealer] (“</w:t>
      </w:r>
      <w:r>
        <w:rPr>
          <w:rFonts w:ascii="Arial" w:cs="Arial" w:eastAsia="Arial" w:hAnsi="Arial"/>
          <w:sz w:val="17"/>
          <w:szCs w:val="17"/>
          <w:b w:val="1"/>
          <w:bCs w:val="1"/>
          <w:color w:val="auto"/>
        </w:rPr>
        <w:t>Dealer</w:t>
      </w:r>
      <w:r>
        <w:rPr>
          <w:rFonts w:ascii="Arial" w:cs="Arial" w:eastAsia="Arial" w:hAnsi="Arial"/>
          <w:sz w:val="17"/>
          <w:szCs w:val="17"/>
          <w:color w:val="auto"/>
        </w:rPr>
        <w:t>”) as of the Trade Date specified below (the “</w:t>
      </w:r>
      <w:r>
        <w:rPr>
          <w:rFonts w:ascii="Arial" w:cs="Arial" w:eastAsia="Arial" w:hAnsi="Arial"/>
          <w:sz w:val="17"/>
          <w:szCs w:val="17"/>
          <w:b w:val="1"/>
          <w:bCs w:val="1"/>
          <w:color w:val="auto"/>
        </w:rPr>
        <w:t>Transaction</w:t>
      </w:r>
      <w:r>
        <w:rPr>
          <w:rFonts w:ascii="Arial" w:cs="Arial" w:eastAsia="Arial" w:hAnsi="Arial"/>
          <w:sz w:val="17"/>
          <w:szCs w:val="17"/>
          <w:color w:val="auto"/>
        </w:rPr>
        <w:t>”). This letter agreement constitutes a “Confirmation” as referred to in the ISDA Master Agreement specified below. Each party further agrees that this Confirmation together with the Agreement evidence a complete binding agreement between Company and Dealer as to the subject matter and terms of the Transaction to which this Confirmation relates, and shall supersede all prior or contemporaneous written or oral communications with respect thereto.</w:t>
      </w:r>
    </w:p>
    <w:p>
      <w:pPr>
        <w:spacing w:after="0" w:line="12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The definitions and provisions contained in the 2002 ISDA Equity Derivatives Definitions (the “</w:t>
      </w:r>
      <w:r>
        <w:rPr>
          <w:rFonts w:ascii="Arial" w:cs="Arial" w:eastAsia="Arial" w:hAnsi="Arial"/>
          <w:sz w:val="18"/>
          <w:szCs w:val="18"/>
          <w:b w:val="1"/>
          <w:bCs w:val="1"/>
          <w:color w:val="auto"/>
        </w:rPr>
        <w:t>Equity Definitions</w:t>
      </w:r>
      <w:r>
        <w:rPr>
          <w:rFonts w:ascii="Arial" w:cs="Arial" w:eastAsia="Arial" w:hAnsi="Arial"/>
          <w:sz w:val="18"/>
          <w:szCs w:val="18"/>
          <w:color w:val="auto"/>
        </w:rPr>
        <w:t>”), as published by the International Swaps and Derivatives Association, Inc. (“</w:t>
      </w:r>
      <w:r>
        <w:rPr>
          <w:rFonts w:ascii="Arial" w:cs="Arial" w:eastAsia="Arial" w:hAnsi="Arial"/>
          <w:sz w:val="18"/>
          <w:szCs w:val="18"/>
          <w:b w:val="1"/>
          <w:bCs w:val="1"/>
          <w:color w:val="auto"/>
        </w:rPr>
        <w:t>ISDA</w:t>
      </w:r>
      <w:r>
        <w:rPr>
          <w:rFonts w:ascii="Arial" w:cs="Arial" w:eastAsia="Arial" w:hAnsi="Arial"/>
          <w:sz w:val="18"/>
          <w:szCs w:val="18"/>
          <w:color w:val="auto"/>
        </w:rPr>
        <w:t>”), are incorporated into this Confirmation. In the event of any inconsistency between the Equity Definitions and this Confirmation, this Confirmation shall govern.</w:t>
      </w:r>
    </w:p>
    <w:p>
      <w:pPr>
        <w:spacing w:after="0" w:line="14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68" w:lineRule="exact"/>
        <w:rPr>
          <w:sz w:val="20"/>
          <w:szCs w:val="20"/>
          <w:color w:val="auto"/>
        </w:rPr>
      </w:pPr>
    </w:p>
    <w:p>
      <w:pPr>
        <w:jc w:val="both"/>
        <w:ind w:firstLine="8"/>
        <w:spacing w:after="0" w:line="301" w:lineRule="auto"/>
        <w:tabs>
          <w:tab w:leader="none" w:pos="78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This Confirmation evidences a complete and binding agreement between Dealer and Company as to the terms of the Transaction to which this Confirmation relates. This Confirmation shall supplement, form a part of, and be subject to an agreement in the form of the ISDA 2002 Master Agreement (the “</w:t>
      </w:r>
      <w:r>
        <w:rPr>
          <w:rFonts w:ascii="Arial" w:cs="Arial" w:eastAsia="Arial" w:hAnsi="Arial"/>
          <w:sz w:val="18"/>
          <w:szCs w:val="18"/>
          <w:b w:val="1"/>
          <w:bCs w:val="1"/>
          <w:color w:val="auto"/>
        </w:rPr>
        <w:t>Agreement</w:t>
      </w:r>
      <w:r>
        <w:rPr>
          <w:rFonts w:ascii="Arial" w:cs="Arial" w:eastAsia="Arial" w:hAnsi="Arial"/>
          <w:sz w:val="18"/>
          <w:szCs w:val="18"/>
          <w:color w:val="auto"/>
        </w:rPr>
        <w:t>”) as if Dealer and Company had executed an agreement in such form (but without any Schedule except for the election of the laws of the State of New York as the governing law (without reference to choice of law doctrine)) on the Trade Date.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 and that the Transaction shall be deemed not to be a Transaction under, or otherwise be governed by, any other existing or deemed ISDA Master Agreement between the parties hereto.</w:t>
      </w:r>
    </w:p>
    <w:p>
      <w:pPr>
        <w:spacing w:after="0" w:line="12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2</w:t>
      </w:r>
      <w:r>
        <w:rPr>
          <w:rFonts w:ascii="Arial" w:cs="Arial" w:eastAsia="Arial" w:hAnsi="Arial"/>
          <w:sz w:val="18"/>
          <w:szCs w:val="18"/>
          <w:b w:val="1"/>
          <w:bCs w:val="1"/>
          <w:color w:val="auto"/>
        </w:rPr>
        <w:t>.</w:t>
      </w:r>
      <w:r>
        <w:rPr>
          <w:rFonts w:ascii="Arial" w:cs="Arial" w:eastAsia="Arial" w:hAnsi="Arial"/>
          <w:sz w:val="18"/>
          <w:szCs w:val="18"/>
          <w:color w:val="auto"/>
        </w:rPr>
        <w:t xml:space="preserve"> The Transaction is a Warrant Transaction, which shall be considered a Share Option Transaction for purposes of the Equity Definitions. The terms of the particular Transaction to which this Confirmation relates are as follows:</w:t>
      </w:r>
    </w:p>
    <w:p>
      <w:pPr>
        <w:spacing w:after="0" w:line="10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480" w:type="dxa"/>
            <w:vAlign w:val="bottom"/>
            <w:gridSpan w:val="2"/>
          </w:tcPr>
          <w:p>
            <w:pPr>
              <w:spacing w:after="0"/>
              <w:rPr>
                <w:sz w:val="20"/>
                <w:szCs w:val="20"/>
                <w:color w:val="auto"/>
              </w:rPr>
            </w:pPr>
            <w:r>
              <w:rPr>
                <w:rFonts w:ascii="Arial" w:cs="Arial" w:eastAsia="Arial" w:hAnsi="Arial"/>
                <w:sz w:val="18"/>
                <w:szCs w:val="18"/>
                <w:i w:val="1"/>
                <w:iCs w:val="1"/>
                <w:color w:val="auto"/>
              </w:rPr>
              <w:t>General Terms.</w:t>
            </w:r>
          </w:p>
        </w:tc>
        <w:tc>
          <w:tcPr>
            <w:tcW w:w="8280" w:type="dxa"/>
            <w:vAlign w:val="bottom"/>
          </w:tcPr>
          <w:p>
            <w:pPr>
              <w:spacing w:after="0"/>
              <w:rPr>
                <w:sz w:val="18"/>
                <w:szCs w:val="18"/>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412"/>
        </w:trPr>
        <w:tc>
          <w:tcPr>
            <w:tcW w:w="2480" w:type="dxa"/>
            <w:vAlign w:val="bottom"/>
            <w:gridSpan w:val="2"/>
          </w:tcPr>
          <w:p>
            <w:pPr>
              <w:ind w:left="320"/>
              <w:spacing w:after="0"/>
              <w:rPr>
                <w:sz w:val="20"/>
                <w:szCs w:val="20"/>
                <w:color w:val="auto"/>
              </w:rPr>
            </w:pPr>
            <w:r>
              <w:rPr>
                <w:rFonts w:ascii="Arial" w:cs="Arial" w:eastAsia="Arial" w:hAnsi="Arial"/>
                <w:sz w:val="18"/>
                <w:szCs w:val="18"/>
                <w:color w:val="auto"/>
              </w:rPr>
              <w:t>Trade Date:</w:t>
            </w:r>
          </w:p>
        </w:tc>
        <w:tc>
          <w:tcPr>
            <w:tcW w:w="8280" w:type="dxa"/>
            <w:vAlign w:val="bottom"/>
          </w:tcPr>
          <w:p>
            <w:pPr>
              <w:ind w:left="1080"/>
              <w:spacing w:after="0"/>
              <w:rPr>
                <w:sz w:val="20"/>
                <w:szCs w:val="20"/>
                <w:color w:val="auto"/>
              </w:rPr>
            </w:pPr>
            <w:r>
              <w:rPr>
                <w:rFonts w:ascii="Arial" w:cs="Arial" w:eastAsia="Arial" w:hAnsi="Arial"/>
                <w:sz w:val="18"/>
                <w:szCs w:val="18"/>
                <w:color w:val="auto"/>
              </w:rPr>
              <w:t>[__________], 20[__]</w:t>
            </w:r>
          </w:p>
        </w:tc>
      </w:tr>
      <w:tr>
        <w:trPr>
          <w:trHeight w:val="392"/>
        </w:trPr>
        <w:tc>
          <w:tcPr>
            <w:tcW w:w="2480" w:type="dxa"/>
            <w:vAlign w:val="bottom"/>
            <w:gridSpan w:val="2"/>
          </w:tcPr>
          <w:p>
            <w:pPr>
              <w:ind w:left="320"/>
              <w:spacing w:after="0"/>
              <w:rPr>
                <w:sz w:val="20"/>
                <w:szCs w:val="20"/>
                <w:color w:val="auto"/>
              </w:rPr>
            </w:pPr>
            <w:r>
              <w:rPr>
                <w:rFonts w:ascii="Arial" w:cs="Arial" w:eastAsia="Arial" w:hAnsi="Arial"/>
                <w:sz w:val="18"/>
                <w:szCs w:val="18"/>
                <w:color w:val="auto"/>
              </w:rPr>
              <w:t>Effective Date:</w:t>
            </w:r>
          </w:p>
        </w:tc>
        <w:tc>
          <w:tcPr>
            <w:tcW w:w="8280" w:type="dxa"/>
            <w:vAlign w:val="bottom"/>
          </w:tcPr>
          <w:p>
            <w:pPr>
              <w:ind w:left="1080"/>
              <w:spacing w:after="0"/>
              <w:rPr>
                <w:sz w:val="20"/>
                <w:szCs w:val="20"/>
                <w:color w:val="auto"/>
              </w:rPr>
            </w:pPr>
            <w:r>
              <w:rPr>
                <w:rFonts w:ascii="Arial" w:cs="Arial" w:eastAsia="Arial" w:hAnsi="Arial"/>
                <w:sz w:val="18"/>
                <w:szCs w:val="18"/>
                <w:color w:val="auto"/>
              </w:rPr>
              <w:t>The second Exchange Business Day immediately prior to the Premium Payment Date</w:t>
            </w:r>
          </w:p>
        </w:tc>
      </w:tr>
      <w:tr>
        <w:trPr>
          <w:trHeight w:val="377"/>
        </w:trPr>
        <w:tc>
          <w:tcPr>
            <w:tcW w:w="2480" w:type="dxa"/>
            <w:vAlign w:val="bottom"/>
            <w:gridSpan w:val="2"/>
          </w:tcPr>
          <w:p>
            <w:pPr>
              <w:ind w:left="320"/>
              <w:spacing w:after="0"/>
              <w:rPr>
                <w:sz w:val="20"/>
                <w:szCs w:val="20"/>
                <w:color w:val="auto"/>
              </w:rPr>
            </w:pPr>
            <w:r>
              <w:rPr>
                <w:rFonts w:ascii="Arial" w:cs="Arial" w:eastAsia="Arial" w:hAnsi="Arial"/>
                <w:sz w:val="18"/>
                <w:szCs w:val="18"/>
                <w:color w:val="auto"/>
              </w:rPr>
              <w:t>Warrants:</w:t>
            </w:r>
          </w:p>
        </w:tc>
        <w:tc>
          <w:tcPr>
            <w:tcW w:w="8280" w:type="dxa"/>
            <w:vAlign w:val="bottom"/>
          </w:tcPr>
          <w:p>
            <w:pPr>
              <w:ind w:left="1080"/>
              <w:spacing w:after="0"/>
              <w:rPr>
                <w:sz w:val="20"/>
                <w:szCs w:val="20"/>
                <w:color w:val="auto"/>
              </w:rPr>
            </w:pPr>
            <w:r>
              <w:rPr>
                <w:rFonts w:ascii="Arial" w:cs="Arial" w:eastAsia="Arial" w:hAnsi="Arial"/>
                <w:sz w:val="18"/>
                <w:szCs w:val="18"/>
                <w:color w:val="auto"/>
                <w:w w:val="92"/>
              </w:rPr>
              <w:t>Equity call warrants, each giving the holder the right to purchase a number of Shares equal to the</w:t>
            </w:r>
          </w:p>
        </w:tc>
      </w:tr>
      <w:tr>
        <w:trPr>
          <w:trHeight w:val="216"/>
        </w:trPr>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80" w:type="dxa"/>
            <w:vAlign w:val="bottom"/>
          </w:tcPr>
          <w:p>
            <w:pPr>
              <w:ind w:left="1080"/>
              <w:spacing w:after="0"/>
              <w:rPr>
                <w:sz w:val="20"/>
                <w:szCs w:val="20"/>
                <w:color w:val="auto"/>
              </w:rPr>
            </w:pPr>
            <w:r>
              <w:rPr>
                <w:rFonts w:ascii="Arial" w:cs="Arial" w:eastAsia="Arial" w:hAnsi="Arial"/>
                <w:sz w:val="18"/>
                <w:szCs w:val="18"/>
                <w:color w:val="auto"/>
                <w:w w:val="95"/>
              </w:rPr>
              <w:t>Warrant Entitlement at a price per Share equal to the Strike Price, subject to the terms set forth</w:t>
            </w:r>
          </w:p>
        </w:tc>
      </w:tr>
      <w:tr>
        <w:trPr>
          <w:trHeight w:val="230"/>
        </w:trPr>
        <w:tc>
          <w:tcPr>
            <w:tcW w:w="10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80" w:type="dxa"/>
            <w:vAlign w:val="bottom"/>
          </w:tcPr>
          <w:p>
            <w:pPr>
              <w:ind w:left="1080"/>
              <w:spacing w:after="0"/>
              <w:rPr>
                <w:sz w:val="20"/>
                <w:szCs w:val="20"/>
                <w:color w:val="auto"/>
              </w:rPr>
            </w:pPr>
            <w:r>
              <w:rPr>
                <w:rFonts w:ascii="Arial" w:cs="Arial" w:eastAsia="Arial" w:hAnsi="Arial"/>
                <w:sz w:val="18"/>
                <w:szCs w:val="18"/>
                <w:color w:val="auto"/>
              </w:rPr>
              <w:t>under the caption “Settlement</w:t>
            </w:r>
          </w:p>
        </w:tc>
      </w:tr>
    </w:tbl>
    <w:p>
      <w:pPr>
        <w:sectPr>
          <w:pgSz w:w="11900" w:h="16838" w:orient="portrait"/>
          <w:cols w:equalWidth="0" w:num="1">
            <w:col w:w="11420"/>
          </w:cols>
          <w:pgMar w:left="240" w:top="121" w:right="239" w:bottom="1440" w:gutter="0" w:footer="0" w:header="0"/>
          <w:type w:val="continuous"/>
        </w:sectPr>
      </w:pPr>
    </w:p>
    <w:bookmarkStart w:id="212" w:name="page213"/>
    <w:bookmarkEnd w:id="2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940" w:type="dxa"/>
            <w:vAlign w:val="bottom"/>
          </w:tcPr>
          <w:p>
            <w:pPr>
              <w:ind w:left="740"/>
              <w:spacing w:after="0"/>
              <w:rPr>
                <w:sz w:val="20"/>
                <w:szCs w:val="20"/>
                <w:color w:val="auto"/>
              </w:rPr>
            </w:pPr>
            <w:r>
              <w:rPr>
                <w:rFonts w:ascii="Arial" w:cs="Arial" w:eastAsia="Arial" w:hAnsi="Arial"/>
                <w:sz w:val="18"/>
                <w:szCs w:val="18"/>
                <w:color w:val="auto"/>
                <w:w w:val="92"/>
              </w:rPr>
              <w:t>Terms” below. For the purposes of the Equity Definitions, each reference to a Warrant herein shall</w:t>
            </w:r>
          </w:p>
        </w:tc>
      </w:tr>
      <w:tr>
        <w:trPr>
          <w:trHeight w:val="230"/>
        </w:trPr>
        <w:tc>
          <w:tcPr>
            <w:tcW w:w="6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940" w:type="dxa"/>
            <w:vAlign w:val="bottom"/>
          </w:tcPr>
          <w:p>
            <w:pPr>
              <w:ind w:left="740"/>
              <w:spacing w:after="0"/>
              <w:rPr>
                <w:sz w:val="20"/>
                <w:szCs w:val="20"/>
                <w:color w:val="auto"/>
              </w:rPr>
            </w:pPr>
            <w:r>
              <w:rPr>
                <w:rFonts w:ascii="Arial" w:cs="Arial" w:eastAsia="Arial" w:hAnsi="Arial"/>
                <w:sz w:val="18"/>
                <w:szCs w:val="18"/>
                <w:color w:val="auto"/>
              </w:rPr>
              <w:t>be deemed to be a reference to a Call Option.</w:t>
            </w:r>
          </w:p>
        </w:tc>
      </w:tr>
      <w:tr>
        <w:trPr>
          <w:trHeight w:val="392"/>
        </w:trPr>
        <w:tc>
          <w:tcPr>
            <w:tcW w:w="660" w:type="dxa"/>
            <w:vAlign w:val="bottom"/>
          </w:tcPr>
          <w:p>
            <w:pPr>
              <w:spacing w:after="0"/>
              <w:rPr>
                <w:sz w:val="24"/>
                <w:szCs w:val="24"/>
                <w:color w:val="auto"/>
              </w:rPr>
            </w:pPr>
          </w:p>
        </w:tc>
        <w:tc>
          <w:tcPr>
            <w:tcW w:w="2820" w:type="dxa"/>
            <w:vAlign w:val="bottom"/>
            <w:gridSpan w:val="2"/>
          </w:tcPr>
          <w:p>
            <w:pPr>
              <w:ind w:left="320"/>
              <w:spacing w:after="0"/>
              <w:rPr>
                <w:sz w:val="20"/>
                <w:szCs w:val="20"/>
                <w:color w:val="auto"/>
              </w:rPr>
            </w:pPr>
            <w:r>
              <w:rPr>
                <w:rFonts w:ascii="Arial" w:cs="Arial" w:eastAsia="Arial" w:hAnsi="Arial"/>
                <w:sz w:val="18"/>
                <w:szCs w:val="18"/>
                <w:color w:val="auto"/>
              </w:rPr>
              <w:t>Warrant Style:</w:t>
            </w:r>
          </w:p>
        </w:tc>
        <w:tc>
          <w:tcPr>
            <w:tcW w:w="7940" w:type="dxa"/>
            <w:vAlign w:val="bottom"/>
          </w:tcPr>
          <w:p>
            <w:pPr>
              <w:ind w:left="740"/>
              <w:spacing w:after="0"/>
              <w:rPr>
                <w:sz w:val="20"/>
                <w:szCs w:val="20"/>
                <w:color w:val="auto"/>
              </w:rPr>
            </w:pPr>
            <w:r>
              <w:rPr>
                <w:rFonts w:ascii="Arial" w:cs="Arial" w:eastAsia="Arial" w:hAnsi="Arial"/>
                <w:sz w:val="18"/>
                <w:szCs w:val="18"/>
                <w:color w:val="auto"/>
              </w:rPr>
              <w:t>European</w:t>
            </w:r>
          </w:p>
        </w:tc>
      </w:tr>
      <w:tr>
        <w:trPr>
          <w:trHeight w:val="392"/>
        </w:trPr>
        <w:tc>
          <w:tcPr>
            <w:tcW w:w="660" w:type="dxa"/>
            <w:vAlign w:val="bottom"/>
          </w:tcPr>
          <w:p>
            <w:pPr>
              <w:spacing w:after="0"/>
              <w:rPr>
                <w:sz w:val="24"/>
                <w:szCs w:val="24"/>
                <w:color w:val="auto"/>
              </w:rPr>
            </w:pPr>
          </w:p>
        </w:tc>
        <w:tc>
          <w:tcPr>
            <w:tcW w:w="2820" w:type="dxa"/>
            <w:vAlign w:val="bottom"/>
            <w:gridSpan w:val="2"/>
          </w:tcPr>
          <w:p>
            <w:pPr>
              <w:ind w:left="320"/>
              <w:spacing w:after="0"/>
              <w:rPr>
                <w:sz w:val="20"/>
                <w:szCs w:val="20"/>
                <w:color w:val="auto"/>
              </w:rPr>
            </w:pPr>
            <w:r>
              <w:rPr>
                <w:rFonts w:ascii="Arial" w:cs="Arial" w:eastAsia="Arial" w:hAnsi="Arial"/>
                <w:sz w:val="18"/>
                <w:szCs w:val="18"/>
                <w:color w:val="auto"/>
              </w:rPr>
              <w:t>Seller:</w:t>
            </w:r>
          </w:p>
        </w:tc>
        <w:tc>
          <w:tcPr>
            <w:tcW w:w="7940" w:type="dxa"/>
            <w:vAlign w:val="bottom"/>
          </w:tcPr>
          <w:p>
            <w:pPr>
              <w:ind w:left="740"/>
              <w:spacing w:after="0"/>
              <w:rPr>
                <w:sz w:val="20"/>
                <w:szCs w:val="20"/>
                <w:color w:val="auto"/>
              </w:rPr>
            </w:pPr>
            <w:r>
              <w:rPr>
                <w:rFonts w:ascii="Arial" w:cs="Arial" w:eastAsia="Arial" w:hAnsi="Arial"/>
                <w:sz w:val="18"/>
                <w:szCs w:val="18"/>
                <w:color w:val="auto"/>
              </w:rPr>
              <w:t>Company</w:t>
            </w:r>
          </w:p>
        </w:tc>
      </w:tr>
      <w:tr>
        <w:trPr>
          <w:trHeight w:val="392"/>
        </w:trPr>
        <w:tc>
          <w:tcPr>
            <w:tcW w:w="660" w:type="dxa"/>
            <w:vAlign w:val="bottom"/>
          </w:tcPr>
          <w:p>
            <w:pPr>
              <w:spacing w:after="0"/>
              <w:rPr>
                <w:sz w:val="24"/>
                <w:szCs w:val="24"/>
                <w:color w:val="auto"/>
              </w:rPr>
            </w:pPr>
          </w:p>
        </w:tc>
        <w:tc>
          <w:tcPr>
            <w:tcW w:w="2820" w:type="dxa"/>
            <w:vAlign w:val="bottom"/>
            <w:gridSpan w:val="2"/>
          </w:tcPr>
          <w:p>
            <w:pPr>
              <w:ind w:left="320"/>
              <w:spacing w:after="0"/>
              <w:rPr>
                <w:sz w:val="20"/>
                <w:szCs w:val="20"/>
                <w:color w:val="auto"/>
              </w:rPr>
            </w:pPr>
            <w:r>
              <w:rPr>
                <w:rFonts w:ascii="Arial" w:cs="Arial" w:eastAsia="Arial" w:hAnsi="Arial"/>
                <w:sz w:val="18"/>
                <w:szCs w:val="18"/>
                <w:color w:val="auto"/>
              </w:rPr>
              <w:t>Buyer:</w:t>
            </w:r>
          </w:p>
        </w:tc>
        <w:tc>
          <w:tcPr>
            <w:tcW w:w="7940" w:type="dxa"/>
            <w:vAlign w:val="bottom"/>
          </w:tcPr>
          <w:p>
            <w:pPr>
              <w:ind w:left="740"/>
              <w:spacing w:after="0"/>
              <w:rPr>
                <w:sz w:val="20"/>
                <w:szCs w:val="20"/>
                <w:color w:val="auto"/>
              </w:rPr>
            </w:pPr>
            <w:r>
              <w:rPr>
                <w:rFonts w:ascii="Arial" w:cs="Arial" w:eastAsia="Arial" w:hAnsi="Arial"/>
                <w:sz w:val="18"/>
                <w:szCs w:val="18"/>
                <w:color w:val="auto"/>
              </w:rPr>
              <w:t>Dealer</w:t>
            </w:r>
          </w:p>
        </w:tc>
      </w:tr>
      <w:tr>
        <w:trPr>
          <w:trHeight w:val="392"/>
        </w:trPr>
        <w:tc>
          <w:tcPr>
            <w:tcW w:w="660" w:type="dxa"/>
            <w:vAlign w:val="bottom"/>
          </w:tcPr>
          <w:p>
            <w:pPr>
              <w:spacing w:after="0"/>
              <w:rPr>
                <w:sz w:val="24"/>
                <w:szCs w:val="24"/>
                <w:color w:val="auto"/>
              </w:rPr>
            </w:pPr>
          </w:p>
        </w:tc>
        <w:tc>
          <w:tcPr>
            <w:tcW w:w="2820" w:type="dxa"/>
            <w:vAlign w:val="bottom"/>
            <w:gridSpan w:val="2"/>
          </w:tcPr>
          <w:p>
            <w:pPr>
              <w:ind w:left="320"/>
              <w:spacing w:after="0"/>
              <w:rPr>
                <w:sz w:val="20"/>
                <w:szCs w:val="20"/>
                <w:color w:val="auto"/>
              </w:rPr>
            </w:pPr>
            <w:r>
              <w:rPr>
                <w:rFonts w:ascii="Arial" w:cs="Arial" w:eastAsia="Arial" w:hAnsi="Arial"/>
                <w:sz w:val="18"/>
                <w:szCs w:val="18"/>
                <w:color w:val="auto"/>
              </w:rPr>
              <w:t>Shares:</w:t>
            </w:r>
          </w:p>
        </w:tc>
        <w:tc>
          <w:tcPr>
            <w:tcW w:w="7940" w:type="dxa"/>
            <w:vAlign w:val="bottom"/>
          </w:tcPr>
          <w:p>
            <w:pPr>
              <w:ind w:left="740"/>
              <w:spacing w:after="0"/>
              <w:rPr>
                <w:sz w:val="20"/>
                <w:szCs w:val="20"/>
                <w:color w:val="auto"/>
              </w:rPr>
            </w:pPr>
            <w:r>
              <w:rPr>
                <w:rFonts w:ascii="Arial" w:cs="Arial" w:eastAsia="Arial" w:hAnsi="Arial"/>
                <w:sz w:val="18"/>
                <w:szCs w:val="18"/>
                <w:color w:val="auto"/>
              </w:rPr>
              <w:t>The common stock of Company, par value USD 0.01 per share (Exchange symbol “VAC”)</w:t>
            </w:r>
          </w:p>
        </w:tc>
      </w:tr>
      <w:tr>
        <w:trPr>
          <w:trHeight w:val="377"/>
        </w:trPr>
        <w:tc>
          <w:tcPr>
            <w:tcW w:w="660" w:type="dxa"/>
            <w:vAlign w:val="bottom"/>
          </w:tcPr>
          <w:p>
            <w:pPr>
              <w:spacing w:after="0"/>
              <w:rPr>
                <w:sz w:val="24"/>
                <w:szCs w:val="24"/>
                <w:color w:val="auto"/>
              </w:rPr>
            </w:pPr>
          </w:p>
        </w:tc>
        <w:tc>
          <w:tcPr>
            <w:tcW w:w="2820" w:type="dxa"/>
            <w:vAlign w:val="bottom"/>
            <w:gridSpan w:val="2"/>
          </w:tcPr>
          <w:p>
            <w:pPr>
              <w:ind w:left="320"/>
              <w:spacing w:after="0"/>
              <w:rPr>
                <w:sz w:val="20"/>
                <w:szCs w:val="20"/>
                <w:color w:val="auto"/>
              </w:rPr>
            </w:pPr>
            <w:r>
              <w:rPr>
                <w:rFonts w:ascii="Arial" w:cs="Arial" w:eastAsia="Arial" w:hAnsi="Arial"/>
                <w:sz w:val="18"/>
                <w:szCs w:val="18"/>
                <w:color w:val="auto"/>
              </w:rPr>
              <w:t>Number of Warrants:</w:t>
            </w:r>
          </w:p>
        </w:tc>
        <w:tc>
          <w:tcPr>
            <w:tcW w:w="7940" w:type="dxa"/>
            <w:vAlign w:val="bottom"/>
          </w:tcPr>
          <w:p>
            <w:pPr>
              <w:ind w:left="740"/>
              <w:spacing w:after="0"/>
              <w:rPr>
                <w:sz w:val="20"/>
                <w:szCs w:val="20"/>
                <w:color w:val="auto"/>
              </w:rPr>
            </w:pPr>
            <w:r>
              <w:rPr>
                <w:rFonts w:ascii="Arial" w:cs="Arial" w:eastAsia="Arial" w:hAnsi="Arial"/>
                <w:sz w:val="18"/>
                <w:szCs w:val="18"/>
                <w:color w:val="auto"/>
                <w:w w:val="91"/>
              </w:rPr>
              <w:t>[_______]</w:t>
            </w:r>
            <w:r>
              <w:rPr>
                <w:rFonts w:ascii="Arial" w:cs="Arial" w:eastAsia="Arial" w:hAnsi="Arial"/>
                <w:sz w:val="25"/>
                <w:szCs w:val="25"/>
                <w:color w:val="auto"/>
                <w:w w:val="91"/>
                <w:vertAlign w:val="superscript"/>
              </w:rPr>
              <w:t>1</w:t>
            </w:r>
            <w:r>
              <w:rPr>
                <w:rFonts w:ascii="Arial" w:cs="Arial" w:eastAsia="Arial" w:hAnsi="Arial"/>
                <w:sz w:val="18"/>
                <w:szCs w:val="18"/>
                <w:color w:val="auto"/>
                <w:w w:val="91"/>
              </w:rPr>
              <w:t>. For the avoidance of doubt, the Number of Warrants shall be reduced by any Warrants</w:t>
            </w:r>
          </w:p>
        </w:tc>
      </w:tr>
      <w:tr>
        <w:trPr>
          <w:trHeight w:val="216"/>
        </w:trPr>
        <w:tc>
          <w:tcPr>
            <w:tcW w:w="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940" w:type="dxa"/>
            <w:vAlign w:val="bottom"/>
          </w:tcPr>
          <w:p>
            <w:pPr>
              <w:ind w:left="740"/>
              <w:spacing w:after="0"/>
              <w:rPr>
                <w:sz w:val="20"/>
                <w:szCs w:val="20"/>
                <w:color w:val="auto"/>
              </w:rPr>
            </w:pPr>
            <w:r>
              <w:rPr>
                <w:rFonts w:ascii="Arial" w:cs="Arial" w:eastAsia="Arial" w:hAnsi="Arial"/>
                <w:sz w:val="18"/>
                <w:szCs w:val="18"/>
                <w:color w:val="auto"/>
                <w:w w:val="93"/>
              </w:rPr>
              <w:t>exercised or deemed exercised hereunder. In no event will the Number of Warrants be less than</w:t>
            </w:r>
          </w:p>
        </w:tc>
      </w:tr>
      <w:tr>
        <w:trPr>
          <w:trHeight w:val="230"/>
        </w:trPr>
        <w:tc>
          <w:tcPr>
            <w:tcW w:w="6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940" w:type="dxa"/>
            <w:vAlign w:val="bottom"/>
          </w:tcPr>
          <w:p>
            <w:pPr>
              <w:ind w:left="740"/>
              <w:spacing w:after="0"/>
              <w:rPr>
                <w:sz w:val="20"/>
                <w:szCs w:val="20"/>
                <w:color w:val="auto"/>
              </w:rPr>
            </w:pPr>
            <w:r>
              <w:rPr>
                <w:rFonts w:ascii="Arial" w:cs="Arial" w:eastAsia="Arial" w:hAnsi="Arial"/>
                <w:sz w:val="18"/>
                <w:szCs w:val="18"/>
                <w:color w:val="auto"/>
              </w:rPr>
              <w:t>zero.</w:t>
            </w:r>
          </w:p>
        </w:tc>
      </w:tr>
      <w:tr>
        <w:trPr>
          <w:trHeight w:val="392"/>
        </w:trPr>
        <w:tc>
          <w:tcPr>
            <w:tcW w:w="660" w:type="dxa"/>
            <w:vAlign w:val="bottom"/>
          </w:tcPr>
          <w:p>
            <w:pPr>
              <w:spacing w:after="0"/>
              <w:rPr>
                <w:sz w:val="24"/>
                <w:szCs w:val="24"/>
                <w:color w:val="auto"/>
              </w:rPr>
            </w:pPr>
          </w:p>
        </w:tc>
        <w:tc>
          <w:tcPr>
            <w:tcW w:w="2820" w:type="dxa"/>
            <w:vAlign w:val="bottom"/>
            <w:gridSpan w:val="2"/>
          </w:tcPr>
          <w:p>
            <w:pPr>
              <w:ind w:left="320"/>
              <w:spacing w:after="0"/>
              <w:rPr>
                <w:sz w:val="20"/>
                <w:szCs w:val="20"/>
                <w:color w:val="auto"/>
              </w:rPr>
            </w:pPr>
            <w:r>
              <w:rPr>
                <w:rFonts w:ascii="Arial" w:cs="Arial" w:eastAsia="Arial" w:hAnsi="Arial"/>
                <w:sz w:val="18"/>
                <w:szCs w:val="18"/>
                <w:color w:val="auto"/>
              </w:rPr>
              <w:t>Warrant Entitlement:</w:t>
            </w:r>
          </w:p>
        </w:tc>
        <w:tc>
          <w:tcPr>
            <w:tcW w:w="7940" w:type="dxa"/>
            <w:vAlign w:val="bottom"/>
          </w:tcPr>
          <w:p>
            <w:pPr>
              <w:ind w:left="740"/>
              <w:spacing w:after="0"/>
              <w:rPr>
                <w:sz w:val="20"/>
                <w:szCs w:val="20"/>
                <w:color w:val="auto"/>
              </w:rPr>
            </w:pPr>
            <w:r>
              <w:rPr>
                <w:rFonts w:ascii="Arial" w:cs="Arial" w:eastAsia="Arial" w:hAnsi="Arial"/>
                <w:sz w:val="18"/>
                <w:szCs w:val="18"/>
                <w:color w:val="auto"/>
              </w:rPr>
              <w:t>One Share per Warrant</w:t>
            </w:r>
          </w:p>
        </w:tc>
      </w:tr>
      <w:tr>
        <w:trPr>
          <w:trHeight w:val="377"/>
        </w:trPr>
        <w:tc>
          <w:tcPr>
            <w:tcW w:w="660" w:type="dxa"/>
            <w:vAlign w:val="bottom"/>
          </w:tcPr>
          <w:p>
            <w:pPr>
              <w:spacing w:after="0"/>
              <w:rPr>
                <w:sz w:val="24"/>
                <w:szCs w:val="24"/>
                <w:color w:val="auto"/>
              </w:rPr>
            </w:pPr>
          </w:p>
        </w:tc>
        <w:tc>
          <w:tcPr>
            <w:tcW w:w="2820" w:type="dxa"/>
            <w:vAlign w:val="bottom"/>
            <w:gridSpan w:val="2"/>
          </w:tcPr>
          <w:p>
            <w:pPr>
              <w:ind w:left="320"/>
              <w:spacing w:after="0"/>
              <w:rPr>
                <w:sz w:val="20"/>
                <w:szCs w:val="20"/>
                <w:color w:val="auto"/>
              </w:rPr>
            </w:pPr>
            <w:r>
              <w:rPr>
                <w:rFonts w:ascii="Arial" w:cs="Arial" w:eastAsia="Arial" w:hAnsi="Arial"/>
                <w:sz w:val="18"/>
                <w:szCs w:val="18"/>
                <w:color w:val="auto"/>
              </w:rPr>
              <w:t>Strike Price:</w:t>
            </w:r>
          </w:p>
        </w:tc>
        <w:tc>
          <w:tcPr>
            <w:tcW w:w="7940" w:type="dxa"/>
            <w:vAlign w:val="bottom"/>
          </w:tcPr>
          <w:p>
            <w:pPr>
              <w:ind w:left="740"/>
              <w:spacing w:after="0"/>
              <w:rPr>
                <w:sz w:val="20"/>
                <w:szCs w:val="20"/>
                <w:color w:val="auto"/>
              </w:rPr>
            </w:pPr>
            <w:r>
              <w:rPr>
                <w:rFonts w:ascii="Arial" w:cs="Arial" w:eastAsia="Arial" w:hAnsi="Arial"/>
                <w:sz w:val="18"/>
                <w:szCs w:val="18"/>
                <w:color w:val="auto"/>
                <w:w w:val="94"/>
              </w:rPr>
              <w:t>USD 176.6845. Notwithstanding anything to the contrary in the Agreement, this Confirmation or</w:t>
            </w:r>
          </w:p>
        </w:tc>
      </w:tr>
      <w:tr>
        <w:trPr>
          <w:trHeight w:val="216"/>
        </w:trPr>
        <w:tc>
          <w:tcPr>
            <w:tcW w:w="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940" w:type="dxa"/>
            <w:vAlign w:val="bottom"/>
          </w:tcPr>
          <w:p>
            <w:pPr>
              <w:ind w:left="740"/>
              <w:spacing w:after="0"/>
              <w:rPr>
                <w:sz w:val="20"/>
                <w:szCs w:val="20"/>
                <w:color w:val="auto"/>
              </w:rPr>
            </w:pPr>
            <w:r>
              <w:rPr>
                <w:rFonts w:ascii="Arial" w:cs="Arial" w:eastAsia="Arial" w:hAnsi="Arial"/>
                <w:sz w:val="18"/>
                <w:szCs w:val="18"/>
                <w:color w:val="auto"/>
                <w:w w:val="91"/>
              </w:rPr>
              <w:t>the Equity Definitions, in no event shall the Strike Price be subject to adjustment to the extent that,</w:t>
            </w:r>
          </w:p>
        </w:tc>
      </w:tr>
      <w:tr>
        <w:trPr>
          <w:trHeight w:val="216"/>
        </w:trPr>
        <w:tc>
          <w:tcPr>
            <w:tcW w:w="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940" w:type="dxa"/>
            <w:vAlign w:val="bottom"/>
          </w:tcPr>
          <w:p>
            <w:pPr>
              <w:ind w:left="740"/>
              <w:spacing w:after="0" w:line="216" w:lineRule="exact"/>
              <w:rPr>
                <w:sz w:val="20"/>
                <w:szCs w:val="20"/>
                <w:color w:val="auto"/>
              </w:rPr>
            </w:pPr>
            <w:r>
              <w:rPr>
                <w:rFonts w:ascii="Arial" w:cs="Arial" w:eastAsia="Arial" w:hAnsi="Arial"/>
                <w:sz w:val="18"/>
                <w:szCs w:val="18"/>
                <w:color w:val="auto"/>
                <w:w w:val="93"/>
              </w:rPr>
              <w:t>after giving effect to such adjustment, the Strike Price would be less than USD [______]</w:t>
            </w:r>
            <w:r>
              <w:rPr>
                <w:rFonts w:ascii="Arial" w:cs="Arial" w:eastAsia="Arial" w:hAnsi="Arial"/>
                <w:sz w:val="25"/>
                <w:szCs w:val="25"/>
                <w:color w:val="auto"/>
                <w:w w:val="93"/>
                <w:vertAlign w:val="superscript"/>
              </w:rPr>
              <w:t>2</w:t>
            </w:r>
            <w:r>
              <w:rPr>
                <w:rFonts w:ascii="Arial" w:cs="Arial" w:eastAsia="Arial" w:hAnsi="Arial"/>
                <w:sz w:val="18"/>
                <w:szCs w:val="18"/>
                <w:color w:val="auto"/>
                <w:w w:val="93"/>
              </w:rPr>
              <w:t>, except</w:t>
            </w:r>
          </w:p>
        </w:tc>
      </w:tr>
      <w:tr>
        <w:trPr>
          <w:trHeight w:val="216"/>
        </w:trPr>
        <w:tc>
          <w:tcPr>
            <w:tcW w:w="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940" w:type="dxa"/>
            <w:vAlign w:val="bottom"/>
          </w:tcPr>
          <w:p>
            <w:pPr>
              <w:ind w:left="740"/>
              <w:spacing w:after="0"/>
              <w:rPr>
                <w:sz w:val="20"/>
                <w:szCs w:val="20"/>
                <w:color w:val="auto"/>
              </w:rPr>
            </w:pPr>
            <w:r>
              <w:rPr>
                <w:rFonts w:ascii="Arial" w:cs="Arial" w:eastAsia="Arial" w:hAnsi="Arial"/>
                <w:sz w:val="18"/>
                <w:szCs w:val="18"/>
                <w:color w:val="auto"/>
              </w:rPr>
              <w:t>for any adjustment pursuant to the terms of this Confirmation and the Equity Definitions in</w:t>
            </w:r>
          </w:p>
        </w:tc>
      </w:tr>
      <w:tr>
        <w:trPr>
          <w:trHeight w:val="230"/>
        </w:trPr>
        <w:tc>
          <w:tcPr>
            <w:tcW w:w="6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940" w:type="dxa"/>
            <w:vAlign w:val="bottom"/>
          </w:tcPr>
          <w:p>
            <w:pPr>
              <w:ind w:left="740"/>
              <w:spacing w:after="0"/>
              <w:rPr>
                <w:sz w:val="20"/>
                <w:szCs w:val="20"/>
                <w:color w:val="auto"/>
              </w:rPr>
            </w:pPr>
            <w:r>
              <w:rPr>
                <w:rFonts w:ascii="Arial" w:cs="Arial" w:eastAsia="Arial" w:hAnsi="Arial"/>
                <w:sz w:val="18"/>
                <w:szCs w:val="18"/>
                <w:color w:val="auto"/>
              </w:rPr>
              <w:t>connection with stock splits or similar changes to Company’s capitalization.</w:t>
            </w:r>
          </w:p>
        </w:tc>
      </w:tr>
      <w:tr>
        <w:trPr>
          <w:trHeight w:val="392"/>
        </w:trPr>
        <w:tc>
          <w:tcPr>
            <w:tcW w:w="660" w:type="dxa"/>
            <w:vAlign w:val="bottom"/>
          </w:tcPr>
          <w:p>
            <w:pPr>
              <w:spacing w:after="0"/>
              <w:rPr>
                <w:sz w:val="24"/>
                <w:szCs w:val="24"/>
                <w:color w:val="auto"/>
              </w:rPr>
            </w:pPr>
          </w:p>
        </w:tc>
        <w:tc>
          <w:tcPr>
            <w:tcW w:w="2820" w:type="dxa"/>
            <w:vAlign w:val="bottom"/>
            <w:gridSpan w:val="2"/>
          </w:tcPr>
          <w:p>
            <w:pPr>
              <w:ind w:left="320"/>
              <w:spacing w:after="0"/>
              <w:rPr>
                <w:sz w:val="20"/>
                <w:szCs w:val="20"/>
                <w:color w:val="auto"/>
              </w:rPr>
            </w:pPr>
            <w:r>
              <w:rPr>
                <w:rFonts w:ascii="Arial" w:cs="Arial" w:eastAsia="Arial" w:hAnsi="Arial"/>
                <w:sz w:val="18"/>
                <w:szCs w:val="18"/>
                <w:color w:val="auto"/>
              </w:rPr>
              <w:t>Premium:</w:t>
            </w:r>
          </w:p>
        </w:tc>
        <w:tc>
          <w:tcPr>
            <w:tcW w:w="7940" w:type="dxa"/>
            <w:vAlign w:val="bottom"/>
          </w:tcPr>
          <w:p>
            <w:pPr>
              <w:ind w:left="740"/>
              <w:spacing w:after="0"/>
              <w:rPr>
                <w:sz w:val="20"/>
                <w:szCs w:val="20"/>
                <w:color w:val="auto"/>
              </w:rPr>
            </w:pPr>
            <w:r>
              <w:rPr>
                <w:rFonts w:ascii="Arial" w:cs="Arial" w:eastAsia="Arial" w:hAnsi="Arial"/>
                <w:sz w:val="18"/>
                <w:szCs w:val="18"/>
                <w:color w:val="auto"/>
              </w:rPr>
              <w:t>USD [______]</w:t>
            </w:r>
          </w:p>
        </w:tc>
      </w:tr>
      <w:tr>
        <w:trPr>
          <w:trHeight w:val="392"/>
        </w:trPr>
        <w:tc>
          <w:tcPr>
            <w:tcW w:w="660" w:type="dxa"/>
            <w:vAlign w:val="bottom"/>
          </w:tcPr>
          <w:p>
            <w:pPr>
              <w:spacing w:after="0"/>
              <w:rPr>
                <w:sz w:val="24"/>
                <w:szCs w:val="24"/>
                <w:color w:val="auto"/>
              </w:rPr>
            </w:pPr>
          </w:p>
        </w:tc>
        <w:tc>
          <w:tcPr>
            <w:tcW w:w="2820" w:type="dxa"/>
            <w:vAlign w:val="bottom"/>
            <w:gridSpan w:val="2"/>
          </w:tcPr>
          <w:p>
            <w:pPr>
              <w:ind w:left="320"/>
              <w:spacing w:after="0"/>
              <w:rPr>
                <w:sz w:val="20"/>
                <w:szCs w:val="20"/>
                <w:color w:val="auto"/>
              </w:rPr>
            </w:pPr>
            <w:r>
              <w:rPr>
                <w:rFonts w:ascii="Arial" w:cs="Arial" w:eastAsia="Arial" w:hAnsi="Arial"/>
                <w:sz w:val="18"/>
                <w:szCs w:val="18"/>
                <w:color w:val="auto"/>
              </w:rPr>
              <w:t>Premium Payment Date:</w:t>
            </w:r>
          </w:p>
        </w:tc>
        <w:tc>
          <w:tcPr>
            <w:tcW w:w="7940" w:type="dxa"/>
            <w:vAlign w:val="bottom"/>
          </w:tcPr>
          <w:p>
            <w:pPr>
              <w:ind w:left="740"/>
              <w:spacing w:after="0"/>
              <w:rPr>
                <w:sz w:val="20"/>
                <w:szCs w:val="20"/>
                <w:color w:val="auto"/>
              </w:rPr>
            </w:pPr>
            <w:r>
              <w:rPr>
                <w:rFonts w:ascii="Arial" w:cs="Arial" w:eastAsia="Arial" w:hAnsi="Arial"/>
                <w:sz w:val="18"/>
                <w:szCs w:val="18"/>
                <w:color w:val="auto"/>
              </w:rPr>
              <w:t>[__________], 20[__]</w:t>
            </w:r>
          </w:p>
        </w:tc>
      </w:tr>
      <w:tr>
        <w:trPr>
          <w:trHeight w:val="392"/>
        </w:trPr>
        <w:tc>
          <w:tcPr>
            <w:tcW w:w="660" w:type="dxa"/>
            <w:vAlign w:val="bottom"/>
          </w:tcPr>
          <w:p>
            <w:pPr>
              <w:spacing w:after="0"/>
              <w:rPr>
                <w:sz w:val="24"/>
                <w:szCs w:val="24"/>
                <w:color w:val="auto"/>
              </w:rPr>
            </w:pPr>
          </w:p>
        </w:tc>
        <w:tc>
          <w:tcPr>
            <w:tcW w:w="2820" w:type="dxa"/>
            <w:vAlign w:val="bottom"/>
            <w:gridSpan w:val="2"/>
          </w:tcPr>
          <w:p>
            <w:pPr>
              <w:ind w:left="320"/>
              <w:spacing w:after="0"/>
              <w:rPr>
                <w:sz w:val="20"/>
                <w:szCs w:val="20"/>
                <w:color w:val="auto"/>
              </w:rPr>
            </w:pPr>
            <w:r>
              <w:rPr>
                <w:rFonts w:ascii="Arial" w:cs="Arial" w:eastAsia="Arial" w:hAnsi="Arial"/>
                <w:sz w:val="18"/>
                <w:szCs w:val="18"/>
                <w:color w:val="auto"/>
              </w:rPr>
              <w:t>Exchange:</w:t>
            </w:r>
          </w:p>
        </w:tc>
        <w:tc>
          <w:tcPr>
            <w:tcW w:w="7940" w:type="dxa"/>
            <w:vAlign w:val="bottom"/>
          </w:tcPr>
          <w:p>
            <w:pPr>
              <w:ind w:left="740"/>
              <w:spacing w:after="0"/>
              <w:rPr>
                <w:sz w:val="20"/>
                <w:szCs w:val="20"/>
                <w:color w:val="auto"/>
              </w:rPr>
            </w:pPr>
            <w:r>
              <w:rPr>
                <w:rFonts w:ascii="Arial" w:cs="Arial" w:eastAsia="Arial" w:hAnsi="Arial"/>
                <w:sz w:val="18"/>
                <w:szCs w:val="18"/>
                <w:color w:val="auto"/>
              </w:rPr>
              <w:t>The New York Stock Exchange</w:t>
            </w:r>
          </w:p>
        </w:tc>
      </w:tr>
      <w:tr>
        <w:trPr>
          <w:trHeight w:val="392"/>
        </w:trPr>
        <w:tc>
          <w:tcPr>
            <w:tcW w:w="660" w:type="dxa"/>
            <w:vAlign w:val="bottom"/>
          </w:tcPr>
          <w:p>
            <w:pPr>
              <w:spacing w:after="0"/>
              <w:rPr>
                <w:sz w:val="24"/>
                <w:szCs w:val="24"/>
                <w:color w:val="auto"/>
              </w:rPr>
            </w:pPr>
          </w:p>
        </w:tc>
        <w:tc>
          <w:tcPr>
            <w:tcW w:w="2820" w:type="dxa"/>
            <w:vAlign w:val="bottom"/>
            <w:gridSpan w:val="2"/>
          </w:tcPr>
          <w:p>
            <w:pPr>
              <w:ind w:left="320"/>
              <w:spacing w:after="0"/>
              <w:rPr>
                <w:sz w:val="20"/>
                <w:szCs w:val="20"/>
                <w:color w:val="auto"/>
              </w:rPr>
            </w:pPr>
            <w:r>
              <w:rPr>
                <w:rFonts w:ascii="Arial" w:cs="Arial" w:eastAsia="Arial" w:hAnsi="Arial"/>
                <w:sz w:val="18"/>
                <w:szCs w:val="18"/>
                <w:color w:val="auto"/>
              </w:rPr>
              <w:t>Related Exchange(s):</w:t>
            </w:r>
          </w:p>
        </w:tc>
        <w:tc>
          <w:tcPr>
            <w:tcW w:w="7940" w:type="dxa"/>
            <w:vAlign w:val="bottom"/>
          </w:tcPr>
          <w:p>
            <w:pPr>
              <w:ind w:left="740"/>
              <w:spacing w:after="0"/>
              <w:rPr>
                <w:sz w:val="20"/>
                <w:szCs w:val="20"/>
                <w:color w:val="auto"/>
              </w:rPr>
            </w:pPr>
            <w:r>
              <w:rPr>
                <w:rFonts w:ascii="Arial" w:cs="Arial" w:eastAsia="Arial" w:hAnsi="Arial"/>
                <w:sz w:val="18"/>
                <w:szCs w:val="18"/>
                <w:color w:val="auto"/>
              </w:rPr>
              <w:t>All Exchanges</w:t>
            </w:r>
          </w:p>
        </w:tc>
      </w:tr>
      <w:tr>
        <w:trPr>
          <w:trHeight w:val="351"/>
        </w:trPr>
        <w:tc>
          <w:tcPr>
            <w:tcW w:w="3480" w:type="dxa"/>
            <w:vAlign w:val="bottom"/>
            <w:gridSpan w:val="3"/>
          </w:tcPr>
          <w:p>
            <w:pPr>
              <w:jc w:val="right"/>
              <w:ind w:right="1040"/>
              <w:spacing w:after="0"/>
              <w:rPr>
                <w:sz w:val="20"/>
                <w:szCs w:val="20"/>
                <w:color w:val="auto"/>
              </w:rPr>
            </w:pPr>
            <w:r>
              <w:rPr>
                <w:rFonts w:ascii="Arial" w:cs="Arial" w:eastAsia="Arial" w:hAnsi="Arial"/>
                <w:sz w:val="18"/>
                <w:szCs w:val="18"/>
                <w:i w:val="1"/>
                <w:iCs w:val="1"/>
                <w:color w:val="auto"/>
              </w:rPr>
              <w:t>Procedures for Exercise</w:t>
            </w:r>
            <w:r>
              <w:rPr>
                <w:rFonts w:ascii="Arial" w:cs="Arial" w:eastAsia="Arial" w:hAnsi="Arial"/>
                <w:sz w:val="18"/>
                <w:szCs w:val="18"/>
                <w:color w:val="auto"/>
              </w:rPr>
              <w:t>.</w:t>
            </w:r>
          </w:p>
        </w:tc>
        <w:tc>
          <w:tcPr>
            <w:tcW w:w="794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172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Expiration Time:</w:t>
            </w:r>
          </w:p>
        </w:tc>
        <w:tc>
          <w:tcPr>
            <w:tcW w:w="1100" w:type="dxa"/>
            <w:vAlign w:val="bottom"/>
          </w:tcPr>
          <w:p>
            <w:pPr>
              <w:spacing w:after="0"/>
              <w:rPr>
                <w:sz w:val="24"/>
                <w:szCs w:val="24"/>
                <w:color w:val="auto"/>
              </w:rPr>
            </w:pPr>
          </w:p>
        </w:tc>
        <w:tc>
          <w:tcPr>
            <w:tcW w:w="7940" w:type="dxa"/>
            <w:vAlign w:val="bottom"/>
          </w:tcPr>
          <w:p>
            <w:pPr>
              <w:ind w:left="740"/>
              <w:spacing w:after="0"/>
              <w:rPr>
                <w:sz w:val="20"/>
                <w:szCs w:val="20"/>
                <w:color w:val="auto"/>
              </w:rPr>
            </w:pPr>
            <w:r>
              <w:rPr>
                <w:rFonts w:ascii="Arial" w:cs="Arial" w:eastAsia="Arial" w:hAnsi="Arial"/>
                <w:sz w:val="18"/>
                <w:szCs w:val="18"/>
                <w:color w:val="auto"/>
              </w:rPr>
              <w:t>The Valuation Time</w:t>
            </w:r>
          </w:p>
        </w:tc>
      </w:tr>
      <w:tr>
        <w:trPr>
          <w:trHeight w:val="377"/>
        </w:trPr>
        <w:tc>
          <w:tcPr>
            <w:tcW w:w="660" w:type="dxa"/>
            <w:vAlign w:val="bottom"/>
          </w:tcPr>
          <w:p>
            <w:pPr>
              <w:spacing w:after="0"/>
              <w:rPr>
                <w:sz w:val="24"/>
                <w:szCs w:val="24"/>
                <w:color w:val="auto"/>
              </w:rPr>
            </w:pPr>
          </w:p>
        </w:tc>
        <w:tc>
          <w:tcPr>
            <w:tcW w:w="2820" w:type="dxa"/>
            <w:vAlign w:val="bottom"/>
            <w:gridSpan w:val="2"/>
          </w:tcPr>
          <w:p>
            <w:pPr>
              <w:ind w:left="320"/>
              <w:spacing w:after="0"/>
              <w:rPr>
                <w:sz w:val="20"/>
                <w:szCs w:val="20"/>
                <w:color w:val="auto"/>
              </w:rPr>
            </w:pPr>
            <w:r>
              <w:rPr>
                <w:rFonts w:ascii="Arial" w:cs="Arial" w:eastAsia="Arial" w:hAnsi="Arial"/>
                <w:sz w:val="18"/>
                <w:szCs w:val="18"/>
                <w:color w:val="auto"/>
              </w:rPr>
              <w:t>Expiration Dates:</w:t>
            </w:r>
          </w:p>
        </w:tc>
        <w:tc>
          <w:tcPr>
            <w:tcW w:w="7940" w:type="dxa"/>
            <w:vAlign w:val="bottom"/>
          </w:tcPr>
          <w:p>
            <w:pPr>
              <w:ind w:left="740"/>
              <w:spacing w:after="0"/>
              <w:rPr>
                <w:sz w:val="20"/>
                <w:szCs w:val="20"/>
                <w:color w:val="auto"/>
              </w:rPr>
            </w:pPr>
            <w:r>
              <w:rPr>
                <w:rFonts w:ascii="Arial" w:cs="Arial" w:eastAsia="Arial" w:hAnsi="Arial"/>
                <w:sz w:val="18"/>
                <w:szCs w:val="18"/>
                <w:color w:val="auto"/>
                <w:w w:val="94"/>
              </w:rPr>
              <w:t>Each Scheduled Trading Day during the period from, and including, the First Expiration Date to,</w:t>
            </w:r>
          </w:p>
        </w:tc>
      </w:tr>
      <w:tr>
        <w:trPr>
          <w:trHeight w:val="216"/>
        </w:trPr>
        <w:tc>
          <w:tcPr>
            <w:tcW w:w="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940" w:type="dxa"/>
            <w:vAlign w:val="bottom"/>
          </w:tcPr>
          <w:p>
            <w:pPr>
              <w:ind w:left="740"/>
              <w:spacing w:after="0" w:line="216" w:lineRule="exact"/>
              <w:rPr>
                <w:sz w:val="20"/>
                <w:szCs w:val="20"/>
                <w:color w:val="auto"/>
              </w:rPr>
            </w:pPr>
            <w:r>
              <w:rPr>
                <w:rFonts w:ascii="Arial" w:cs="Arial" w:eastAsia="Arial" w:hAnsi="Arial"/>
                <w:sz w:val="18"/>
                <w:szCs w:val="18"/>
                <w:color w:val="auto"/>
                <w:w w:val="97"/>
              </w:rPr>
              <w:t>but excluding, the 60</w:t>
            </w:r>
            <w:r>
              <w:rPr>
                <w:rFonts w:ascii="Arial" w:cs="Arial" w:eastAsia="Arial" w:hAnsi="Arial"/>
                <w:sz w:val="25"/>
                <w:szCs w:val="25"/>
                <w:color w:val="auto"/>
                <w:w w:val="97"/>
                <w:vertAlign w:val="superscript"/>
              </w:rPr>
              <w:t>th</w:t>
            </w:r>
            <w:r>
              <w:rPr>
                <w:rFonts w:ascii="Arial" w:cs="Arial" w:eastAsia="Arial" w:hAnsi="Arial"/>
                <w:sz w:val="18"/>
                <w:szCs w:val="18"/>
                <w:color w:val="auto"/>
                <w:w w:val="97"/>
              </w:rPr>
              <w:t xml:space="preserve"> Scheduled Trading Day following the First Expiration Date shall be an</w:t>
            </w:r>
          </w:p>
        </w:tc>
      </w:tr>
      <w:tr>
        <w:trPr>
          <w:trHeight w:val="216"/>
        </w:trPr>
        <w:tc>
          <w:tcPr>
            <w:tcW w:w="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940" w:type="dxa"/>
            <w:vAlign w:val="bottom"/>
          </w:tcPr>
          <w:p>
            <w:pPr>
              <w:ind w:left="740"/>
              <w:spacing w:after="0"/>
              <w:rPr>
                <w:sz w:val="20"/>
                <w:szCs w:val="20"/>
                <w:color w:val="auto"/>
              </w:rPr>
            </w:pPr>
            <w:r>
              <w:rPr>
                <w:rFonts w:ascii="Arial" w:cs="Arial" w:eastAsia="Arial" w:hAnsi="Arial"/>
                <w:sz w:val="18"/>
                <w:szCs w:val="18"/>
                <w:color w:val="auto"/>
                <w:w w:val="93"/>
              </w:rPr>
              <w:t>“Expiration Date” for a number of Warrants equal to the Daily Number of Warrants on such date;</w:t>
            </w:r>
          </w:p>
        </w:tc>
      </w:tr>
      <w:tr>
        <w:trPr>
          <w:trHeight w:val="216"/>
        </w:trPr>
        <w:tc>
          <w:tcPr>
            <w:tcW w:w="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940" w:type="dxa"/>
            <w:vAlign w:val="bottom"/>
          </w:tcPr>
          <w:p>
            <w:pPr>
              <w:ind w:left="740"/>
              <w:spacing w:after="0"/>
              <w:rPr>
                <w:sz w:val="20"/>
                <w:szCs w:val="20"/>
                <w:color w:val="auto"/>
              </w:rPr>
            </w:pPr>
            <w:r>
              <w:rPr>
                <w:rFonts w:ascii="Arial" w:cs="Arial" w:eastAsia="Arial" w:hAnsi="Arial"/>
                <w:sz w:val="18"/>
                <w:szCs w:val="18"/>
                <w:i w:val="1"/>
                <w:iCs w:val="1"/>
                <w:color w:val="auto"/>
                <w:w w:val="92"/>
              </w:rPr>
              <w:t xml:space="preserve">provided </w:t>
            </w:r>
            <w:r>
              <w:rPr>
                <w:rFonts w:ascii="Arial" w:cs="Arial" w:eastAsia="Arial" w:hAnsi="Arial"/>
                <w:sz w:val="18"/>
                <w:szCs w:val="18"/>
                <w:color w:val="auto"/>
                <w:w w:val="92"/>
              </w:rPr>
              <w:t>that, notwithstanding anything to the contrary in the Equity Definitions, if any such date is</w:t>
            </w:r>
          </w:p>
        </w:tc>
      </w:tr>
      <w:tr>
        <w:trPr>
          <w:trHeight w:val="216"/>
        </w:trPr>
        <w:tc>
          <w:tcPr>
            <w:tcW w:w="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940" w:type="dxa"/>
            <w:vAlign w:val="bottom"/>
          </w:tcPr>
          <w:p>
            <w:pPr>
              <w:ind w:left="740"/>
              <w:spacing w:after="0"/>
              <w:rPr>
                <w:sz w:val="20"/>
                <w:szCs w:val="20"/>
                <w:color w:val="auto"/>
              </w:rPr>
            </w:pPr>
            <w:r>
              <w:rPr>
                <w:rFonts w:ascii="Arial" w:cs="Arial" w:eastAsia="Arial" w:hAnsi="Arial"/>
                <w:sz w:val="18"/>
                <w:szCs w:val="18"/>
                <w:color w:val="auto"/>
                <w:w w:val="92"/>
              </w:rPr>
              <w:t>a Disrupted Day, the Calculation Agent shall make adjustments, if applicable, to the Daily Number</w:t>
            </w:r>
          </w:p>
        </w:tc>
      </w:tr>
      <w:tr>
        <w:trPr>
          <w:trHeight w:val="216"/>
        </w:trPr>
        <w:tc>
          <w:tcPr>
            <w:tcW w:w="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940" w:type="dxa"/>
            <w:vAlign w:val="bottom"/>
          </w:tcPr>
          <w:p>
            <w:pPr>
              <w:ind w:left="740"/>
              <w:spacing w:after="0"/>
              <w:rPr>
                <w:sz w:val="20"/>
                <w:szCs w:val="20"/>
                <w:color w:val="auto"/>
              </w:rPr>
            </w:pPr>
            <w:r>
              <w:rPr>
                <w:rFonts w:ascii="Arial" w:cs="Arial" w:eastAsia="Arial" w:hAnsi="Arial"/>
                <w:sz w:val="18"/>
                <w:szCs w:val="18"/>
                <w:color w:val="auto"/>
                <w:w w:val="92"/>
              </w:rPr>
              <w:t>of Warrants or shall reduce such Daily Number of Warrants to zero for which such day shall be an</w:t>
            </w:r>
          </w:p>
        </w:tc>
      </w:tr>
      <w:tr>
        <w:trPr>
          <w:trHeight w:val="230"/>
        </w:trPr>
        <w:tc>
          <w:tcPr>
            <w:tcW w:w="6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940" w:type="dxa"/>
            <w:vAlign w:val="bottom"/>
          </w:tcPr>
          <w:p>
            <w:pPr>
              <w:ind w:left="740"/>
              <w:spacing w:after="0"/>
              <w:rPr>
                <w:sz w:val="20"/>
                <w:szCs w:val="20"/>
                <w:color w:val="auto"/>
              </w:rPr>
            </w:pPr>
            <w:r>
              <w:rPr>
                <w:rFonts w:ascii="Arial" w:cs="Arial" w:eastAsia="Arial" w:hAnsi="Arial"/>
                <w:sz w:val="18"/>
                <w:szCs w:val="18"/>
                <w:color w:val="auto"/>
              </w:rPr>
              <w:t>Expiration Date and shall designate a Scheduled Trading</w:t>
            </w:r>
          </w:p>
        </w:tc>
      </w:tr>
      <w:tr>
        <w:trPr>
          <w:trHeight w:val="251"/>
        </w:trPr>
        <w:tc>
          <w:tcPr>
            <w:tcW w:w="3480" w:type="dxa"/>
            <w:vAlign w:val="bottom"/>
            <w:gridSpan w:val="3"/>
          </w:tcPr>
          <w:p>
            <w:pPr>
              <w:jc w:val="right"/>
              <w:ind w:right="960"/>
              <w:spacing w:after="0"/>
              <w:rPr>
                <w:sz w:val="20"/>
                <w:szCs w:val="20"/>
                <w:color w:val="auto"/>
              </w:rPr>
            </w:pPr>
            <w:r>
              <w:rPr>
                <w:rFonts w:ascii="Arial" w:cs="Arial" w:eastAsia="Arial" w:hAnsi="Arial"/>
                <w:sz w:val="16"/>
                <w:szCs w:val="16"/>
                <w:color w:val="auto"/>
                <w:w w:val="90"/>
              </w:rPr>
              <w:t>_______________________________</w:t>
            </w:r>
          </w:p>
        </w:tc>
        <w:tc>
          <w:tcPr>
            <w:tcW w:w="7940" w:type="dxa"/>
            <w:vAlign w:val="bottom"/>
          </w:tcPr>
          <w:p>
            <w:pPr>
              <w:spacing w:after="0"/>
              <w:rPr>
                <w:sz w:val="21"/>
                <w:szCs w:val="21"/>
                <w:color w:val="auto"/>
              </w:rPr>
            </w:pPr>
          </w:p>
        </w:tc>
      </w:tr>
    </w:tbl>
    <w:p>
      <w:pPr>
        <w:spacing w:after="0" w:line="37" w:lineRule="exact"/>
        <w:rPr>
          <w:sz w:val="20"/>
          <w:szCs w:val="20"/>
          <w:color w:val="auto"/>
        </w:rPr>
      </w:pPr>
    </w:p>
    <w:p>
      <w:pPr>
        <w:ind w:right="100" w:firstLine="8"/>
        <w:spacing w:after="0"/>
        <w:tabs>
          <w:tab w:leader="none" w:pos="81" w:val="left"/>
        </w:tabs>
        <w:numPr>
          <w:ilvl w:val="0"/>
          <w:numId w:val="186"/>
        </w:numPr>
        <w:rPr>
          <w:rFonts w:ascii="Arial" w:cs="Arial" w:eastAsia="Arial" w:hAnsi="Arial"/>
          <w:sz w:val="19"/>
          <w:szCs w:val="19"/>
          <w:color w:val="auto"/>
          <w:vertAlign w:val="superscript"/>
        </w:rPr>
      </w:pPr>
      <w:r>
        <w:rPr>
          <w:rFonts w:ascii="Arial" w:cs="Arial" w:eastAsia="Arial" w:hAnsi="Arial"/>
          <w:sz w:val="15"/>
          <w:szCs w:val="15"/>
          <w:color w:val="auto"/>
        </w:rPr>
        <w:t xml:space="preserve">This is equal to (i) the number of Convertible Notes initially issued on the closing date for the Convertible Notes (or, for the Additional Warrant Confirmation, the number of additional Convertible Notes), </w:t>
      </w:r>
      <w:r>
        <w:rPr>
          <w:rFonts w:ascii="Arial" w:cs="Arial" w:eastAsia="Arial" w:hAnsi="Arial"/>
          <w:sz w:val="15"/>
          <w:szCs w:val="15"/>
          <w:i w:val="1"/>
          <w:iCs w:val="1"/>
          <w:color w:val="auto"/>
        </w:rPr>
        <w:t>multiplied by</w:t>
      </w:r>
      <w:r>
        <w:rPr>
          <w:rFonts w:ascii="Arial" w:cs="Arial" w:eastAsia="Arial" w:hAnsi="Arial"/>
          <w:sz w:val="15"/>
          <w:szCs w:val="15"/>
          <w:color w:val="auto"/>
        </w:rPr>
        <w:t xml:space="preserve"> (ii) the initial Conversion Rate, </w:t>
      </w:r>
      <w:r>
        <w:rPr>
          <w:rFonts w:ascii="Arial" w:cs="Arial" w:eastAsia="Arial" w:hAnsi="Arial"/>
          <w:sz w:val="15"/>
          <w:szCs w:val="15"/>
          <w:i w:val="1"/>
          <w:iCs w:val="1"/>
          <w:color w:val="auto"/>
        </w:rPr>
        <w:t>multiplied by</w:t>
      </w:r>
      <w:r>
        <w:rPr>
          <w:rFonts w:ascii="Arial" w:cs="Arial" w:eastAsia="Arial" w:hAnsi="Arial"/>
          <w:sz w:val="15"/>
          <w:szCs w:val="15"/>
          <w:color w:val="auto"/>
        </w:rPr>
        <w:t xml:space="preserve"> (iii) the applicable percentage for Dealer (if applicable).</w:t>
      </w:r>
    </w:p>
    <w:p>
      <w:pPr>
        <w:spacing w:after="0" w:line="1" w:lineRule="exact"/>
        <w:rPr>
          <w:rFonts w:ascii="Arial" w:cs="Arial" w:eastAsia="Arial" w:hAnsi="Arial"/>
          <w:sz w:val="19"/>
          <w:szCs w:val="19"/>
          <w:color w:val="auto"/>
          <w:vertAlign w:val="superscript"/>
        </w:rPr>
      </w:pPr>
    </w:p>
    <w:p>
      <w:pPr>
        <w:ind w:right="20"/>
        <w:spacing w:after="0" w:line="215" w:lineRule="auto"/>
        <w:rPr>
          <w:rFonts w:ascii="Arial" w:cs="Arial" w:eastAsia="Arial" w:hAnsi="Arial"/>
          <w:sz w:val="19"/>
          <w:szCs w:val="19"/>
          <w:color w:val="auto"/>
          <w:vertAlign w:val="superscript"/>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Insert the greater of (i) book value of the Shares on the Trade Date and (ii) the market value of the Shares on the Trade Date. For an NYSE issuer, the market value will be the closing price of the Shares on the night of pricing.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976" w:right="23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w w:val="96"/>
              </w:rPr>
              <w:t>Day or a number of Scheduled Trading Days as the Expiration Date(s) for the remaining Daily</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w w:val="92"/>
              </w:rPr>
              <w:t xml:space="preserve">Number of Warrants or a portion thereof for the originally scheduled Expiration Date; and </w:t>
            </w:r>
            <w:r>
              <w:rPr>
                <w:rFonts w:ascii="Arial" w:cs="Arial" w:eastAsia="Arial" w:hAnsi="Arial"/>
                <w:sz w:val="18"/>
                <w:szCs w:val="18"/>
                <w:i w:val="1"/>
                <w:iCs w:val="1"/>
                <w:color w:val="auto"/>
                <w:w w:val="92"/>
              </w:rPr>
              <w:t>provided</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i w:val="1"/>
                <w:iCs w:val="1"/>
                <w:color w:val="auto"/>
                <w:w w:val="99"/>
              </w:rPr>
              <w:t xml:space="preserve">further </w:t>
            </w:r>
            <w:r>
              <w:rPr>
                <w:rFonts w:ascii="Arial" w:cs="Arial" w:eastAsia="Arial" w:hAnsi="Arial"/>
                <w:sz w:val="18"/>
                <w:szCs w:val="18"/>
                <w:color w:val="auto"/>
                <w:w w:val="99"/>
              </w:rPr>
              <w:t>that if such Expiration Date has not occurred pursuant to this clause as of the eighth</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w w:val="94"/>
              </w:rPr>
              <w:t>Scheduled Trading Day following the last scheduled Expiration Date under the Transaction, the</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w w:val="98"/>
              </w:rPr>
              <w:t>Calculation Agent shall have the right to declare such Scheduled Trading Day to be the final</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w w:val="97"/>
              </w:rPr>
              <w:t>Expiration Date and the Calculation Agent shall determine the prevailing market value for the</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w w:val="96"/>
              </w:rPr>
              <w:t>Shares as of the Valuation Time on that eighth Scheduled Trading Day or on any subsequent</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w w:val="92"/>
              </w:rPr>
              <w:t>Scheduled Trading Day, as the Calculation Agent shall determine using commercially reasonable</w:t>
            </w:r>
          </w:p>
        </w:tc>
      </w:tr>
      <w:tr>
        <w:trPr>
          <w:trHeight w:val="230"/>
        </w:trPr>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means.</w:t>
            </w:r>
          </w:p>
        </w:tc>
      </w:tr>
      <w:tr>
        <w:trPr>
          <w:trHeight w:val="377"/>
        </w:trPr>
        <w:tc>
          <w:tcPr>
            <w:tcW w:w="2920" w:type="dxa"/>
            <w:vAlign w:val="bottom"/>
            <w:gridSpan w:val="3"/>
          </w:tcPr>
          <w:p>
            <w:pPr>
              <w:ind w:left="320"/>
              <w:spacing w:after="0"/>
              <w:rPr>
                <w:sz w:val="20"/>
                <w:szCs w:val="20"/>
                <w:color w:val="auto"/>
              </w:rPr>
            </w:pPr>
            <w:r>
              <w:rPr>
                <w:rFonts w:ascii="Arial" w:cs="Arial" w:eastAsia="Arial" w:hAnsi="Arial"/>
                <w:sz w:val="18"/>
                <w:szCs w:val="18"/>
                <w:color w:val="auto"/>
              </w:rPr>
              <w:t>First Expiration Date:</w:t>
            </w:r>
          </w:p>
        </w:tc>
        <w:tc>
          <w:tcPr>
            <w:tcW w:w="7840" w:type="dxa"/>
            <w:vAlign w:val="bottom"/>
          </w:tcPr>
          <w:p>
            <w:pPr>
              <w:ind w:left="640"/>
              <w:spacing w:after="0"/>
              <w:rPr>
                <w:sz w:val="20"/>
                <w:szCs w:val="20"/>
                <w:color w:val="auto"/>
              </w:rPr>
            </w:pPr>
            <w:r>
              <w:rPr>
                <w:rFonts w:ascii="Arial" w:cs="Arial" w:eastAsia="Arial" w:hAnsi="Arial"/>
                <w:sz w:val="18"/>
                <w:szCs w:val="18"/>
                <w:color w:val="auto"/>
                <w:w w:val="93"/>
              </w:rPr>
              <w:t>December 15, 2022 (or if such day is not a Scheduled Trading Day, the next following Scheduled</w:t>
            </w:r>
          </w:p>
        </w:tc>
      </w:tr>
      <w:tr>
        <w:trPr>
          <w:trHeight w:val="230"/>
        </w:trPr>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Trading Day), subject to Market Disruption Event below.</w:t>
            </w:r>
          </w:p>
        </w:tc>
      </w:tr>
      <w:tr>
        <w:trPr>
          <w:trHeight w:val="377"/>
        </w:trPr>
        <w:tc>
          <w:tcPr>
            <w:tcW w:w="2920" w:type="dxa"/>
            <w:vAlign w:val="bottom"/>
            <w:gridSpan w:val="3"/>
          </w:tcPr>
          <w:p>
            <w:pPr>
              <w:ind w:left="320"/>
              <w:spacing w:after="0"/>
              <w:rPr>
                <w:sz w:val="20"/>
                <w:szCs w:val="20"/>
                <w:color w:val="auto"/>
              </w:rPr>
            </w:pPr>
            <w:r>
              <w:rPr>
                <w:rFonts w:ascii="Arial" w:cs="Arial" w:eastAsia="Arial" w:hAnsi="Arial"/>
                <w:sz w:val="18"/>
                <w:szCs w:val="18"/>
                <w:color w:val="auto"/>
              </w:rPr>
              <w:t>Daily Number of Warrants:</w:t>
            </w:r>
          </w:p>
        </w:tc>
        <w:tc>
          <w:tcPr>
            <w:tcW w:w="7840" w:type="dxa"/>
            <w:vAlign w:val="bottom"/>
          </w:tcPr>
          <w:p>
            <w:pPr>
              <w:ind w:left="640"/>
              <w:spacing w:after="0"/>
              <w:rPr>
                <w:sz w:val="20"/>
                <w:szCs w:val="20"/>
                <w:color w:val="auto"/>
              </w:rPr>
            </w:pPr>
            <w:r>
              <w:rPr>
                <w:rFonts w:ascii="Arial" w:cs="Arial" w:eastAsia="Arial" w:hAnsi="Arial"/>
                <w:sz w:val="18"/>
                <w:szCs w:val="18"/>
                <w:color w:val="auto"/>
                <w:w w:val="94"/>
              </w:rPr>
              <w:t>For any Expiration Date, the Number of Warrants that have not expired or been exercised as of</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w w:val="96"/>
              </w:rPr>
              <w:t xml:space="preserve">such day, </w:t>
            </w:r>
            <w:r>
              <w:rPr>
                <w:rFonts w:ascii="Arial" w:cs="Arial" w:eastAsia="Arial" w:hAnsi="Arial"/>
                <w:sz w:val="18"/>
                <w:szCs w:val="18"/>
                <w:i w:val="1"/>
                <w:iCs w:val="1"/>
                <w:color w:val="auto"/>
                <w:w w:val="96"/>
              </w:rPr>
              <w:t>divided</w:t>
            </w:r>
            <w:r>
              <w:rPr>
                <w:rFonts w:ascii="Arial" w:cs="Arial" w:eastAsia="Arial" w:hAnsi="Arial"/>
                <w:sz w:val="18"/>
                <w:szCs w:val="18"/>
                <w:color w:val="auto"/>
                <w:w w:val="96"/>
              </w:rPr>
              <w:t xml:space="preserve"> by the remaining number of Expiration Dates (including such day), rounded</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w w:val="93"/>
              </w:rPr>
              <w:t>down to the nearest whole number, subject to adjustment pursuant to the provisos to “Expiration</w:t>
            </w:r>
          </w:p>
        </w:tc>
      </w:tr>
      <w:tr>
        <w:trPr>
          <w:trHeight w:val="230"/>
        </w:trPr>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Dates”.</w:t>
            </w:r>
          </w:p>
        </w:tc>
      </w:tr>
      <w:tr>
        <w:trPr>
          <w:trHeight w:val="377"/>
        </w:trPr>
        <w:tc>
          <w:tcPr>
            <w:tcW w:w="2920" w:type="dxa"/>
            <w:vAlign w:val="bottom"/>
            <w:gridSpan w:val="3"/>
          </w:tcPr>
          <w:p>
            <w:pPr>
              <w:ind w:left="320"/>
              <w:spacing w:after="0"/>
              <w:rPr>
                <w:sz w:val="20"/>
                <w:szCs w:val="20"/>
                <w:color w:val="auto"/>
              </w:rPr>
            </w:pPr>
            <w:r>
              <w:rPr>
                <w:rFonts w:ascii="Arial" w:cs="Arial" w:eastAsia="Arial" w:hAnsi="Arial"/>
                <w:sz w:val="18"/>
                <w:szCs w:val="18"/>
                <w:color w:val="auto"/>
              </w:rPr>
              <w:t>Automatic Exercise:</w:t>
            </w:r>
          </w:p>
        </w:tc>
        <w:tc>
          <w:tcPr>
            <w:tcW w:w="7840" w:type="dxa"/>
            <w:vAlign w:val="bottom"/>
          </w:tcPr>
          <w:p>
            <w:pPr>
              <w:ind w:left="640"/>
              <w:spacing w:after="0"/>
              <w:rPr>
                <w:sz w:val="20"/>
                <w:szCs w:val="20"/>
                <w:color w:val="auto"/>
              </w:rPr>
            </w:pPr>
            <w:r>
              <w:rPr>
                <w:rFonts w:ascii="Arial" w:cs="Arial" w:eastAsia="Arial" w:hAnsi="Arial"/>
                <w:sz w:val="18"/>
                <w:szCs w:val="18"/>
                <w:color w:val="auto"/>
                <w:w w:val="96"/>
              </w:rPr>
              <w:t>Applicable; and means that for each Expiration Date, a number of Warrants equal to the Daily</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w w:val="93"/>
              </w:rPr>
              <w:t>Number of Warrants for such Expiration Date will be deemed to be automatically exercised at the</w:t>
            </w:r>
          </w:p>
        </w:tc>
      </w:tr>
      <w:tr>
        <w:trPr>
          <w:trHeight w:val="230"/>
        </w:trPr>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Expiration Time on such Expiration Date.</w:t>
            </w:r>
          </w:p>
        </w:tc>
      </w:tr>
      <w:tr>
        <w:trPr>
          <w:trHeight w:val="377"/>
        </w:trPr>
        <w:tc>
          <w:tcPr>
            <w:tcW w:w="2920" w:type="dxa"/>
            <w:vAlign w:val="bottom"/>
            <w:gridSpan w:val="3"/>
          </w:tcPr>
          <w:p>
            <w:pPr>
              <w:ind w:left="320"/>
              <w:spacing w:after="0"/>
              <w:rPr>
                <w:sz w:val="20"/>
                <w:szCs w:val="20"/>
                <w:color w:val="auto"/>
              </w:rPr>
            </w:pPr>
            <w:r>
              <w:rPr>
                <w:rFonts w:ascii="Arial" w:cs="Arial" w:eastAsia="Arial" w:hAnsi="Arial"/>
                <w:sz w:val="18"/>
                <w:szCs w:val="18"/>
                <w:color w:val="auto"/>
              </w:rPr>
              <w:t>Market Disruption Event:</w:t>
            </w:r>
          </w:p>
        </w:tc>
        <w:tc>
          <w:tcPr>
            <w:tcW w:w="7840" w:type="dxa"/>
            <w:vAlign w:val="bottom"/>
          </w:tcPr>
          <w:p>
            <w:pPr>
              <w:ind w:left="640"/>
              <w:spacing w:after="0"/>
              <w:rPr>
                <w:sz w:val="20"/>
                <w:szCs w:val="20"/>
                <w:color w:val="auto"/>
              </w:rPr>
            </w:pPr>
            <w:r>
              <w:rPr>
                <w:rFonts w:ascii="Arial" w:cs="Arial" w:eastAsia="Arial" w:hAnsi="Arial"/>
                <w:sz w:val="18"/>
                <w:szCs w:val="18"/>
                <w:color w:val="auto"/>
                <w:w w:val="95"/>
              </w:rPr>
              <w:t>Section 6.3(a) of the Equity Definitions is hereby amended by replacing clause (ii) in its entirety</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w w:val="95"/>
              </w:rPr>
              <w:t>with “(ii) an Exchange Disruption, or” and inserting immediately following clause (iii) the phrase</w:t>
            </w:r>
          </w:p>
        </w:tc>
      </w:tr>
      <w:tr>
        <w:trPr>
          <w:trHeight w:val="230"/>
        </w:trPr>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 in each case that the Calculation Agent determines is material.”</w:t>
            </w:r>
          </w:p>
        </w:tc>
      </w:tr>
      <w:tr>
        <w:trPr>
          <w:trHeight w:val="377"/>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w w:val="99"/>
              </w:rPr>
              <w:t>Section 6.3(d) of the Equity Definitions is hereby amended by deleting the remainder of the</w:t>
            </w:r>
          </w:p>
        </w:tc>
      </w:tr>
      <w:tr>
        <w:trPr>
          <w:trHeight w:val="230"/>
        </w:trPr>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provision following the words “Scheduled Closing Time” in the fourth line thereof.</w:t>
            </w:r>
          </w:p>
        </w:tc>
      </w:tr>
      <w:tr>
        <w:trPr>
          <w:trHeight w:val="351"/>
        </w:trPr>
        <w:tc>
          <w:tcPr>
            <w:tcW w:w="2920" w:type="dxa"/>
            <w:vAlign w:val="bottom"/>
            <w:gridSpan w:val="3"/>
          </w:tcPr>
          <w:p>
            <w:pPr>
              <w:spacing w:after="0"/>
              <w:rPr>
                <w:sz w:val="20"/>
                <w:szCs w:val="20"/>
                <w:color w:val="auto"/>
              </w:rPr>
            </w:pPr>
            <w:r>
              <w:rPr>
                <w:rFonts w:ascii="Arial" w:cs="Arial" w:eastAsia="Arial" w:hAnsi="Arial"/>
                <w:sz w:val="18"/>
                <w:szCs w:val="18"/>
                <w:i w:val="1"/>
                <w:iCs w:val="1"/>
                <w:color w:val="auto"/>
              </w:rPr>
              <w:t>Valuation Terms</w:t>
            </w:r>
            <w:r>
              <w:rPr>
                <w:rFonts w:ascii="Arial" w:cs="Arial" w:eastAsia="Arial" w:hAnsi="Arial"/>
                <w:sz w:val="18"/>
                <w:szCs w:val="18"/>
                <w:color w:val="auto"/>
              </w:rPr>
              <w:t>.</w:t>
            </w:r>
          </w:p>
        </w:tc>
        <w:tc>
          <w:tcPr>
            <w:tcW w:w="7840" w:type="dxa"/>
            <w:vAlign w:val="bottom"/>
          </w:tcPr>
          <w:p>
            <w:pPr>
              <w:spacing w:after="0"/>
              <w:rPr>
                <w:sz w:val="24"/>
                <w:szCs w:val="24"/>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398"/>
        </w:trPr>
        <w:tc>
          <w:tcPr>
            <w:tcW w:w="2920" w:type="dxa"/>
            <w:vAlign w:val="bottom"/>
            <w:gridSpan w:val="3"/>
          </w:tcPr>
          <w:p>
            <w:pPr>
              <w:ind w:left="320"/>
              <w:spacing w:after="0"/>
              <w:rPr>
                <w:sz w:val="20"/>
                <w:szCs w:val="20"/>
                <w:color w:val="auto"/>
              </w:rPr>
            </w:pPr>
            <w:r>
              <w:rPr>
                <w:rFonts w:ascii="Arial" w:cs="Arial" w:eastAsia="Arial" w:hAnsi="Arial"/>
                <w:sz w:val="18"/>
                <w:szCs w:val="18"/>
                <w:color w:val="auto"/>
              </w:rPr>
              <w:t>Valuation Time:</w:t>
            </w:r>
          </w:p>
        </w:tc>
        <w:tc>
          <w:tcPr>
            <w:tcW w:w="7840" w:type="dxa"/>
            <w:vAlign w:val="bottom"/>
          </w:tcPr>
          <w:p>
            <w:pPr>
              <w:ind w:left="640"/>
              <w:spacing w:after="0"/>
              <w:rPr>
                <w:sz w:val="20"/>
                <w:szCs w:val="20"/>
                <w:color w:val="auto"/>
              </w:rPr>
            </w:pPr>
            <w:r>
              <w:rPr>
                <w:rFonts w:ascii="Arial" w:cs="Arial" w:eastAsia="Arial" w:hAnsi="Arial"/>
                <w:sz w:val="18"/>
                <w:szCs w:val="18"/>
                <w:color w:val="auto"/>
                <w:w w:val="92"/>
              </w:rPr>
              <w:t xml:space="preserve">Scheduled Closing Time;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xml:space="preserve"> that if the principal trading session is extended, the Calculation</w:t>
            </w:r>
          </w:p>
        </w:tc>
      </w:tr>
      <w:tr>
        <w:trPr>
          <w:trHeight w:val="230"/>
        </w:trPr>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Agent shall determine the Valuation Time in its reasonable discretion.</w:t>
            </w:r>
          </w:p>
        </w:tc>
      </w:tr>
      <w:tr>
        <w:trPr>
          <w:trHeight w:val="392"/>
        </w:trPr>
        <w:tc>
          <w:tcPr>
            <w:tcW w:w="2920" w:type="dxa"/>
            <w:vAlign w:val="bottom"/>
            <w:gridSpan w:val="3"/>
          </w:tcPr>
          <w:p>
            <w:pPr>
              <w:ind w:left="320"/>
              <w:spacing w:after="0"/>
              <w:rPr>
                <w:sz w:val="20"/>
                <w:szCs w:val="20"/>
                <w:color w:val="auto"/>
              </w:rPr>
            </w:pPr>
            <w:r>
              <w:rPr>
                <w:rFonts w:ascii="Arial" w:cs="Arial" w:eastAsia="Arial" w:hAnsi="Arial"/>
                <w:sz w:val="18"/>
                <w:szCs w:val="18"/>
                <w:color w:val="auto"/>
              </w:rPr>
              <w:t>Valuation Date:</w:t>
            </w:r>
          </w:p>
        </w:tc>
        <w:tc>
          <w:tcPr>
            <w:tcW w:w="7840" w:type="dxa"/>
            <w:vAlign w:val="bottom"/>
          </w:tcPr>
          <w:p>
            <w:pPr>
              <w:ind w:left="640"/>
              <w:spacing w:after="0"/>
              <w:rPr>
                <w:sz w:val="20"/>
                <w:szCs w:val="20"/>
                <w:color w:val="auto"/>
              </w:rPr>
            </w:pPr>
            <w:r>
              <w:rPr>
                <w:rFonts w:ascii="Arial" w:cs="Arial" w:eastAsia="Arial" w:hAnsi="Arial"/>
                <w:sz w:val="18"/>
                <w:szCs w:val="18"/>
                <w:color w:val="auto"/>
              </w:rPr>
              <w:t>Each Exercise Date.</w:t>
            </w:r>
          </w:p>
        </w:tc>
      </w:tr>
      <w:tr>
        <w:trPr>
          <w:trHeight w:val="351"/>
        </w:trPr>
        <w:tc>
          <w:tcPr>
            <w:tcW w:w="2920" w:type="dxa"/>
            <w:vAlign w:val="bottom"/>
            <w:gridSpan w:val="3"/>
          </w:tcPr>
          <w:p>
            <w:pPr>
              <w:spacing w:after="0"/>
              <w:rPr>
                <w:sz w:val="20"/>
                <w:szCs w:val="20"/>
                <w:color w:val="auto"/>
              </w:rPr>
            </w:pPr>
            <w:r>
              <w:rPr>
                <w:rFonts w:ascii="Arial" w:cs="Arial" w:eastAsia="Arial" w:hAnsi="Arial"/>
                <w:sz w:val="18"/>
                <w:szCs w:val="18"/>
                <w:i w:val="1"/>
                <w:iCs w:val="1"/>
                <w:color w:val="auto"/>
              </w:rPr>
              <w:t>Settlement Terms</w:t>
            </w:r>
            <w:r>
              <w:rPr>
                <w:rFonts w:ascii="Arial" w:cs="Arial" w:eastAsia="Arial" w:hAnsi="Arial"/>
                <w:sz w:val="18"/>
                <w:szCs w:val="18"/>
                <w:color w:val="auto"/>
              </w:rPr>
              <w:t>.</w:t>
            </w:r>
          </w:p>
        </w:tc>
        <w:tc>
          <w:tcPr>
            <w:tcW w:w="7840" w:type="dxa"/>
            <w:vAlign w:val="bottom"/>
          </w:tcPr>
          <w:p>
            <w:pPr>
              <w:spacing w:after="0"/>
              <w:rPr>
                <w:sz w:val="24"/>
                <w:szCs w:val="24"/>
                <w:color w:val="auto"/>
              </w:rPr>
            </w:pPr>
          </w:p>
        </w:tc>
      </w:tr>
      <w:tr>
        <w:trPr>
          <w:trHeight w:val="20"/>
        </w:trPr>
        <w:tc>
          <w:tcPr>
            <w:tcW w:w="1220" w:type="dxa"/>
            <w:vAlign w:val="bottom"/>
            <w:gridSpan w:val="2"/>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412"/>
        </w:trPr>
        <w:tc>
          <w:tcPr>
            <w:tcW w:w="2920" w:type="dxa"/>
            <w:vAlign w:val="bottom"/>
            <w:gridSpan w:val="3"/>
          </w:tcPr>
          <w:p>
            <w:pPr>
              <w:ind w:left="320"/>
              <w:spacing w:after="0"/>
              <w:rPr>
                <w:sz w:val="20"/>
                <w:szCs w:val="20"/>
                <w:color w:val="auto"/>
              </w:rPr>
            </w:pPr>
            <w:r>
              <w:rPr>
                <w:rFonts w:ascii="Arial" w:cs="Arial" w:eastAsia="Arial" w:hAnsi="Arial"/>
                <w:sz w:val="18"/>
                <w:szCs w:val="18"/>
                <w:color w:val="auto"/>
              </w:rPr>
              <w:t>Settlement Method:</w:t>
            </w:r>
          </w:p>
        </w:tc>
        <w:tc>
          <w:tcPr>
            <w:tcW w:w="7840" w:type="dxa"/>
            <w:vAlign w:val="bottom"/>
          </w:tcPr>
          <w:p>
            <w:pPr>
              <w:ind w:left="640"/>
              <w:spacing w:after="0"/>
              <w:rPr>
                <w:sz w:val="20"/>
                <w:szCs w:val="20"/>
                <w:color w:val="auto"/>
              </w:rPr>
            </w:pPr>
            <w:r>
              <w:rPr>
                <w:rFonts w:ascii="Arial" w:cs="Arial" w:eastAsia="Arial" w:hAnsi="Arial"/>
                <w:sz w:val="18"/>
                <w:szCs w:val="18"/>
                <w:color w:val="auto"/>
              </w:rPr>
              <w:t>Net Share Settlement.</w:t>
            </w:r>
          </w:p>
        </w:tc>
      </w:tr>
      <w:tr>
        <w:trPr>
          <w:trHeight w:val="377"/>
        </w:trPr>
        <w:tc>
          <w:tcPr>
            <w:tcW w:w="2920" w:type="dxa"/>
            <w:vAlign w:val="bottom"/>
            <w:gridSpan w:val="3"/>
          </w:tcPr>
          <w:p>
            <w:pPr>
              <w:ind w:left="320"/>
              <w:spacing w:after="0"/>
              <w:rPr>
                <w:sz w:val="20"/>
                <w:szCs w:val="20"/>
                <w:color w:val="auto"/>
              </w:rPr>
            </w:pPr>
            <w:r>
              <w:rPr>
                <w:rFonts w:ascii="Arial" w:cs="Arial" w:eastAsia="Arial" w:hAnsi="Arial"/>
                <w:sz w:val="18"/>
                <w:szCs w:val="18"/>
                <w:color w:val="auto"/>
              </w:rPr>
              <w:t>Net Share Settlement:</w:t>
            </w:r>
          </w:p>
        </w:tc>
        <w:tc>
          <w:tcPr>
            <w:tcW w:w="7840" w:type="dxa"/>
            <w:vAlign w:val="bottom"/>
          </w:tcPr>
          <w:p>
            <w:pPr>
              <w:ind w:left="640"/>
              <w:spacing w:after="0"/>
              <w:rPr>
                <w:sz w:val="20"/>
                <w:szCs w:val="20"/>
                <w:color w:val="auto"/>
              </w:rPr>
            </w:pPr>
            <w:r>
              <w:rPr>
                <w:rFonts w:ascii="Arial" w:cs="Arial" w:eastAsia="Arial" w:hAnsi="Arial"/>
                <w:sz w:val="18"/>
                <w:szCs w:val="18"/>
                <w:color w:val="auto"/>
                <w:w w:val="91"/>
              </w:rPr>
              <w:t>On the relevant Settlement Date, Company shall deliver to Dealer a number of Shares equal to the</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w w:val="92"/>
              </w:rPr>
              <w:t>Share Delivery Quantity for such Settlement Date to the account specified herein free of payment</w:t>
            </w:r>
          </w:p>
        </w:tc>
      </w:tr>
      <w:tr>
        <w:trPr>
          <w:trHeight w:val="230"/>
        </w:trPr>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through the Clearance System, and</w:t>
            </w:r>
          </w:p>
        </w:tc>
      </w:tr>
      <w:tr>
        <w:trPr>
          <w:trHeight w:val="793"/>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840" w:type="dxa"/>
            <w:vAlign w:val="bottom"/>
          </w:tcPr>
          <w:p>
            <w:pPr>
              <w:ind w:left="2100"/>
              <w:spacing w:after="0"/>
              <w:rPr>
                <w:sz w:val="20"/>
                <w:szCs w:val="20"/>
                <w:color w:val="auto"/>
              </w:rPr>
            </w:pPr>
            <w:r>
              <w:rPr>
                <w:rFonts w:ascii="Arial" w:cs="Arial" w:eastAsia="Arial" w:hAnsi="Arial"/>
                <w:sz w:val="17"/>
                <w:szCs w:val="17"/>
                <w:color w:val="auto"/>
              </w:rPr>
              <w:t>3</w:t>
            </w:r>
          </w:p>
        </w:tc>
      </w:tr>
    </w:tbl>
    <w:p>
      <w:pPr>
        <w:sectPr>
          <w:pgSz w:w="11900" w:h="16838" w:orient="portrait"/>
          <w:cols w:equalWidth="0" w:num="1">
            <w:col w:w="10760"/>
          </w:cols>
          <w:pgMar w:left="900" w:top="976" w:right="239" w:bottom="1440" w:gutter="0" w:footer="0" w:header="0"/>
        </w:sectPr>
      </w:pPr>
    </w:p>
    <w:bookmarkStart w:id="214" w:name="page215"/>
    <w:bookmarkEnd w:id="214"/>
    <w:p>
      <w:pPr>
        <w:jc w:val="both"/>
        <w:ind w:left="3240"/>
        <w:spacing w:after="0" w:line="259" w:lineRule="auto"/>
        <w:rPr>
          <w:sz w:val="20"/>
          <w:szCs w:val="20"/>
          <w:color w:val="auto"/>
        </w:rPr>
      </w:pPr>
      <w:r>
        <w:rPr>
          <w:rFonts w:ascii="Arial" w:cs="Arial" w:eastAsia="Arial" w:hAnsi="Arial"/>
          <w:sz w:val="18"/>
          <w:szCs w:val="18"/>
          <w:color w:val="auto"/>
        </w:rPr>
        <w:t>Dealer shall be treated as the holder of record of such Shares at the time of delivery of such Shares or, if earlier, at 5:00 p.m. (New York City time) on such Settlement Date, and Company shall pay to Dealer cash in lieu of any fractional Share based on the Settlement Price on the relevant Valuation Date.</w:t>
      </w:r>
    </w:p>
    <w:p>
      <w:pPr>
        <w:sectPr>
          <w:pgSz w:w="11900" w:h="16838" w:orient="portrait"/>
          <w:cols w:equalWidth="0" w:num="1">
            <w:col w:w="10440"/>
          </w:cols>
          <w:pgMar w:left="1220" w:top="976" w:right="239"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Share Delivery Quantity:</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For any Settlement Date, a number of Shares, as calculated by the Calculation Agent, equal to the Net Share Settlement Amount for such Settlement Date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Settlement Price on the Valuation Date for such Settlement Date.</w:t>
      </w:r>
    </w:p>
    <w:p>
      <w:pPr>
        <w:spacing w:after="0" w:line="141" w:lineRule="exact"/>
        <w:rPr>
          <w:sz w:val="20"/>
          <w:szCs w:val="20"/>
          <w:color w:val="auto"/>
        </w:rPr>
      </w:pPr>
    </w:p>
    <w:p>
      <w:pPr>
        <w:sectPr>
          <w:pgSz w:w="11900" w:h="16838" w:orient="portrait"/>
          <w:cols w:equalWidth="0" w:num="2">
            <w:col w:w="2520" w:space="720"/>
            <w:col w:w="7200"/>
          </w:cols>
          <w:pgMar w:left="1220" w:top="976" w:right="239" w:bottom="1440" w:gutter="0" w:footer="0" w:header="0"/>
          <w:type w:val="continuous"/>
        </w:sectPr>
      </w:pPr>
    </w:p>
    <w:p>
      <w:pPr>
        <w:spacing w:after="0"/>
        <w:rPr>
          <w:sz w:val="20"/>
          <w:szCs w:val="20"/>
          <w:color w:val="auto"/>
        </w:rPr>
      </w:pPr>
      <w:r>
        <w:rPr>
          <w:rFonts w:ascii="Arial" w:cs="Arial" w:eastAsia="Arial" w:hAnsi="Arial"/>
          <w:sz w:val="16"/>
          <w:szCs w:val="16"/>
          <w:color w:val="auto"/>
        </w:rPr>
        <w:t>Net Share Settlement Amount:</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For any Settlement Date, an amount equal to the product of (i) the number of Warrants exercised or deemed exercised on the relevant Exercise Date</w:t>
      </w:r>
      <w:r>
        <w:rPr>
          <w:rFonts w:ascii="Arial" w:cs="Arial" w:eastAsia="Arial" w:hAnsi="Arial"/>
          <w:sz w:val="18"/>
          <w:szCs w:val="18"/>
          <w:i w:val="1"/>
          <w:iCs w:val="1"/>
          <w:color w:val="auto"/>
        </w:rPr>
        <w:t>,</w:t>
      </w:r>
      <w:r>
        <w:rPr>
          <w:rFonts w:ascii="Arial" w:cs="Arial" w:eastAsia="Arial" w:hAnsi="Arial"/>
          <w:sz w:val="18"/>
          <w:szCs w:val="18"/>
          <w:color w:val="auto"/>
        </w:rPr>
        <w:t xml:space="preserve"> (ii) the Strike Price Differential for the relevant Valuation Date and (iii) the Warrant Entitlement.</w:t>
      </w:r>
    </w:p>
    <w:p>
      <w:pPr>
        <w:spacing w:after="0" w:line="141" w:lineRule="exact"/>
        <w:rPr>
          <w:sz w:val="20"/>
          <w:szCs w:val="20"/>
          <w:color w:val="auto"/>
        </w:rPr>
      </w:pPr>
    </w:p>
    <w:p>
      <w:pPr>
        <w:sectPr>
          <w:pgSz w:w="11900" w:h="16838" w:orient="portrait"/>
          <w:cols w:equalWidth="0" w:num="2">
            <w:col w:w="2520" w:space="720"/>
            <w:col w:w="7200"/>
          </w:cols>
          <w:pgMar w:left="1220" w:top="976"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Price:</w:t>
      </w:r>
    </w:p>
    <w:p>
      <w:pPr>
        <w:spacing w:after="0" w:line="20" w:lineRule="exact"/>
        <w:rPr>
          <w:sz w:val="20"/>
          <w:szCs w:val="20"/>
          <w:color w:val="auto"/>
        </w:rPr>
      </w:pPr>
      <w:r>
        <w:rPr>
          <w:sz w:val="20"/>
          <w:szCs w:val="20"/>
          <w:color w:val="auto"/>
        </w:rPr>
        <w:br w:type="column"/>
      </w:r>
    </w:p>
    <w:p>
      <w:pPr>
        <w:jc w:val="both"/>
        <w:spacing w:after="0" w:line="269" w:lineRule="auto"/>
        <w:rPr>
          <w:sz w:val="20"/>
          <w:szCs w:val="20"/>
          <w:color w:val="auto"/>
        </w:rPr>
      </w:pPr>
      <w:r>
        <w:rPr>
          <w:rFonts w:ascii="Arial" w:cs="Arial" w:eastAsia="Arial" w:hAnsi="Arial"/>
          <w:sz w:val="17"/>
          <w:szCs w:val="17"/>
          <w:color w:val="auto"/>
        </w:rPr>
        <w:t>For any Valuation Date, the per Share volume-weighted average price as displayed under the heading “Bloomberg VWAP” on Bloomberg page VAC &lt;equity&gt; AQR (or any successor thereto) in respect of the period from the scheduled opening time of the Exchange to the Scheduled Closing Time on such Valuation Date (or if such volume-weighted average price is unavailable, the market value of one Share on such Valuation Date, as determined by the Calculation Agent). Notwithstanding the foregoing, if (i) any Expiration Date is a Disrupted Day and (ii) the Calculation Agent determines that such Expiration Date shall be an Expiration Date for fewer than the Daily Number of Warrants, as described above, then the Settlement Price for the relevant Valuation Date shall be the volume-weighted average price per Share on such Valuation Date on the Exchange, as determined by the Calculation Agent based on such sources as it deems appropriate using a volume-weighted methodology, for the portion of such Valuation Date for which the Calculation Agent determines there is no Market Disruption Event.</w:t>
      </w:r>
    </w:p>
    <w:p>
      <w:pPr>
        <w:spacing w:after="0" w:line="139" w:lineRule="exact"/>
        <w:rPr>
          <w:sz w:val="20"/>
          <w:szCs w:val="20"/>
          <w:color w:val="auto"/>
        </w:rPr>
      </w:pPr>
    </w:p>
    <w:p>
      <w:pPr>
        <w:sectPr>
          <w:pgSz w:w="11900" w:h="16838" w:orient="portrait"/>
          <w:cols w:equalWidth="0" w:num="2">
            <w:col w:w="2520" w:space="720"/>
            <w:col w:w="7200"/>
          </w:cols>
          <w:pgMar w:left="1220" w:top="976"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determined pursuant to Section 9.4 of the Equity Definitions, subject to Section 9(k)(i) hereof.</w:t>
      </w:r>
    </w:p>
    <w:p>
      <w:pPr>
        <w:spacing w:after="0" w:line="200" w:lineRule="exact"/>
        <w:rPr>
          <w:sz w:val="20"/>
          <w:szCs w:val="20"/>
          <w:color w:val="auto"/>
        </w:rPr>
      </w:pPr>
    </w:p>
    <w:p>
      <w:pPr>
        <w:sectPr>
          <w:pgSz w:w="11900" w:h="16838" w:orient="portrait"/>
          <w:cols w:equalWidth="0" w:num="2">
            <w:col w:w="2520" w:space="720"/>
            <w:col w:w="7200"/>
          </w:cols>
          <w:pgMar w:left="1220" w:top="976" w:right="2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The provisions of Sections 9.1(c), 9.8, 9.9, 9.11 and 9.12 of the Equity Definitions will be applicable, except that all references in such provisions to “Physically-settled” shall be read as references to “Net Share Settled.” “Net Share Settled” in relation to any Warrant means that Net Share Settlement is applicable to that Warrant.</w:t>
      </w:r>
    </w:p>
    <w:p>
      <w:pPr>
        <w:spacing w:after="0" w:line="146" w:lineRule="exact"/>
        <w:rPr>
          <w:sz w:val="20"/>
          <w:szCs w:val="20"/>
          <w:color w:val="auto"/>
        </w:rPr>
      </w:pPr>
    </w:p>
    <w:p>
      <w:pPr>
        <w:sectPr>
          <w:pgSz w:w="11900" w:h="16838" w:orient="portrait"/>
          <w:cols w:equalWidth="0" w:num="2">
            <w:col w:w="2520" w:space="720"/>
            <w:col w:w="7200"/>
          </w:cols>
          <w:pgMar w:left="1220" w:top="976" w:right="239" w:bottom="1440" w:gutter="0" w:footer="0" w:header="0"/>
          <w:type w:val="continuous"/>
        </w:sectPr>
      </w:pPr>
    </w:p>
    <w:p>
      <w:pPr>
        <w:spacing w:after="0"/>
        <w:rPr>
          <w:sz w:val="20"/>
          <w:szCs w:val="20"/>
          <w:color w:val="auto"/>
        </w:rPr>
      </w:pPr>
      <w:r>
        <w:rPr>
          <w:rFonts w:ascii="Arial" w:cs="Arial" w:eastAsia="Arial" w:hAnsi="Arial"/>
          <w:sz w:val="16"/>
          <w:szCs w:val="16"/>
          <w:color w:val="auto"/>
        </w:rPr>
        <w:t>Representation and Agreement:</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Notwithstanding Section 9.11 of the Equity Definitions, the parties acknowledge that any Shares delivered to Dealer may be, upon delivery, subject to restrictions and limitations arising from Company’s status as issuer of the Shares under applicable securities laws.</w:t>
      </w:r>
    </w:p>
    <w:p>
      <w:pPr>
        <w:spacing w:after="0" w:line="200" w:lineRule="exact"/>
        <w:rPr>
          <w:sz w:val="20"/>
          <w:szCs w:val="20"/>
          <w:color w:val="auto"/>
        </w:rPr>
      </w:pPr>
    </w:p>
    <w:p>
      <w:pPr>
        <w:sectPr>
          <w:pgSz w:w="11900" w:h="16838" w:orient="portrait"/>
          <w:cols w:equalWidth="0" w:num="2">
            <w:col w:w="2520" w:space="720"/>
            <w:col w:w="7200"/>
          </w:cols>
          <w:pgMar w:left="1220" w:top="976" w:right="239" w:bottom="1440" w:gutter="0" w:footer="0" w:header="0"/>
          <w:type w:val="continuous"/>
        </w:sectPr>
      </w:pPr>
    </w:p>
    <w:p>
      <w:pPr>
        <w:spacing w:after="0" w:line="200" w:lineRule="exact"/>
        <w:rPr>
          <w:sz w:val="20"/>
          <w:szCs w:val="20"/>
          <w:color w:val="auto"/>
        </w:rPr>
      </w:pPr>
    </w:p>
    <w:p>
      <w:pPr>
        <w:spacing w:after="0" w:line="372"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440"/>
          </w:cols>
          <w:pgMar w:left="1220" w:top="976" w:right="239" w:bottom="1440" w:gutter="0" w:footer="0" w:header="0"/>
          <w:type w:val="continuous"/>
        </w:sectPr>
      </w:pPr>
    </w:p>
    <w:bookmarkStart w:id="215" w:name="page216"/>
    <w:bookmarkEnd w:id="215"/>
    <w:p>
      <w:pPr>
        <w:ind w:left="652" w:right="7100" w:hanging="652"/>
        <w:spacing w:after="0" w:line="513" w:lineRule="auto"/>
        <w:tabs>
          <w:tab w:leader="none" w:pos="652" w:val="left"/>
        </w:tabs>
        <w:numPr>
          <w:ilvl w:val="0"/>
          <w:numId w:val="18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Additional Terms applicable to the Transaction</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Adjustments applicable to the Transaction:</w:t>
      </w:r>
    </w:p>
    <w:p>
      <w:pPr>
        <w:sectPr>
          <w:pgSz w:w="11900" w:h="16838" w:orient="portrait"/>
          <w:cols w:equalWidth="0" w:num="1">
            <w:col w:w="11412"/>
          </w:cols>
          <w:pgMar w:left="248" w:top="972" w:right="239" w:bottom="1440" w:gutter="0" w:footer="0" w:header="0"/>
        </w:sectPr>
      </w:pPr>
    </w:p>
    <w:p>
      <w:pPr>
        <w:spacing w:after="0" w:line="1" w:lineRule="exact"/>
        <w:rPr>
          <w:sz w:val="20"/>
          <w:szCs w:val="20"/>
          <w:color w:val="auto"/>
        </w:rPr>
      </w:pPr>
    </w:p>
    <w:p>
      <w:pPr>
        <w:ind w:left="972"/>
        <w:spacing w:after="0"/>
        <w:rPr>
          <w:sz w:val="20"/>
          <w:szCs w:val="20"/>
          <w:color w:val="auto"/>
        </w:rPr>
      </w:pPr>
      <w:r>
        <w:rPr>
          <w:rFonts w:ascii="Arial" w:cs="Arial" w:eastAsia="Arial" w:hAnsi="Arial"/>
          <w:sz w:val="16"/>
          <w:szCs w:val="16"/>
          <w:color w:val="auto"/>
        </w:rPr>
        <w:t>Method of Adjustment:</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6"/>
          <w:szCs w:val="16"/>
          <w:color w:val="auto"/>
        </w:rPr>
        <w:t xml:space="preserve">Calculation Agent Adjustment. For the avoidance of doubt, in making any adjustments under the Equity Definitions, the Calculation Agent may make adjustments, if any, to any one or more of the Strike Price, the Number of Warrants, the Daily Number of Warrants and the Warrant Entitlement;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parties agree that (x) open market Share repurchases at prevailing market prices or</w:t>
      </w:r>
      <w:r>
        <w:rPr>
          <w:rFonts w:ascii="Arial" w:cs="Arial" w:eastAsia="Arial" w:hAnsi="Arial"/>
          <w:sz w:val="16"/>
          <w:szCs w:val="16"/>
          <w:i w:val="1"/>
          <w:iCs w:val="1"/>
          <w:color w:val="auto"/>
        </w:rPr>
        <w:t xml:space="preserve"> </w:t>
      </w:r>
      <w:r>
        <w:rPr>
          <w:rFonts w:ascii="Arial" w:cs="Arial" w:eastAsia="Arial" w:hAnsi="Arial"/>
          <w:sz w:val="16"/>
          <w:szCs w:val="16"/>
          <w:color w:val="auto"/>
        </w:rPr>
        <w:t>(y) accelerated share repurchases, forward contracts or similar transactions (at, below or not significantly above prevailing market prices) that are entered into in accordance with customary, arm’s length terms for transactions of such type to repurchase the Shares (and, in the case of this clause (y), through a dealer), shall not be considered a Potential Adjustment Event as long as the number of Shares so repurchased does not exceed 20% of total Shares outstanding per annum and the aggregate number of such Shares repurchased during the term of the Transaction does not exceed 12.5 million Shares. Notwithstanding the foregoing, any cash dividends or distributions on the Shares, whether or not extraordinary, shall be governed by Section 9(f) of this Confirmation in lieu of Article 10 or Section 11.2(c) of the Equity Definitions.</w:t>
      </w:r>
    </w:p>
    <w:p>
      <w:pPr>
        <w:spacing w:after="0" w:line="134" w:lineRule="exact"/>
        <w:rPr>
          <w:sz w:val="20"/>
          <w:szCs w:val="20"/>
          <w:color w:val="auto"/>
        </w:rPr>
      </w:pPr>
    </w:p>
    <w:p>
      <w:pPr>
        <w:sectPr>
          <w:pgSz w:w="11900" w:h="16838" w:orient="portrait"/>
          <w:cols w:equalWidth="0" w:num="2">
            <w:col w:w="3492" w:space="720"/>
            <w:col w:w="7200"/>
          </w:cols>
          <w:pgMar w:left="248" w:top="972" w:right="239" w:bottom="1440" w:gutter="0" w:footer="0" w:header="0"/>
          <w:type w:val="continuous"/>
        </w:sectPr>
      </w:pPr>
    </w:p>
    <w:p>
      <w:pPr>
        <w:ind w:left="652"/>
        <w:spacing w:after="0"/>
        <w:rPr>
          <w:sz w:val="20"/>
          <w:szCs w:val="20"/>
          <w:color w:val="auto"/>
        </w:rPr>
      </w:pPr>
      <w:r>
        <w:rPr>
          <w:rFonts w:ascii="Arial" w:cs="Arial" w:eastAsia="Arial" w:hAnsi="Arial"/>
          <w:sz w:val="16"/>
          <w:szCs w:val="16"/>
          <w:color w:val="auto"/>
        </w:rPr>
        <w:t>Extraordinary Events applicable to the Transaction:</w:t>
      </w:r>
    </w:p>
    <w:p>
      <w:pPr>
        <w:sectPr>
          <w:pgSz w:w="11900" w:h="16838" w:orient="portrait"/>
          <w:cols w:equalWidth="0" w:num="1">
            <w:col w:w="11412"/>
          </w:cols>
          <w:pgMar w:left="248" w:top="972" w:right="239" w:bottom="1440" w:gutter="0" w:footer="0" w:header="0"/>
          <w:type w:val="continuous"/>
        </w:sectPr>
      </w:pPr>
    </w:p>
    <w:p>
      <w:pPr>
        <w:spacing w:after="0" w:line="208" w:lineRule="exact"/>
        <w:rPr>
          <w:sz w:val="20"/>
          <w:szCs w:val="20"/>
          <w:color w:val="auto"/>
        </w:rPr>
      </w:pPr>
    </w:p>
    <w:p>
      <w:pPr>
        <w:ind w:left="972"/>
        <w:spacing w:after="0"/>
        <w:rPr>
          <w:sz w:val="20"/>
          <w:szCs w:val="20"/>
          <w:color w:val="auto"/>
        </w:rPr>
      </w:pPr>
      <w:r>
        <w:rPr>
          <w:rFonts w:ascii="Arial" w:cs="Arial" w:eastAsia="Arial" w:hAnsi="Arial"/>
          <w:sz w:val="16"/>
          <w:szCs w:val="16"/>
          <w:color w:val="auto"/>
        </w:rPr>
        <w:t>New Shares: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Section 12.1(i) of the Equity Definitions is hereby amended (a) by deleting the text in clause (i) thereof in its entirety (including the word “and” following clause (i)) and replacing it with the phrase “publicly quoted, traded or listed (or whose related depositary receipts are publicly quoted, traded or listed) on any of the New York Stock Exchange, The NASDAQ Global Select Market or The NASDAQ Global Market (or their respective successors)” and (b) by inserting immediately prior to the period the phrase “and (iii) of an entity or person that is a corporation organized under the laws of the United States, any State thereof or the District of Columbia.</w:t>
      </w:r>
    </w:p>
    <w:p>
      <w:pPr>
        <w:spacing w:after="0" w:line="137" w:lineRule="exact"/>
        <w:rPr>
          <w:sz w:val="20"/>
          <w:szCs w:val="20"/>
          <w:color w:val="auto"/>
        </w:rPr>
      </w:pPr>
    </w:p>
    <w:p>
      <w:pPr>
        <w:sectPr>
          <w:pgSz w:w="11900" w:h="16838" w:orient="portrait"/>
          <w:cols w:equalWidth="0" w:num="2">
            <w:col w:w="3492" w:space="720"/>
            <w:col w:w="7200"/>
          </w:cols>
          <w:pgMar w:left="248" w:top="972" w:right="239" w:bottom="1440" w:gutter="0" w:footer="0" w:header="0"/>
          <w:type w:val="continuous"/>
        </w:sectPr>
      </w:pPr>
    </w:p>
    <w:p>
      <w:pPr>
        <w:ind w:left="652"/>
        <w:spacing w:after="0"/>
        <w:rPr>
          <w:sz w:val="20"/>
          <w:szCs w:val="20"/>
          <w:color w:val="auto"/>
        </w:rPr>
      </w:pPr>
      <w:r>
        <w:rPr>
          <w:rFonts w:ascii="Arial" w:cs="Arial" w:eastAsia="Arial" w:hAnsi="Arial"/>
          <w:sz w:val="16"/>
          <w:szCs w:val="16"/>
          <w:color w:val="auto"/>
        </w:rPr>
        <w:t>Consequence of Merger Events:</w:t>
      </w:r>
    </w:p>
    <w:p>
      <w:pPr>
        <w:sectPr>
          <w:pgSz w:w="11900" w:h="16838" w:orient="portrait"/>
          <w:cols w:equalWidth="0" w:num="1">
            <w:col w:w="11412"/>
          </w:cols>
          <w:pgMar w:left="248" w:top="972" w:right="239" w:bottom="1440" w:gutter="0" w:footer="0" w:header="0"/>
          <w:type w:val="continuous"/>
        </w:sectPr>
      </w:pPr>
    </w:p>
    <w:p>
      <w:pPr>
        <w:spacing w:after="0" w:line="208" w:lineRule="exact"/>
        <w:rPr>
          <w:sz w:val="20"/>
          <w:szCs w:val="20"/>
          <w:color w:val="auto"/>
        </w:rPr>
      </w:pPr>
    </w:p>
    <w:p>
      <w:pPr>
        <w:ind w:left="972"/>
        <w:spacing w:after="0"/>
        <w:rPr>
          <w:sz w:val="20"/>
          <w:szCs w:val="20"/>
          <w:color w:val="auto"/>
        </w:rPr>
      </w:pPr>
      <w:r>
        <w:rPr>
          <w:rFonts w:ascii="Arial" w:cs="Arial" w:eastAsia="Arial" w:hAnsi="Arial"/>
          <w:sz w:val="16"/>
          <w:szCs w:val="16"/>
          <w:color w:val="auto"/>
        </w:rPr>
        <w:t>Merger Event: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 event occurs that constitutes both a Merger Event under Section 12.1(b) of the Equity Definitions and an Additional Termination Event under Section 9(h)(ii)(B) of this Confirmation, the provisions of Section 9(h)(ii)(B) will apply.</w:t>
      </w:r>
    </w:p>
    <w:p>
      <w:pPr>
        <w:spacing w:after="0" w:line="141" w:lineRule="exact"/>
        <w:rPr>
          <w:sz w:val="20"/>
          <w:szCs w:val="20"/>
          <w:color w:val="auto"/>
        </w:rPr>
      </w:pPr>
    </w:p>
    <w:p>
      <w:pPr>
        <w:sectPr>
          <w:pgSz w:w="11900" w:h="16838" w:orient="portrait"/>
          <w:cols w:equalWidth="0" w:num="2">
            <w:col w:w="3492" w:space="720"/>
            <w:col w:w="7200"/>
          </w:cols>
          <w:pgMar w:left="248" w:top="972" w:right="239" w:bottom="1440" w:gutter="0" w:footer="0" w:header="0"/>
          <w:type w:val="continuous"/>
        </w:sectPr>
      </w:pPr>
    </w:p>
    <w:p>
      <w:pPr>
        <w:ind w:left="1292"/>
        <w:spacing w:after="0"/>
        <w:rPr>
          <w:sz w:val="20"/>
          <w:szCs w:val="20"/>
          <w:color w:val="auto"/>
        </w:rPr>
      </w:pPr>
      <w:r>
        <w:rPr>
          <w:rFonts w:ascii="Arial" w:cs="Arial" w:eastAsia="Arial" w:hAnsi="Arial"/>
          <w:sz w:val="16"/>
          <w:szCs w:val="16"/>
          <w:color w:val="auto"/>
        </w:rPr>
        <w:t>Share-for-Share: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Modified Calculation Agent Adjustment</w:t>
      </w:r>
    </w:p>
    <w:p>
      <w:pPr>
        <w:spacing w:after="0" w:line="200" w:lineRule="exact"/>
        <w:rPr>
          <w:sz w:val="20"/>
          <w:szCs w:val="20"/>
          <w:color w:val="auto"/>
        </w:rPr>
      </w:pPr>
    </w:p>
    <w:p>
      <w:pPr>
        <w:sectPr>
          <w:pgSz w:w="11900" w:h="16838" w:orient="portrait"/>
          <w:cols w:equalWidth="0" w:num="2">
            <w:col w:w="3492" w:space="720"/>
            <w:col w:w="7200"/>
          </w:cols>
          <w:pgMar w:left="248" w:top="972" w:right="239" w:bottom="1440" w:gutter="0" w:footer="0" w:header="0"/>
          <w:type w:val="continuous"/>
        </w:sectPr>
      </w:pPr>
    </w:p>
    <w:p>
      <w:pPr>
        <w:spacing w:after="0" w:line="8" w:lineRule="exact"/>
        <w:rPr>
          <w:sz w:val="20"/>
          <w:szCs w:val="20"/>
          <w:color w:val="auto"/>
        </w:rPr>
      </w:pPr>
    </w:p>
    <w:p>
      <w:pPr>
        <w:ind w:left="1292"/>
        <w:spacing w:after="0"/>
        <w:rPr>
          <w:sz w:val="20"/>
          <w:szCs w:val="20"/>
          <w:color w:val="auto"/>
        </w:rPr>
      </w:pPr>
      <w:r>
        <w:rPr>
          <w:rFonts w:ascii="Arial" w:cs="Arial" w:eastAsia="Arial" w:hAnsi="Arial"/>
          <w:sz w:val="16"/>
          <w:szCs w:val="16"/>
          <w:color w:val="auto"/>
        </w:rPr>
        <w:t>Share-for-Other:</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Cancellation and Payment (Calculation Agent Determination) (subject, for the avoidance of doubt, to Section 9(j) below)</w:t>
      </w:r>
    </w:p>
    <w:p>
      <w:pPr>
        <w:spacing w:after="0" w:line="200" w:lineRule="exact"/>
        <w:rPr>
          <w:sz w:val="20"/>
          <w:szCs w:val="20"/>
          <w:color w:val="auto"/>
        </w:rPr>
      </w:pPr>
    </w:p>
    <w:p>
      <w:pPr>
        <w:sectPr>
          <w:pgSz w:w="11900" w:h="16838" w:orient="portrait"/>
          <w:cols w:equalWidth="0" w:num="2">
            <w:col w:w="3492" w:space="720"/>
            <w:col w:w="7200"/>
          </w:cols>
          <w:pgMar w:left="248" w:top="972" w:right="239" w:bottom="1440" w:gutter="0" w:footer="0" w:header="0"/>
          <w:type w:val="continuous"/>
        </w:sectPr>
      </w:pPr>
    </w:p>
    <w:p>
      <w:pPr>
        <w:spacing w:after="0" w:line="345"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12"/>
          </w:cols>
          <w:pgMar w:left="248" w:top="972" w:right="239" w:bottom="1440" w:gutter="0" w:footer="0" w:header="0"/>
          <w:type w:val="continuous"/>
        </w:sectPr>
      </w:pPr>
    </w:p>
    <w:bookmarkStart w:id="216" w:name="page217"/>
    <w:bookmarkEnd w:id="216"/>
    <w:p>
      <w:pPr>
        <w:ind w:left="640"/>
        <w:spacing w:after="0"/>
        <w:rPr>
          <w:sz w:val="20"/>
          <w:szCs w:val="20"/>
          <w:color w:val="auto"/>
        </w:rPr>
      </w:pPr>
      <w:r>
        <w:rPr>
          <w:rFonts w:ascii="Arial" w:cs="Arial" w:eastAsia="Arial" w:hAnsi="Arial"/>
          <w:sz w:val="16"/>
          <w:szCs w:val="16"/>
          <w:color w:val="auto"/>
        </w:rPr>
        <w:t>Share-for-Combined:</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 xml:space="preserve">Cancellation and Payment (Calculation Agent Determination) (subject, for the avoidance of doubt, to Section 9(j) below);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Dealer may elect, in its commercially reasonable judgment, Component Adjustment (Calculation Agent Determination) for all or any portion of the Transaction.</w:t>
      </w:r>
    </w:p>
    <w:p>
      <w:pPr>
        <w:spacing w:after="0" w:line="146" w:lineRule="exact"/>
        <w:rPr>
          <w:sz w:val="20"/>
          <w:szCs w:val="20"/>
          <w:color w:val="auto"/>
        </w:rPr>
      </w:pPr>
    </w:p>
    <w:p>
      <w:pPr>
        <w:sectPr>
          <w:pgSz w:w="11900" w:h="16838" w:orient="portrait"/>
          <w:cols w:equalWidth="0" w:num="2">
            <w:col w:w="2840" w:space="720"/>
            <w:col w:w="7200"/>
          </w:cols>
          <w:pgMar w:left="900" w:top="976" w:right="239" w:bottom="1440" w:gutter="0" w:footer="0" w:header="0"/>
        </w:sectPr>
      </w:pPr>
    </w:p>
    <w:p>
      <w:pPr>
        <w:spacing w:after="0"/>
        <w:rPr>
          <w:sz w:val="20"/>
          <w:szCs w:val="20"/>
          <w:color w:val="auto"/>
        </w:rPr>
      </w:pPr>
      <w:r>
        <w:rPr>
          <w:rFonts w:ascii="Arial" w:cs="Arial" w:eastAsia="Arial" w:hAnsi="Arial"/>
          <w:sz w:val="15"/>
          <w:szCs w:val="15"/>
          <w:color w:val="auto"/>
        </w:rPr>
        <w:t>Consequence of Tender Offers:</w:t>
      </w:r>
    </w:p>
    <w:p>
      <w:pPr>
        <w:sectPr>
          <w:pgSz w:w="11900" w:h="16838" w:orient="portrait"/>
          <w:cols w:equalWidth="0" w:num="1">
            <w:col w:w="10760"/>
          </w:cols>
          <w:pgMar w:left="900" w:top="976" w:right="239" w:bottom="1440" w:gutter="0" w:footer="0" w:header="0"/>
          <w:type w:val="continuous"/>
        </w:sectPr>
      </w:pPr>
    </w:p>
    <w:p>
      <w:pPr>
        <w:spacing w:after="0" w:line="21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Tender Offer:</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 event occurs that constitutes both a Tender Offer under Section 12.1(d) of the Equity Definitions and Additional Termination Event under Section 9(h)(ii)(A) of this Confirmation, the provisions of Section 9(h)(ii)(A) will apply.</w:t>
      </w:r>
    </w:p>
    <w:p>
      <w:pPr>
        <w:spacing w:after="0" w:line="141" w:lineRule="exact"/>
        <w:rPr>
          <w:sz w:val="20"/>
          <w:szCs w:val="20"/>
          <w:color w:val="auto"/>
        </w:rPr>
      </w:pPr>
    </w:p>
    <w:p>
      <w:pPr>
        <w:sectPr>
          <w:pgSz w:w="11900" w:h="16838" w:orient="portrait"/>
          <w:cols w:equalWidth="0" w:num="2">
            <w:col w:w="2840" w:space="720"/>
            <w:col w:w="7200"/>
          </w:cols>
          <w:pgMar w:left="900" w:top="976" w:right="239"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Share-for-Share: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Modified Calculation Agent Adjustment</w:t>
      </w:r>
    </w:p>
    <w:p>
      <w:pPr>
        <w:spacing w:after="0" w:line="200" w:lineRule="exact"/>
        <w:rPr>
          <w:sz w:val="20"/>
          <w:szCs w:val="20"/>
          <w:color w:val="auto"/>
        </w:rPr>
      </w:pPr>
    </w:p>
    <w:p>
      <w:pPr>
        <w:sectPr>
          <w:pgSz w:w="11900" w:h="16838" w:orient="portrait"/>
          <w:cols w:equalWidth="0" w:num="2">
            <w:col w:w="2840" w:space="720"/>
            <w:col w:w="7200"/>
          </w:cols>
          <w:pgMar w:left="900" w:top="976" w:right="239" w:bottom="1440" w:gutter="0" w:footer="0" w:header="0"/>
          <w:type w:val="continuous"/>
        </w:sectPr>
      </w:pPr>
    </w:p>
    <w:p>
      <w:pPr>
        <w:spacing w:after="0" w:line="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Modified Calculation Agent Adjustment</w:t>
      </w:r>
    </w:p>
    <w:p>
      <w:pPr>
        <w:spacing w:after="0" w:line="200" w:lineRule="exact"/>
        <w:rPr>
          <w:sz w:val="20"/>
          <w:szCs w:val="20"/>
          <w:color w:val="auto"/>
        </w:rPr>
      </w:pPr>
    </w:p>
    <w:p>
      <w:pPr>
        <w:sectPr>
          <w:pgSz w:w="11900" w:h="16838" w:orient="portrait"/>
          <w:cols w:equalWidth="0" w:num="2">
            <w:col w:w="2840" w:space="720"/>
            <w:col w:w="7200"/>
          </w:cols>
          <w:pgMar w:left="900" w:top="976" w:right="239" w:bottom="1440" w:gutter="0" w:footer="0" w:header="0"/>
          <w:type w:val="continuous"/>
        </w:sectPr>
      </w:pPr>
    </w:p>
    <w:p>
      <w:pPr>
        <w:spacing w:after="0" w:line="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Share-for-Combined: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Modified Calculation Agent Adjustment</w:t>
      </w:r>
    </w:p>
    <w:p>
      <w:pPr>
        <w:spacing w:after="0" w:line="200" w:lineRule="exact"/>
        <w:rPr>
          <w:sz w:val="20"/>
          <w:szCs w:val="20"/>
          <w:color w:val="auto"/>
        </w:rPr>
      </w:pPr>
    </w:p>
    <w:p>
      <w:pPr>
        <w:sectPr>
          <w:pgSz w:w="11900" w:h="16838" w:orient="portrait"/>
          <w:cols w:equalWidth="0" w:num="2">
            <w:col w:w="2840" w:space="720"/>
            <w:col w:w="7200"/>
          </w:cols>
          <w:pgMar w:left="900" w:top="976" w:right="239" w:bottom="1440" w:gutter="0" w:footer="0" w:header="0"/>
          <w:type w:val="continuous"/>
        </w:sectPr>
      </w:pP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Consequences of Announcement Events: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 xml:space="preserve">Modified Calculation Agent Adjustment as set forth in Section 12.3(d) of the Equity Definitions;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in respect of an Announcement Event, (w) references to “Tender Offer”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replaced by references to “Announcement Event” and references to “Tender Offer Date” shall be replaced by references to “date of such Announcement Event”, (x) clause (ii) of such Section 12.3(d) shall be deemed deleted, (y) the word “shall” in the second line shall be replaced with “may” and the fifth and sixth lines shall be deleted in their entirety and replaced with the words “effect on the Warrants of such Announcement Event solely to account for changes in volatility, expected dividends, stock loan rate or liquidity relevant to the Shares or the Warrants”, and (z) for the avoidance of doubt, the Calculation Agent may determine whether the relevant Announcement Event has had a material economic effect on the Transaction (and, if so, adjust the terms of the Transaction accordingly in a commercially reasonable manner) on one or more occasions on or after the date of the Announcement Event up to, and including, the Expiration Date, any Early Termination Date and/or any other date of cancellation, it being understood that any adjustment in respect of an Announcement Event shall take into account any earlier adjustment relating to the same Announcement Event. An Announcement Event shall be an “Extraordinary Event” for purposes of the Equity Definitions, to which Article 12 of the Equity Definitions is applicable, as modified herein.</w:t>
      </w:r>
    </w:p>
    <w:p>
      <w:pPr>
        <w:spacing w:after="0" w:line="133" w:lineRule="exact"/>
        <w:rPr>
          <w:sz w:val="20"/>
          <w:szCs w:val="20"/>
          <w:color w:val="auto"/>
        </w:rPr>
      </w:pPr>
    </w:p>
    <w:p>
      <w:pPr>
        <w:sectPr>
          <w:pgSz w:w="11900" w:h="16838" w:orient="portrait"/>
          <w:cols w:equalWidth="0" w:num="2">
            <w:col w:w="3280" w:space="280"/>
            <w:col w:w="7200"/>
          </w:cols>
          <w:pgMar w:left="900" w:top="976" w:right="239" w:bottom="1440" w:gutter="0" w:footer="0" w:header="0"/>
          <w:type w:val="continuous"/>
        </w:sectPr>
      </w:pPr>
    </w:p>
    <w:p>
      <w:pPr>
        <w:ind w:left="320"/>
        <w:spacing w:after="0"/>
        <w:rPr>
          <w:sz w:val="20"/>
          <w:szCs w:val="20"/>
          <w:color w:val="auto"/>
        </w:rPr>
      </w:pPr>
      <w:r>
        <w:rPr>
          <w:rFonts w:ascii="Arial" w:cs="Arial" w:eastAsia="Arial" w:hAnsi="Arial"/>
          <w:sz w:val="16"/>
          <w:szCs w:val="16"/>
          <w:color w:val="auto"/>
        </w:rPr>
        <w:t>Announcement Event:</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8"/>
          <w:szCs w:val="18"/>
          <w:color w:val="auto"/>
        </w:rPr>
        <w:t>(i) The public announcement by any entity of (x) any transaction or event that, if completed, would constitute a Merger Event or Tender Offer, (y) any potential acquisition by Issuer and/or its subsidiaries where the aggregate consideration exceeds 35% of the market capitalization of Issuer as of the date of such announcement (an “</w:t>
      </w:r>
      <w:r>
        <w:rPr>
          <w:rFonts w:ascii="Arial" w:cs="Arial" w:eastAsia="Arial" w:hAnsi="Arial"/>
          <w:sz w:val="18"/>
          <w:szCs w:val="18"/>
          <w:b w:val="1"/>
          <w:bCs w:val="1"/>
          <w:color w:val="auto"/>
        </w:rPr>
        <w:t>Acquisition Transaction</w:t>
      </w:r>
      <w:r>
        <w:rPr>
          <w:rFonts w:ascii="Arial" w:cs="Arial" w:eastAsia="Arial" w:hAnsi="Arial"/>
          <w:sz w:val="18"/>
          <w:szCs w:val="18"/>
          <w:color w:val="auto"/>
        </w:rPr>
        <w:t>”) or (z) the intention to enter into a Merger</w:t>
      </w:r>
    </w:p>
    <w:p>
      <w:pPr>
        <w:spacing w:after="0" w:line="200" w:lineRule="exact"/>
        <w:rPr>
          <w:sz w:val="20"/>
          <w:szCs w:val="20"/>
          <w:color w:val="auto"/>
        </w:rPr>
      </w:pPr>
    </w:p>
    <w:p>
      <w:pPr>
        <w:sectPr>
          <w:pgSz w:w="11900" w:h="16838" w:orient="portrait"/>
          <w:cols w:equalWidth="0" w:num="2">
            <w:col w:w="2840" w:space="720"/>
            <w:col w:w="7200"/>
          </w:cols>
          <w:pgMar w:left="900" w:top="976" w:right="239" w:bottom="1440" w:gutter="0" w:footer="0" w:header="0"/>
          <w:type w:val="continuous"/>
        </w:sectPr>
      </w:pPr>
    </w:p>
    <w:p>
      <w:pPr>
        <w:spacing w:after="0" w:line="363"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760"/>
          </w:cols>
          <w:pgMar w:left="900" w:top="976" w:right="239" w:bottom="1440" w:gutter="0" w:footer="0" w:header="0"/>
          <w:type w:val="continuous"/>
        </w:sectPr>
      </w:pPr>
    </w:p>
    <w:bookmarkStart w:id="217" w:name="page218"/>
    <w:bookmarkEnd w:id="217"/>
    <w:p>
      <w:pPr>
        <w:ind w:left="3560"/>
        <w:spacing w:after="0"/>
        <w:rPr>
          <w:sz w:val="20"/>
          <w:szCs w:val="20"/>
          <w:color w:val="auto"/>
        </w:rPr>
      </w:pPr>
      <w:r>
        <w:rPr>
          <w:rFonts w:ascii="Arial" w:cs="Arial" w:eastAsia="Arial" w:hAnsi="Arial"/>
          <w:sz w:val="16"/>
          <w:szCs w:val="16"/>
          <w:color w:val="auto"/>
        </w:rPr>
        <w:t>Event or Tender Offer or an Acquisition Transaction, (ii) the public announcement by Issuer of an</w:t>
      </w:r>
    </w:p>
    <w:p>
      <w:pPr>
        <w:spacing w:after="0" w:line="73"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intention to solicit or enter into, or to explore strategic alternatives or other similar undertaking that</w:t>
      </w:r>
    </w:p>
    <w:p>
      <w:pPr>
        <w:spacing w:after="0" w:line="73"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if consummated, would result in a Merger Event or Tender Offer or an Acquisition Transaction (iii)</w:t>
      </w:r>
    </w:p>
    <w:p>
      <w:pPr>
        <w:spacing w:after="0" w:line="73"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any subsequent public announcement by any entity of a change to a transaction or intention that is</w:t>
      </w:r>
    </w:p>
    <w:p>
      <w:pPr>
        <w:spacing w:after="0" w:line="73"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the subject of an announcement of the type described in clause (i) or (ii) of this sentence (including,</w:t>
      </w:r>
    </w:p>
    <w:p>
      <w:pPr>
        <w:spacing w:after="0" w:line="73" w:lineRule="exact"/>
        <w:rPr>
          <w:sz w:val="20"/>
          <w:szCs w:val="20"/>
          <w:color w:val="auto"/>
        </w:rPr>
      </w:pPr>
    </w:p>
    <w:p>
      <w:pPr>
        <w:ind w:left="3560"/>
        <w:spacing w:after="0"/>
        <w:rPr>
          <w:sz w:val="20"/>
          <w:szCs w:val="20"/>
          <w:color w:val="auto"/>
        </w:rPr>
      </w:pPr>
      <w:r>
        <w:rPr>
          <w:rFonts w:ascii="Arial" w:cs="Arial" w:eastAsia="Arial" w:hAnsi="Arial"/>
          <w:sz w:val="17"/>
          <w:szCs w:val="17"/>
          <w:color w:val="auto"/>
        </w:rPr>
        <w:t>without limitation, a new announcement, whether or not by the same party, relating to such a</w:t>
      </w:r>
    </w:p>
    <w:p>
      <w:pPr>
        <w:spacing w:after="0" w:line="6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transaction or intention or the announcement of a withdrawal from, or the abandonment or</w:t>
      </w:r>
    </w:p>
    <w:p>
      <w:pPr>
        <w:spacing w:after="0" w:line="50"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discontinuation of, such a transaction or intention), as determined by the Calculation Agent. For the</w:t>
      </w:r>
    </w:p>
    <w:p>
      <w:pPr>
        <w:spacing w:after="0" w:line="73"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avoidance of doubt, the occurrence of an Announcement Event with respect to any transaction or</w:t>
      </w:r>
    </w:p>
    <w:p>
      <w:pPr>
        <w:spacing w:after="0" w:line="73" w:lineRule="exact"/>
        <w:rPr>
          <w:sz w:val="20"/>
          <w:szCs w:val="20"/>
          <w:color w:val="auto"/>
        </w:rPr>
      </w:pPr>
    </w:p>
    <w:p>
      <w:pPr>
        <w:ind w:left="3560"/>
        <w:spacing w:after="0"/>
        <w:rPr>
          <w:sz w:val="20"/>
          <w:szCs w:val="20"/>
          <w:color w:val="auto"/>
        </w:rPr>
      </w:pPr>
      <w:r>
        <w:rPr>
          <w:rFonts w:ascii="Arial" w:cs="Arial" w:eastAsia="Arial" w:hAnsi="Arial"/>
          <w:sz w:val="17"/>
          <w:szCs w:val="17"/>
          <w:color w:val="auto"/>
        </w:rPr>
        <w:t>intention shall not preclude the occurrence of a later Announcement Event with respect to such</w:t>
      </w:r>
    </w:p>
    <w:p>
      <w:pPr>
        <w:spacing w:after="0" w:line="61"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transaction or intention. For purposes of this definition of “Announcement Event,” the remainder of</w:t>
      </w:r>
    </w:p>
    <w:p>
      <w:pPr>
        <w:spacing w:after="0" w:line="7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the definition of “Merger Event” in Section 12.1(b) of the Equity Definitions following the</w:t>
      </w:r>
    </w:p>
    <w:p>
      <w:pPr>
        <w:spacing w:after="0" w:line="50"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definition of “Reverse Merger” therein shall be disregarded.</w:t>
      </w:r>
    </w:p>
    <w:p>
      <w:pPr>
        <w:sectPr>
          <w:pgSz w:w="11900" w:h="16838" w:orient="portrait"/>
          <w:cols w:equalWidth="0" w:num="1">
            <w:col w:w="10760"/>
          </w:cols>
          <w:pgMar w:left="900" w:top="1003" w:right="2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Modified Calculation Agent Adjustment: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If, in respect of any Merger Event to which Modified Calculation Agent Adjustment applies, the adjustments to be made in accordance with Section 12.2(e)(i) of the Equity Definitions would result in Company being different from the issuer of the Shares, then with respect to such Merger Event, as a condition precedent to the adjustments contemplated in Section 12.2(e)(i) of the Equity Definitions, Dealer, Company and the issuer of the Shares shall, prior to the related Merger Date, have entered into such documentation containing representations, warranties and agreements relating to securities law and other issues as requested by Dealer that Dealer has determined, in its commercially reasonable discretion, to be reasonably necessary or appropriate to allow Dealer to continue as a party to the Transaction, as adjusted under Section 12.2(e)(i) of the Equity Definitions, and to preserve its commercially reasonable hedging or hedge unwind activities in connection with the Transaction in a manner compliant with applicable legal, regulatory or self-regulatory requirements, or with related policies and procedures applicable to Dealer (whether or not such requirements, policies or procedures are imposed by law or have been voluntarily adopted by Dealer), and if such conditions are not met or if the Calculation Agent determines that no adjustment that it could make under Section 12.2(e)(i) of the Equity Definitions will produce a commercially reasonable result, then the consequences set forth in Section 12.2(e)(ii) of the Equity Definitions may apply at Dealer’s commercially reasonable discretion.</w:t>
      </w:r>
    </w:p>
    <w:p>
      <w:pPr>
        <w:spacing w:after="0" w:line="135" w:lineRule="exact"/>
        <w:rPr>
          <w:sz w:val="20"/>
          <w:szCs w:val="20"/>
          <w:color w:val="auto"/>
        </w:rPr>
      </w:pPr>
    </w:p>
    <w:p>
      <w:pPr>
        <w:sectPr>
          <w:pgSz w:w="11900" w:h="16838" w:orient="portrait"/>
          <w:cols w:equalWidth="0" w:num="2">
            <w:col w:w="2960" w:space="600"/>
            <w:col w:w="7200"/>
          </w:cols>
          <w:pgMar w:left="900" w:top="1003" w:right="239" w:bottom="1440" w:gutter="0" w:footer="0" w:header="0"/>
          <w:type w:val="continuous"/>
        </w:sectPr>
      </w:pPr>
    </w:p>
    <w:p>
      <w:pPr>
        <w:spacing w:after="0"/>
        <w:rPr>
          <w:sz w:val="20"/>
          <w:szCs w:val="20"/>
          <w:color w:val="auto"/>
        </w:rPr>
      </w:pPr>
      <w:r>
        <w:rPr>
          <w:rFonts w:ascii="Arial" w:cs="Arial" w:eastAsia="Arial" w:hAnsi="Arial"/>
          <w:sz w:val="16"/>
          <w:szCs w:val="16"/>
          <w:color w:val="auto"/>
        </w:rPr>
        <w:t>Nationalization, Insolvency or Delisting:</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 xml:space="preserve">Cancellation and Payment (Calculation Agent Determination);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addition to the provisions of Section 12.6(a)(iii) of the Equity Definitions, it will also</w:t>
      </w:r>
    </w:p>
    <w:p>
      <w:pPr>
        <w:spacing w:after="0" w:line="200" w:lineRule="exact"/>
        <w:rPr>
          <w:sz w:val="20"/>
          <w:szCs w:val="20"/>
          <w:color w:val="auto"/>
        </w:rPr>
      </w:pPr>
    </w:p>
    <w:p>
      <w:pPr>
        <w:sectPr>
          <w:pgSz w:w="11900" w:h="16838" w:orient="portrait"/>
          <w:cols w:equalWidth="0" w:num="2">
            <w:col w:w="2940" w:space="620"/>
            <w:col w:w="7200"/>
          </w:cols>
          <w:pgMar w:left="900" w:top="1003" w:right="239" w:bottom="1440" w:gutter="0" w:footer="0" w:header="0"/>
          <w:type w:val="continuous"/>
        </w:sectPr>
      </w:pPr>
    </w:p>
    <w:p>
      <w:pPr>
        <w:spacing w:after="0" w:line="345"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760"/>
          </w:cols>
          <w:pgMar w:left="900" w:top="1003" w:right="239" w:bottom="1440" w:gutter="0" w:footer="0" w:header="0"/>
          <w:type w:val="continuous"/>
        </w:sectPr>
      </w:pPr>
    </w:p>
    <w:bookmarkStart w:id="218" w:name="page219"/>
    <w:bookmarkEnd w:id="218"/>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7840" w:type="dxa"/>
            <w:vAlign w:val="bottom"/>
            <w:gridSpan w:val="2"/>
          </w:tcPr>
          <w:p>
            <w:pPr>
              <w:ind w:left="640"/>
              <w:spacing w:after="0"/>
              <w:rPr>
                <w:sz w:val="20"/>
                <w:szCs w:val="20"/>
                <w:color w:val="auto"/>
              </w:rPr>
            </w:pPr>
            <w:r>
              <w:rPr>
                <w:rFonts w:ascii="Arial" w:cs="Arial" w:eastAsia="Arial" w:hAnsi="Arial"/>
                <w:sz w:val="18"/>
                <w:szCs w:val="18"/>
                <w:color w:val="auto"/>
                <w:w w:val="98"/>
              </w:rPr>
              <w:t>constitute a Delisting if the Exchange is located in the United States and the Shares are not</w:t>
            </w:r>
          </w:p>
        </w:tc>
      </w:tr>
      <w:tr>
        <w:trPr>
          <w:trHeight w:val="216"/>
        </w:trPr>
        <w:tc>
          <w:tcPr>
            <w:tcW w:w="2920" w:type="dxa"/>
            <w:vAlign w:val="bottom"/>
          </w:tcPr>
          <w:p>
            <w:pPr>
              <w:spacing w:after="0"/>
              <w:rPr>
                <w:sz w:val="18"/>
                <w:szCs w:val="18"/>
                <w:color w:val="auto"/>
              </w:rPr>
            </w:pPr>
          </w:p>
        </w:tc>
        <w:tc>
          <w:tcPr>
            <w:tcW w:w="7840" w:type="dxa"/>
            <w:vAlign w:val="bottom"/>
            <w:gridSpan w:val="2"/>
          </w:tcPr>
          <w:p>
            <w:pPr>
              <w:ind w:left="640"/>
              <w:spacing w:after="0"/>
              <w:rPr>
                <w:sz w:val="20"/>
                <w:szCs w:val="20"/>
                <w:color w:val="auto"/>
              </w:rPr>
            </w:pPr>
            <w:r>
              <w:rPr>
                <w:rFonts w:ascii="Arial" w:cs="Arial" w:eastAsia="Arial" w:hAnsi="Arial"/>
                <w:sz w:val="18"/>
                <w:szCs w:val="18"/>
                <w:color w:val="auto"/>
                <w:w w:val="99"/>
              </w:rPr>
              <w:t>immediately re-listed, re-traded or re-quoted on any of the New York Stock Exchange, The</w:t>
            </w:r>
          </w:p>
        </w:tc>
      </w:tr>
      <w:tr>
        <w:trPr>
          <w:trHeight w:val="216"/>
        </w:trPr>
        <w:tc>
          <w:tcPr>
            <w:tcW w:w="2920" w:type="dxa"/>
            <w:vAlign w:val="bottom"/>
          </w:tcPr>
          <w:p>
            <w:pPr>
              <w:spacing w:after="0"/>
              <w:rPr>
                <w:sz w:val="18"/>
                <w:szCs w:val="18"/>
                <w:color w:val="auto"/>
              </w:rPr>
            </w:pPr>
          </w:p>
        </w:tc>
        <w:tc>
          <w:tcPr>
            <w:tcW w:w="7840" w:type="dxa"/>
            <w:vAlign w:val="bottom"/>
            <w:gridSpan w:val="2"/>
          </w:tcPr>
          <w:p>
            <w:pPr>
              <w:ind w:left="640"/>
              <w:spacing w:after="0"/>
              <w:rPr>
                <w:sz w:val="20"/>
                <w:szCs w:val="20"/>
                <w:color w:val="auto"/>
              </w:rPr>
            </w:pPr>
            <w:r>
              <w:rPr>
                <w:rFonts w:ascii="Arial" w:cs="Arial" w:eastAsia="Arial" w:hAnsi="Arial"/>
                <w:sz w:val="18"/>
                <w:szCs w:val="18"/>
                <w:color w:val="auto"/>
                <w:w w:val="94"/>
              </w:rPr>
              <w:t>NASDAQ Global Select Market or The NASDAQ Global Market (or their respective successors);</w:t>
            </w:r>
          </w:p>
        </w:tc>
      </w:tr>
      <w:tr>
        <w:trPr>
          <w:trHeight w:val="216"/>
        </w:trPr>
        <w:tc>
          <w:tcPr>
            <w:tcW w:w="2920" w:type="dxa"/>
            <w:vAlign w:val="bottom"/>
          </w:tcPr>
          <w:p>
            <w:pPr>
              <w:spacing w:after="0"/>
              <w:rPr>
                <w:sz w:val="18"/>
                <w:szCs w:val="18"/>
                <w:color w:val="auto"/>
              </w:rPr>
            </w:pPr>
          </w:p>
        </w:tc>
        <w:tc>
          <w:tcPr>
            <w:tcW w:w="7840" w:type="dxa"/>
            <w:vAlign w:val="bottom"/>
            <w:gridSpan w:val="2"/>
          </w:tcPr>
          <w:p>
            <w:pPr>
              <w:ind w:left="640"/>
              <w:spacing w:after="0"/>
              <w:rPr>
                <w:sz w:val="20"/>
                <w:szCs w:val="20"/>
                <w:color w:val="auto"/>
              </w:rPr>
            </w:pPr>
            <w:r>
              <w:rPr>
                <w:rFonts w:ascii="Arial" w:cs="Arial" w:eastAsia="Arial" w:hAnsi="Arial"/>
                <w:sz w:val="18"/>
                <w:szCs w:val="18"/>
                <w:color w:val="auto"/>
                <w:w w:val="98"/>
              </w:rPr>
              <w:t>if the Shares are immediately re-listed, re-traded or re-quoted on any of the New York Stock</w:t>
            </w:r>
          </w:p>
        </w:tc>
      </w:tr>
      <w:tr>
        <w:trPr>
          <w:trHeight w:val="216"/>
        </w:trPr>
        <w:tc>
          <w:tcPr>
            <w:tcW w:w="2920" w:type="dxa"/>
            <w:vAlign w:val="bottom"/>
          </w:tcPr>
          <w:p>
            <w:pPr>
              <w:spacing w:after="0"/>
              <w:rPr>
                <w:sz w:val="18"/>
                <w:szCs w:val="18"/>
                <w:color w:val="auto"/>
              </w:rPr>
            </w:pPr>
          </w:p>
        </w:tc>
        <w:tc>
          <w:tcPr>
            <w:tcW w:w="7840" w:type="dxa"/>
            <w:vAlign w:val="bottom"/>
            <w:gridSpan w:val="2"/>
          </w:tcPr>
          <w:p>
            <w:pPr>
              <w:ind w:left="640"/>
              <w:spacing w:after="0"/>
              <w:rPr>
                <w:sz w:val="20"/>
                <w:szCs w:val="20"/>
                <w:color w:val="auto"/>
              </w:rPr>
            </w:pPr>
            <w:r>
              <w:rPr>
                <w:rFonts w:ascii="Arial" w:cs="Arial" w:eastAsia="Arial" w:hAnsi="Arial"/>
                <w:sz w:val="18"/>
                <w:szCs w:val="18"/>
                <w:color w:val="auto"/>
              </w:rPr>
              <w:t>Exchange, The NASDAQ Global Select Market or The NASDAQ Global Market (or their</w:t>
            </w:r>
          </w:p>
        </w:tc>
      </w:tr>
      <w:tr>
        <w:trPr>
          <w:trHeight w:val="216"/>
        </w:trPr>
        <w:tc>
          <w:tcPr>
            <w:tcW w:w="2920" w:type="dxa"/>
            <w:vAlign w:val="bottom"/>
          </w:tcPr>
          <w:p>
            <w:pPr>
              <w:spacing w:after="0"/>
              <w:rPr>
                <w:sz w:val="18"/>
                <w:szCs w:val="18"/>
                <w:color w:val="auto"/>
              </w:rPr>
            </w:pPr>
          </w:p>
        </w:tc>
        <w:tc>
          <w:tcPr>
            <w:tcW w:w="7840" w:type="dxa"/>
            <w:vAlign w:val="bottom"/>
            <w:gridSpan w:val="2"/>
          </w:tcPr>
          <w:p>
            <w:pPr>
              <w:ind w:left="640"/>
              <w:spacing w:after="0"/>
              <w:rPr>
                <w:sz w:val="20"/>
                <w:szCs w:val="20"/>
                <w:color w:val="auto"/>
              </w:rPr>
            </w:pPr>
            <w:r>
              <w:rPr>
                <w:rFonts w:ascii="Arial" w:cs="Arial" w:eastAsia="Arial" w:hAnsi="Arial"/>
                <w:sz w:val="18"/>
                <w:szCs w:val="18"/>
                <w:color w:val="auto"/>
                <w:w w:val="93"/>
              </w:rPr>
              <w:t>respective successors), such exchange or quotation system shall thereafter be deemed to be the</w:t>
            </w:r>
          </w:p>
        </w:tc>
      </w:tr>
      <w:tr>
        <w:trPr>
          <w:trHeight w:val="230"/>
        </w:trPr>
        <w:tc>
          <w:tcPr>
            <w:tcW w:w="2920" w:type="dxa"/>
            <w:vAlign w:val="bottom"/>
          </w:tcPr>
          <w:p>
            <w:pPr>
              <w:spacing w:after="0"/>
              <w:rPr>
                <w:sz w:val="20"/>
                <w:szCs w:val="20"/>
                <w:color w:val="auto"/>
              </w:rPr>
            </w:pPr>
          </w:p>
        </w:tc>
        <w:tc>
          <w:tcPr>
            <w:tcW w:w="7840" w:type="dxa"/>
            <w:vAlign w:val="bottom"/>
            <w:gridSpan w:val="2"/>
          </w:tcPr>
          <w:p>
            <w:pPr>
              <w:ind w:left="640"/>
              <w:spacing w:after="0"/>
              <w:rPr>
                <w:sz w:val="20"/>
                <w:szCs w:val="20"/>
                <w:color w:val="auto"/>
              </w:rPr>
            </w:pPr>
            <w:r>
              <w:rPr>
                <w:rFonts w:ascii="Arial" w:cs="Arial" w:eastAsia="Arial" w:hAnsi="Arial"/>
                <w:sz w:val="18"/>
                <w:szCs w:val="18"/>
                <w:color w:val="auto"/>
              </w:rPr>
              <w:t>Exchange.</w:t>
            </w:r>
          </w:p>
        </w:tc>
      </w:tr>
      <w:tr>
        <w:trPr>
          <w:trHeight w:val="392"/>
        </w:trPr>
        <w:tc>
          <w:tcPr>
            <w:tcW w:w="2920" w:type="dxa"/>
            <w:vAlign w:val="bottom"/>
          </w:tcPr>
          <w:p>
            <w:pPr>
              <w:spacing w:after="0"/>
              <w:rPr>
                <w:sz w:val="20"/>
                <w:szCs w:val="20"/>
                <w:color w:val="auto"/>
              </w:rPr>
            </w:pPr>
            <w:r>
              <w:rPr>
                <w:rFonts w:ascii="Arial" w:cs="Arial" w:eastAsia="Arial" w:hAnsi="Arial"/>
                <w:sz w:val="18"/>
                <w:szCs w:val="18"/>
                <w:color w:val="auto"/>
              </w:rPr>
              <w:t>Additional Disruption Events:</w:t>
            </w:r>
          </w:p>
        </w:tc>
        <w:tc>
          <w:tcPr>
            <w:tcW w:w="1000" w:type="dxa"/>
            <w:vAlign w:val="bottom"/>
          </w:tcPr>
          <w:p>
            <w:pPr>
              <w:spacing w:after="0"/>
              <w:rPr>
                <w:sz w:val="24"/>
                <w:szCs w:val="24"/>
                <w:color w:val="auto"/>
              </w:rPr>
            </w:pPr>
          </w:p>
        </w:tc>
        <w:tc>
          <w:tcPr>
            <w:tcW w:w="6840" w:type="dxa"/>
            <w:vAlign w:val="bottom"/>
          </w:tcPr>
          <w:p>
            <w:pPr>
              <w:spacing w:after="0"/>
              <w:rPr>
                <w:sz w:val="24"/>
                <w:szCs w:val="24"/>
                <w:color w:val="auto"/>
              </w:rPr>
            </w:pPr>
          </w:p>
        </w:tc>
      </w:tr>
      <w:tr>
        <w:trPr>
          <w:trHeight w:val="377"/>
        </w:trPr>
        <w:tc>
          <w:tcPr>
            <w:tcW w:w="2920" w:type="dxa"/>
            <w:vAlign w:val="bottom"/>
          </w:tcPr>
          <w:p>
            <w:pPr>
              <w:ind w:left="320"/>
              <w:spacing w:after="0"/>
              <w:rPr>
                <w:sz w:val="20"/>
                <w:szCs w:val="20"/>
                <w:color w:val="auto"/>
              </w:rPr>
            </w:pPr>
            <w:r>
              <w:rPr>
                <w:rFonts w:ascii="Arial" w:cs="Arial" w:eastAsia="Arial" w:hAnsi="Arial"/>
                <w:sz w:val="18"/>
                <w:szCs w:val="18"/>
                <w:color w:val="auto"/>
              </w:rPr>
              <w:t>Change in Law:</w:t>
            </w:r>
          </w:p>
        </w:tc>
        <w:tc>
          <w:tcPr>
            <w:tcW w:w="7840" w:type="dxa"/>
            <w:vAlign w:val="bottom"/>
            <w:gridSpan w:val="2"/>
          </w:tcPr>
          <w:p>
            <w:pPr>
              <w:ind w:left="640"/>
              <w:spacing w:after="0"/>
              <w:rPr>
                <w:sz w:val="20"/>
                <w:szCs w:val="20"/>
                <w:color w:val="auto"/>
              </w:rPr>
            </w:pPr>
            <w:r>
              <w:rPr>
                <w:rFonts w:ascii="Arial" w:cs="Arial" w:eastAsia="Arial" w:hAnsi="Arial"/>
                <w:sz w:val="18"/>
                <w:szCs w:val="18"/>
                <w:color w:val="auto"/>
                <w:w w:val="96"/>
              </w:rPr>
              <w:t xml:space="preserve">Applicable; </w:t>
            </w:r>
            <w:r>
              <w:rPr>
                <w:rFonts w:ascii="Arial" w:cs="Arial" w:eastAsia="Arial" w:hAnsi="Arial"/>
                <w:sz w:val="18"/>
                <w:szCs w:val="18"/>
                <w:i w:val="1"/>
                <w:iCs w:val="1"/>
                <w:color w:val="auto"/>
                <w:w w:val="96"/>
              </w:rPr>
              <w:t>provided</w:t>
            </w:r>
            <w:r>
              <w:rPr>
                <w:rFonts w:ascii="Arial" w:cs="Arial" w:eastAsia="Arial" w:hAnsi="Arial"/>
                <w:sz w:val="18"/>
                <w:szCs w:val="18"/>
                <w:color w:val="auto"/>
                <w:w w:val="96"/>
              </w:rPr>
              <w:t xml:space="preserve"> that Section 12.9(a)(ii) of the Equity Definitions is hereby amended by (i)</w:t>
            </w:r>
          </w:p>
        </w:tc>
      </w:tr>
      <w:tr>
        <w:trPr>
          <w:trHeight w:val="216"/>
        </w:trPr>
        <w:tc>
          <w:tcPr>
            <w:tcW w:w="2920" w:type="dxa"/>
            <w:vAlign w:val="bottom"/>
          </w:tcPr>
          <w:p>
            <w:pPr>
              <w:spacing w:after="0"/>
              <w:rPr>
                <w:sz w:val="18"/>
                <w:szCs w:val="18"/>
                <w:color w:val="auto"/>
              </w:rPr>
            </w:pPr>
          </w:p>
        </w:tc>
        <w:tc>
          <w:tcPr>
            <w:tcW w:w="7840" w:type="dxa"/>
            <w:vAlign w:val="bottom"/>
            <w:gridSpan w:val="2"/>
          </w:tcPr>
          <w:p>
            <w:pPr>
              <w:ind w:left="640"/>
              <w:spacing w:after="0"/>
              <w:rPr>
                <w:sz w:val="20"/>
                <w:szCs w:val="20"/>
                <w:color w:val="auto"/>
              </w:rPr>
            </w:pPr>
            <w:r>
              <w:rPr>
                <w:rFonts w:ascii="Arial" w:cs="Arial" w:eastAsia="Arial" w:hAnsi="Arial"/>
                <w:sz w:val="18"/>
                <w:szCs w:val="18"/>
                <w:color w:val="auto"/>
              </w:rPr>
              <w:t>replacing the phrase “the interpretation” in the third line thereof with the phrase “, or public</w:t>
            </w:r>
          </w:p>
        </w:tc>
      </w:tr>
      <w:tr>
        <w:trPr>
          <w:trHeight w:val="216"/>
        </w:trPr>
        <w:tc>
          <w:tcPr>
            <w:tcW w:w="2920" w:type="dxa"/>
            <w:vAlign w:val="bottom"/>
          </w:tcPr>
          <w:p>
            <w:pPr>
              <w:spacing w:after="0"/>
              <w:rPr>
                <w:sz w:val="18"/>
                <w:szCs w:val="18"/>
                <w:color w:val="auto"/>
              </w:rPr>
            </w:pPr>
          </w:p>
        </w:tc>
        <w:tc>
          <w:tcPr>
            <w:tcW w:w="7840" w:type="dxa"/>
            <w:vAlign w:val="bottom"/>
            <w:gridSpan w:val="2"/>
          </w:tcPr>
          <w:p>
            <w:pPr>
              <w:ind w:left="640"/>
              <w:spacing w:after="0"/>
              <w:rPr>
                <w:sz w:val="20"/>
                <w:szCs w:val="20"/>
                <w:color w:val="auto"/>
              </w:rPr>
            </w:pPr>
            <w:r>
              <w:rPr>
                <w:rFonts w:ascii="Arial" w:cs="Arial" w:eastAsia="Arial" w:hAnsi="Arial"/>
                <w:sz w:val="18"/>
                <w:szCs w:val="18"/>
                <w:color w:val="auto"/>
                <w:w w:val="94"/>
              </w:rPr>
              <w:t>announcement of, the formal or informal interpretation”, (ii) replacing the word “Shares” where it</w:t>
            </w:r>
          </w:p>
        </w:tc>
      </w:tr>
      <w:tr>
        <w:trPr>
          <w:trHeight w:val="216"/>
        </w:trPr>
        <w:tc>
          <w:tcPr>
            <w:tcW w:w="2920" w:type="dxa"/>
            <w:vAlign w:val="bottom"/>
          </w:tcPr>
          <w:p>
            <w:pPr>
              <w:spacing w:after="0"/>
              <w:rPr>
                <w:sz w:val="18"/>
                <w:szCs w:val="18"/>
                <w:color w:val="auto"/>
              </w:rPr>
            </w:pPr>
          </w:p>
        </w:tc>
        <w:tc>
          <w:tcPr>
            <w:tcW w:w="7840" w:type="dxa"/>
            <w:vAlign w:val="bottom"/>
            <w:gridSpan w:val="2"/>
          </w:tcPr>
          <w:p>
            <w:pPr>
              <w:ind w:left="640"/>
              <w:spacing w:after="0"/>
              <w:rPr>
                <w:sz w:val="20"/>
                <w:szCs w:val="20"/>
                <w:color w:val="auto"/>
              </w:rPr>
            </w:pPr>
            <w:r>
              <w:rPr>
                <w:rFonts w:ascii="Arial" w:cs="Arial" w:eastAsia="Arial" w:hAnsi="Arial"/>
                <w:sz w:val="18"/>
                <w:szCs w:val="18"/>
                <w:color w:val="auto"/>
                <w:w w:val="93"/>
              </w:rPr>
              <w:t>appears in clause (X) thereof with the words “Hedge Position” and (iii) replacing the parenthetical</w:t>
            </w:r>
          </w:p>
        </w:tc>
      </w:tr>
      <w:tr>
        <w:trPr>
          <w:trHeight w:val="216"/>
        </w:trPr>
        <w:tc>
          <w:tcPr>
            <w:tcW w:w="2920" w:type="dxa"/>
            <w:vAlign w:val="bottom"/>
          </w:tcPr>
          <w:p>
            <w:pPr>
              <w:spacing w:after="0"/>
              <w:rPr>
                <w:sz w:val="18"/>
                <w:szCs w:val="18"/>
                <w:color w:val="auto"/>
              </w:rPr>
            </w:pPr>
          </w:p>
        </w:tc>
        <w:tc>
          <w:tcPr>
            <w:tcW w:w="7840" w:type="dxa"/>
            <w:vAlign w:val="bottom"/>
            <w:gridSpan w:val="2"/>
          </w:tcPr>
          <w:p>
            <w:pPr>
              <w:ind w:left="640"/>
              <w:spacing w:after="0"/>
              <w:rPr>
                <w:sz w:val="20"/>
                <w:szCs w:val="20"/>
                <w:color w:val="auto"/>
              </w:rPr>
            </w:pPr>
            <w:r>
              <w:rPr>
                <w:rFonts w:ascii="Arial" w:cs="Arial" w:eastAsia="Arial" w:hAnsi="Arial"/>
                <w:sz w:val="18"/>
                <w:szCs w:val="18"/>
                <w:color w:val="auto"/>
                <w:w w:val="98"/>
              </w:rPr>
              <w:t>beginning after the word “regulation” in the second line thereof the words “(including, for the</w:t>
            </w:r>
          </w:p>
        </w:tc>
      </w:tr>
      <w:tr>
        <w:trPr>
          <w:trHeight w:val="216"/>
        </w:trPr>
        <w:tc>
          <w:tcPr>
            <w:tcW w:w="2920" w:type="dxa"/>
            <w:vAlign w:val="bottom"/>
          </w:tcPr>
          <w:p>
            <w:pPr>
              <w:spacing w:after="0"/>
              <w:rPr>
                <w:sz w:val="18"/>
                <w:szCs w:val="18"/>
                <w:color w:val="auto"/>
              </w:rPr>
            </w:pPr>
          </w:p>
        </w:tc>
        <w:tc>
          <w:tcPr>
            <w:tcW w:w="7840" w:type="dxa"/>
            <w:vAlign w:val="bottom"/>
            <w:gridSpan w:val="2"/>
          </w:tcPr>
          <w:p>
            <w:pPr>
              <w:ind w:left="640"/>
              <w:spacing w:after="0"/>
              <w:rPr>
                <w:sz w:val="20"/>
                <w:szCs w:val="20"/>
                <w:color w:val="auto"/>
              </w:rPr>
            </w:pPr>
            <w:r>
              <w:rPr>
                <w:rFonts w:ascii="Arial" w:cs="Arial" w:eastAsia="Arial" w:hAnsi="Arial"/>
                <w:sz w:val="18"/>
                <w:szCs w:val="18"/>
                <w:color w:val="auto"/>
              </w:rPr>
              <w:t>avoidance of doubt and without limitation, (x) any tax law or (y) adoption, effectiveness or</w:t>
            </w:r>
          </w:p>
        </w:tc>
      </w:tr>
      <w:tr>
        <w:trPr>
          <w:trHeight w:val="230"/>
        </w:trPr>
        <w:tc>
          <w:tcPr>
            <w:tcW w:w="2920" w:type="dxa"/>
            <w:vAlign w:val="bottom"/>
          </w:tcPr>
          <w:p>
            <w:pPr>
              <w:spacing w:after="0"/>
              <w:rPr>
                <w:sz w:val="20"/>
                <w:szCs w:val="20"/>
                <w:color w:val="auto"/>
              </w:rPr>
            </w:pPr>
          </w:p>
        </w:tc>
        <w:tc>
          <w:tcPr>
            <w:tcW w:w="7840" w:type="dxa"/>
            <w:vAlign w:val="bottom"/>
            <w:gridSpan w:val="2"/>
          </w:tcPr>
          <w:p>
            <w:pPr>
              <w:ind w:left="640"/>
              <w:spacing w:after="0"/>
              <w:rPr>
                <w:sz w:val="20"/>
                <w:szCs w:val="20"/>
                <w:color w:val="auto"/>
              </w:rPr>
            </w:pPr>
            <w:r>
              <w:rPr>
                <w:rFonts w:ascii="Arial" w:cs="Arial" w:eastAsia="Arial" w:hAnsi="Arial"/>
                <w:sz w:val="18"/>
                <w:szCs w:val="18"/>
                <w:color w:val="auto"/>
              </w:rPr>
              <w:t>promulgation of new regulations authorized or mandated by existing statute)”.</w:t>
            </w:r>
          </w:p>
        </w:tc>
      </w:tr>
      <w:tr>
        <w:trPr>
          <w:trHeight w:val="392"/>
        </w:trPr>
        <w:tc>
          <w:tcPr>
            <w:tcW w:w="2920" w:type="dxa"/>
            <w:vAlign w:val="bottom"/>
          </w:tcPr>
          <w:p>
            <w:pPr>
              <w:ind w:left="320"/>
              <w:spacing w:after="0"/>
              <w:rPr>
                <w:sz w:val="20"/>
                <w:szCs w:val="20"/>
                <w:color w:val="auto"/>
              </w:rPr>
            </w:pPr>
            <w:r>
              <w:rPr>
                <w:rFonts w:ascii="Arial" w:cs="Arial" w:eastAsia="Arial" w:hAnsi="Arial"/>
                <w:sz w:val="18"/>
                <w:szCs w:val="18"/>
                <w:color w:val="auto"/>
              </w:rPr>
              <w:t>Failure to Deliver:</w:t>
            </w:r>
          </w:p>
        </w:tc>
        <w:tc>
          <w:tcPr>
            <w:tcW w:w="7840" w:type="dxa"/>
            <w:vAlign w:val="bottom"/>
            <w:gridSpan w:val="2"/>
          </w:tcPr>
          <w:p>
            <w:pPr>
              <w:ind w:left="640"/>
              <w:spacing w:after="0"/>
              <w:rPr>
                <w:sz w:val="20"/>
                <w:szCs w:val="20"/>
                <w:color w:val="auto"/>
              </w:rPr>
            </w:pPr>
            <w:r>
              <w:rPr>
                <w:rFonts w:ascii="Arial" w:cs="Arial" w:eastAsia="Arial" w:hAnsi="Arial"/>
                <w:sz w:val="18"/>
                <w:szCs w:val="18"/>
                <w:color w:val="auto"/>
              </w:rPr>
              <w:t>Not Applicable</w:t>
            </w:r>
          </w:p>
        </w:tc>
      </w:tr>
      <w:tr>
        <w:trPr>
          <w:trHeight w:val="392"/>
        </w:trPr>
        <w:tc>
          <w:tcPr>
            <w:tcW w:w="2920" w:type="dxa"/>
            <w:vAlign w:val="bottom"/>
          </w:tcPr>
          <w:p>
            <w:pPr>
              <w:ind w:left="320"/>
              <w:spacing w:after="0"/>
              <w:rPr>
                <w:sz w:val="20"/>
                <w:szCs w:val="20"/>
                <w:color w:val="auto"/>
              </w:rPr>
            </w:pPr>
            <w:r>
              <w:rPr>
                <w:rFonts w:ascii="Arial" w:cs="Arial" w:eastAsia="Arial" w:hAnsi="Arial"/>
                <w:sz w:val="18"/>
                <w:szCs w:val="18"/>
                <w:color w:val="auto"/>
              </w:rPr>
              <w:t>Insolvency Filing:</w:t>
            </w:r>
          </w:p>
        </w:tc>
        <w:tc>
          <w:tcPr>
            <w:tcW w:w="7840" w:type="dxa"/>
            <w:vAlign w:val="bottom"/>
            <w:gridSpan w:val="2"/>
          </w:tcPr>
          <w:p>
            <w:pPr>
              <w:ind w:left="640"/>
              <w:spacing w:after="0"/>
              <w:rPr>
                <w:sz w:val="20"/>
                <w:szCs w:val="20"/>
                <w:color w:val="auto"/>
              </w:rPr>
            </w:pPr>
            <w:r>
              <w:rPr>
                <w:rFonts w:ascii="Arial" w:cs="Arial" w:eastAsia="Arial" w:hAnsi="Arial"/>
                <w:sz w:val="18"/>
                <w:szCs w:val="18"/>
                <w:color w:val="auto"/>
              </w:rPr>
              <w:t>Applicable</w:t>
            </w:r>
          </w:p>
        </w:tc>
      </w:tr>
      <w:tr>
        <w:trPr>
          <w:trHeight w:val="392"/>
        </w:trPr>
        <w:tc>
          <w:tcPr>
            <w:tcW w:w="2920" w:type="dxa"/>
            <w:vAlign w:val="bottom"/>
          </w:tcPr>
          <w:p>
            <w:pPr>
              <w:ind w:left="320"/>
              <w:spacing w:after="0"/>
              <w:rPr>
                <w:sz w:val="20"/>
                <w:szCs w:val="20"/>
                <w:color w:val="auto"/>
              </w:rPr>
            </w:pPr>
            <w:r>
              <w:rPr>
                <w:rFonts w:ascii="Arial" w:cs="Arial" w:eastAsia="Arial" w:hAnsi="Arial"/>
                <w:sz w:val="18"/>
                <w:szCs w:val="18"/>
                <w:color w:val="auto"/>
              </w:rPr>
              <w:t>Hedging Disruption:</w:t>
            </w:r>
          </w:p>
        </w:tc>
        <w:tc>
          <w:tcPr>
            <w:tcW w:w="7840" w:type="dxa"/>
            <w:vAlign w:val="bottom"/>
            <w:gridSpan w:val="2"/>
          </w:tcPr>
          <w:p>
            <w:pPr>
              <w:ind w:left="640"/>
              <w:spacing w:after="0"/>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tc>
      </w:tr>
      <w:tr>
        <w:trPr>
          <w:trHeight w:val="377"/>
        </w:trPr>
        <w:tc>
          <w:tcPr>
            <w:tcW w:w="2920" w:type="dxa"/>
            <w:vAlign w:val="bottom"/>
          </w:tcPr>
          <w:p>
            <w:pPr>
              <w:spacing w:after="0"/>
              <w:rPr>
                <w:sz w:val="24"/>
                <w:szCs w:val="24"/>
                <w:color w:val="auto"/>
              </w:rPr>
            </w:pPr>
          </w:p>
        </w:tc>
        <w:tc>
          <w:tcPr>
            <w:tcW w:w="1000" w:type="dxa"/>
            <w:vAlign w:val="bottom"/>
          </w:tcPr>
          <w:p>
            <w:pPr>
              <w:ind w:left="640"/>
              <w:spacing w:after="0"/>
              <w:rPr>
                <w:sz w:val="20"/>
                <w:szCs w:val="20"/>
                <w:color w:val="auto"/>
              </w:rPr>
            </w:pPr>
            <w:r>
              <w:rPr>
                <w:rFonts w:ascii="Arial" w:cs="Arial" w:eastAsia="Arial" w:hAnsi="Arial"/>
                <w:sz w:val="18"/>
                <w:szCs w:val="18"/>
                <w:color w:val="auto"/>
              </w:rPr>
              <w:t>(i)</w:t>
            </w:r>
          </w:p>
        </w:tc>
        <w:tc>
          <w:tcPr>
            <w:tcW w:w="6840" w:type="dxa"/>
            <w:vAlign w:val="bottom"/>
          </w:tcPr>
          <w:p>
            <w:pPr>
              <w:ind w:left="160"/>
              <w:spacing w:after="0"/>
              <w:rPr>
                <w:sz w:val="20"/>
                <w:szCs w:val="20"/>
                <w:color w:val="auto"/>
              </w:rPr>
            </w:pPr>
            <w:r>
              <w:rPr>
                <w:rFonts w:ascii="Arial" w:cs="Arial" w:eastAsia="Arial" w:hAnsi="Arial"/>
                <w:sz w:val="18"/>
                <w:szCs w:val="18"/>
                <w:color w:val="auto"/>
              </w:rPr>
              <w:t>Section 12.9(a)(v) of the Equity Definitions is hereby amended by (a) inserting the</w:t>
            </w:r>
          </w:p>
        </w:tc>
      </w:tr>
      <w:tr>
        <w:trPr>
          <w:trHeight w:val="216"/>
        </w:trPr>
        <w:tc>
          <w:tcPr>
            <w:tcW w:w="2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w w:val="99"/>
              </w:rPr>
              <w:t>following words at the end of clause (A) thereof: “in the manner contemplated by the</w:t>
            </w:r>
          </w:p>
        </w:tc>
      </w:tr>
      <w:tr>
        <w:trPr>
          <w:trHeight w:val="216"/>
        </w:trPr>
        <w:tc>
          <w:tcPr>
            <w:tcW w:w="2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w w:val="92"/>
              </w:rPr>
              <w:t>Hedging Party on the Trade Date” and (b) inserting the following two phrases at the end of</w:t>
            </w:r>
          </w:p>
        </w:tc>
      </w:tr>
      <w:tr>
        <w:trPr>
          <w:trHeight w:val="230"/>
        </w:trPr>
        <w:tc>
          <w:tcPr>
            <w:tcW w:w="2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such Section:</w:t>
            </w:r>
          </w:p>
        </w:tc>
      </w:tr>
      <w:tr>
        <w:trPr>
          <w:trHeight w:val="377"/>
        </w:trPr>
        <w:tc>
          <w:tcPr>
            <w:tcW w:w="2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w w:val="96"/>
              </w:rPr>
              <w:t>“For the avoidance of doubt, the term “equity price risk” shall be deemed to include, but</w:t>
            </w:r>
          </w:p>
        </w:tc>
      </w:tr>
      <w:tr>
        <w:trPr>
          <w:trHeight w:val="216"/>
        </w:trPr>
        <w:tc>
          <w:tcPr>
            <w:tcW w:w="2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w w:val="99"/>
              </w:rPr>
              <w:t>shall not be limited to, stock price and volatility risk. And, for the further avoidance of</w:t>
            </w:r>
          </w:p>
        </w:tc>
      </w:tr>
      <w:tr>
        <w:trPr>
          <w:trHeight w:val="216"/>
        </w:trPr>
        <w:tc>
          <w:tcPr>
            <w:tcW w:w="2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w w:val="97"/>
              </w:rPr>
              <w:t>doubt, any such transactions or assets referred to in phrases (A) or (B) above must be</w:t>
            </w:r>
          </w:p>
        </w:tc>
      </w:tr>
      <w:tr>
        <w:trPr>
          <w:trHeight w:val="230"/>
        </w:trPr>
        <w:tc>
          <w:tcPr>
            <w:tcW w:w="2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available on commercially reasonable pricing terms.”; and</w:t>
            </w:r>
          </w:p>
        </w:tc>
      </w:tr>
      <w:tr>
        <w:trPr>
          <w:trHeight w:val="377"/>
        </w:trPr>
        <w:tc>
          <w:tcPr>
            <w:tcW w:w="2920" w:type="dxa"/>
            <w:vAlign w:val="bottom"/>
          </w:tcPr>
          <w:p>
            <w:pPr>
              <w:spacing w:after="0"/>
              <w:rPr>
                <w:sz w:val="24"/>
                <w:szCs w:val="24"/>
                <w:color w:val="auto"/>
              </w:rPr>
            </w:pPr>
          </w:p>
        </w:tc>
        <w:tc>
          <w:tcPr>
            <w:tcW w:w="1000" w:type="dxa"/>
            <w:vAlign w:val="bottom"/>
          </w:tcPr>
          <w:p>
            <w:pPr>
              <w:ind w:left="640"/>
              <w:spacing w:after="0"/>
              <w:rPr>
                <w:sz w:val="20"/>
                <w:szCs w:val="20"/>
                <w:color w:val="auto"/>
              </w:rPr>
            </w:pPr>
            <w:r>
              <w:rPr>
                <w:rFonts w:ascii="Arial" w:cs="Arial" w:eastAsia="Arial" w:hAnsi="Arial"/>
                <w:sz w:val="18"/>
                <w:szCs w:val="18"/>
                <w:color w:val="auto"/>
              </w:rPr>
              <w:t>(ii)</w:t>
            </w:r>
          </w:p>
        </w:tc>
        <w:tc>
          <w:tcPr>
            <w:tcW w:w="6840" w:type="dxa"/>
            <w:vAlign w:val="bottom"/>
          </w:tcPr>
          <w:p>
            <w:pPr>
              <w:ind w:left="160"/>
              <w:spacing w:after="0"/>
              <w:rPr>
                <w:sz w:val="20"/>
                <w:szCs w:val="20"/>
                <w:color w:val="auto"/>
              </w:rPr>
            </w:pPr>
            <w:r>
              <w:rPr>
                <w:rFonts w:ascii="Arial" w:cs="Arial" w:eastAsia="Arial" w:hAnsi="Arial"/>
                <w:sz w:val="18"/>
                <w:szCs w:val="18"/>
                <w:color w:val="auto"/>
                <w:w w:val="92"/>
              </w:rPr>
              <w:t>Section 12.9(b)(iii) of the Equity Definitions is hereby amended by inserting in the third line</w:t>
            </w:r>
          </w:p>
        </w:tc>
      </w:tr>
      <w:tr>
        <w:trPr>
          <w:trHeight w:val="216"/>
        </w:trPr>
        <w:tc>
          <w:tcPr>
            <w:tcW w:w="2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w w:val="96"/>
              </w:rPr>
              <w:t>thereof, after the words “to terminate the Transaction”, the words “or, as applicable, the</w:t>
            </w:r>
          </w:p>
        </w:tc>
      </w:tr>
      <w:tr>
        <w:trPr>
          <w:trHeight w:val="230"/>
        </w:trPr>
        <w:tc>
          <w:tcPr>
            <w:tcW w:w="2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portion of the Transaction affected by such Hedging Disruption”.</w:t>
            </w:r>
          </w:p>
        </w:tc>
      </w:tr>
      <w:tr>
        <w:trPr>
          <w:trHeight w:val="392"/>
        </w:trPr>
        <w:tc>
          <w:tcPr>
            <w:tcW w:w="2920" w:type="dxa"/>
            <w:vAlign w:val="bottom"/>
          </w:tcPr>
          <w:p>
            <w:pPr>
              <w:ind w:left="320"/>
              <w:spacing w:after="0"/>
              <w:rPr>
                <w:sz w:val="20"/>
                <w:szCs w:val="20"/>
                <w:color w:val="auto"/>
              </w:rPr>
            </w:pPr>
            <w:r>
              <w:rPr>
                <w:rFonts w:ascii="Arial" w:cs="Arial" w:eastAsia="Arial" w:hAnsi="Arial"/>
                <w:sz w:val="18"/>
                <w:szCs w:val="18"/>
                <w:color w:val="auto"/>
              </w:rPr>
              <w:t>Increased Cost of Hedging:</w:t>
            </w:r>
          </w:p>
        </w:tc>
        <w:tc>
          <w:tcPr>
            <w:tcW w:w="7840" w:type="dxa"/>
            <w:vAlign w:val="bottom"/>
            <w:gridSpan w:val="2"/>
          </w:tcPr>
          <w:p>
            <w:pPr>
              <w:ind w:left="640"/>
              <w:spacing w:after="0"/>
              <w:rPr>
                <w:sz w:val="20"/>
                <w:szCs w:val="20"/>
                <w:color w:val="auto"/>
              </w:rPr>
            </w:pPr>
            <w:r>
              <w:rPr>
                <w:rFonts w:ascii="Arial" w:cs="Arial" w:eastAsia="Arial" w:hAnsi="Arial"/>
                <w:sz w:val="18"/>
                <w:szCs w:val="18"/>
                <w:color w:val="auto"/>
              </w:rPr>
              <w:t>Not Applicable</w:t>
            </w:r>
          </w:p>
        </w:tc>
      </w:tr>
      <w:tr>
        <w:trPr>
          <w:trHeight w:val="392"/>
        </w:trPr>
        <w:tc>
          <w:tcPr>
            <w:tcW w:w="2920" w:type="dxa"/>
            <w:vAlign w:val="bottom"/>
          </w:tcPr>
          <w:p>
            <w:pPr>
              <w:ind w:left="320"/>
              <w:spacing w:after="0"/>
              <w:rPr>
                <w:sz w:val="20"/>
                <w:szCs w:val="20"/>
                <w:color w:val="auto"/>
              </w:rPr>
            </w:pPr>
            <w:r>
              <w:rPr>
                <w:rFonts w:ascii="Arial" w:cs="Arial" w:eastAsia="Arial" w:hAnsi="Arial"/>
                <w:sz w:val="18"/>
                <w:szCs w:val="18"/>
                <w:color w:val="auto"/>
              </w:rPr>
              <w:t>Loss of Stock Borrow:</w:t>
            </w:r>
          </w:p>
        </w:tc>
        <w:tc>
          <w:tcPr>
            <w:tcW w:w="7840" w:type="dxa"/>
            <w:vAlign w:val="bottom"/>
            <w:gridSpan w:val="2"/>
          </w:tcPr>
          <w:p>
            <w:pPr>
              <w:ind w:left="640"/>
              <w:spacing w:after="0"/>
              <w:rPr>
                <w:sz w:val="20"/>
                <w:szCs w:val="20"/>
                <w:color w:val="auto"/>
              </w:rPr>
            </w:pPr>
            <w:r>
              <w:rPr>
                <w:rFonts w:ascii="Arial" w:cs="Arial" w:eastAsia="Arial" w:hAnsi="Arial"/>
                <w:sz w:val="18"/>
                <w:szCs w:val="18"/>
                <w:color w:val="auto"/>
              </w:rPr>
              <w:t>Applicable</w:t>
            </w:r>
          </w:p>
        </w:tc>
      </w:tr>
      <w:tr>
        <w:trPr>
          <w:trHeight w:val="793"/>
        </w:trPr>
        <w:tc>
          <w:tcPr>
            <w:tcW w:w="2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40" w:type="dxa"/>
            <w:vAlign w:val="bottom"/>
          </w:tcPr>
          <w:p>
            <w:pPr>
              <w:ind w:left="1100"/>
              <w:spacing w:after="0"/>
              <w:rPr>
                <w:sz w:val="20"/>
                <w:szCs w:val="20"/>
                <w:color w:val="auto"/>
              </w:rPr>
            </w:pPr>
            <w:r>
              <w:rPr>
                <w:rFonts w:ascii="Arial" w:cs="Arial" w:eastAsia="Arial" w:hAnsi="Arial"/>
                <w:sz w:val="17"/>
                <w:szCs w:val="17"/>
                <w:color w:val="auto"/>
              </w:rPr>
              <w:t>8</w:t>
            </w:r>
          </w:p>
        </w:tc>
      </w:tr>
    </w:tbl>
    <w:p>
      <w:pPr>
        <w:sectPr>
          <w:pgSz w:w="11900" w:h="16838" w:orient="portrait"/>
          <w:cols w:equalWidth="0" w:num="1">
            <w:col w:w="10760"/>
          </w:cols>
          <w:pgMar w:left="900" w:top="976" w:right="239" w:bottom="1440" w:gutter="0" w:footer="0" w:header="0"/>
        </w:sectPr>
      </w:pPr>
    </w:p>
    <w:bookmarkStart w:id="219" w:name="page220"/>
    <w:bookmarkEnd w:id="219"/>
    <w:p>
      <w:pPr>
        <w:ind w:left="640"/>
        <w:spacing w:after="0"/>
        <w:rPr>
          <w:sz w:val="20"/>
          <w:szCs w:val="20"/>
          <w:color w:val="auto"/>
        </w:rPr>
      </w:pPr>
      <w:r>
        <w:rPr>
          <w:rFonts w:ascii="Arial" w:cs="Arial" w:eastAsia="Arial" w:hAnsi="Arial"/>
          <w:sz w:val="16"/>
          <w:szCs w:val="16"/>
          <w:color w:val="auto"/>
        </w:rPr>
        <w:t>Maximum Stock Loan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 basis points</w:t>
      </w:r>
    </w:p>
    <w:p>
      <w:pPr>
        <w:spacing w:after="0" w:line="200" w:lineRule="exact"/>
        <w:rPr>
          <w:sz w:val="20"/>
          <w:szCs w:val="20"/>
          <w:color w:val="auto"/>
        </w:rPr>
      </w:pPr>
    </w:p>
    <w:p>
      <w:pPr>
        <w:sectPr>
          <w:pgSz w:w="11900" w:h="16838" w:orient="portrait"/>
          <w:cols w:equalWidth="0" w:num="2">
            <w:col w:w="2840" w:space="720"/>
            <w:col w:w="7200"/>
          </w:cols>
          <w:pgMar w:left="900" w:top="976" w:right="239" w:bottom="1440" w:gutter="0" w:footer="0" w:header="0"/>
        </w:sectPr>
      </w:pPr>
    </w:p>
    <w:p>
      <w:pPr>
        <w:spacing w:after="0" w:line="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Increased Cost of Stock Borrow: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Applicable</w:t>
      </w:r>
    </w:p>
    <w:p>
      <w:pPr>
        <w:spacing w:after="0" w:line="196" w:lineRule="exact"/>
        <w:rPr>
          <w:sz w:val="20"/>
          <w:szCs w:val="20"/>
          <w:color w:val="auto"/>
        </w:rPr>
      </w:pPr>
    </w:p>
    <w:p>
      <w:pPr>
        <w:sectPr>
          <w:pgSz w:w="11900" w:h="16838" w:orient="portrait"/>
          <w:cols w:equalWidth="0" w:num="2">
            <w:col w:w="2840" w:space="720"/>
            <w:col w:w="7200"/>
          </w:cols>
          <w:pgMar w:left="900" w:top="976" w:right="239"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Initial Stock Loan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0 basis points until September 15, 2022 and 25 basis points thereafter.</w:t>
      </w:r>
    </w:p>
    <w:p>
      <w:pPr>
        <w:spacing w:after="0" w:line="200" w:lineRule="exact"/>
        <w:rPr>
          <w:sz w:val="20"/>
          <w:szCs w:val="20"/>
          <w:color w:val="auto"/>
        </w:rPr>
      </w:pPr>
    </w:p>
    <w:p>
      <w:pPr>
        <w:sectPr>
          <w:pgSz w:w="11900" w:h="16838" w:orient="portrait"/>
          <w:cols w:equalWidth="0" w:num="2">
            <w:col w:w="2840" w:space="720"/>
            <w:col w:w="7200"/>
          </w:cols>
          <w:pgMar w:left="900" w:top="976" w:right="239" w:bottom="1440" w:gutter="0" w:footer="0" w:header="0"/>
          <w:type w:val="continuous"/>
        </w:sectPr>
      </w:pPr>
    </w:p>
    <w:p>
      <w:pPr>
        <w:spacing w:after="0" w:line="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Hedging Party:</w:t>
      </w:r>
    </w:p>
    <w:p>
      <w:pPr>
        <w:spacing w:after="0" w:line="20" w:lineRule="exact"/>
        <w:rPr>
          <w:sz w:val="20"/>
          <w:szCs w:val="20"/>
          <w:color w:val="auto"/>
        </w:rPr>
      </w:pPr>
      <w:r>
        <w:rPr>
          <w:sz w:val="20"/>
          <w:szCs w:val="20"/>
          <w:color w:val="auto"/>
        </w:rPr>
        <w:br w:type="column"/>
      </w:r>
    </w:p>
    <w:p>
      <w:pPr>
        <w:jc w:val="both"/>
        <w:spacing w:after="0" w:line="268" w:lineRule="auto"/>
        <w:rPr>
          <w:sz w:val="20"/>
          <w:szCs w:val="20"/>
          <w:color w:val="auto"/>
        </w:rPr>
      </w:pPr>
      <w:r>
        <w:rPr>
          <w:rFonts w:ascii="Arial" w:cs="Arial" w:eastAsia="Arial" w:hAnsi="Arial"/>
          <w:sz w:val="17"/>
          <w:szCs w:val="17"/>
          <w:color w:val="auto"/>
        </w:rPr>
        <w:t>For all applicable Additional Disruption Events, Dealer (subject, for the avoidance of doubt, to Section 9(y) below). Following any determination by the Hedging Party hereunder and a written request by Company, the Hedging Party shall provide to Company by e-mail to the e-mail address provided by Company a written explanation and report (in a commonly used file format for the storage and manipulation of financial data) describing in reasonable detail any determination made by it (including, as applicable, any quotations, market data, information from internal sources used in making such determinations, description of the methodology and any assumptions and basis used in making for such determination), it being understood that the Hedging Party shall not be obligated to disclose any proprietary or confidential models or proprietary or confidential information used by it for such determination. When making any determination or calculation as “Hedging Party,” Dealer shall be bound by the same obligations relating to required acts of the Calculation Agent as set forth in Section 1.40 of the Equity Definitions and this Confirmation as if the Hedging Party were the Calculation Agent and that all calculations, adjustments, specifications, choices and determinations by Dealer acting in its capacity as the Hedging Party shall be made in good faith and in a commercially reasonable manner and assuming that Dealer maintains a commercially reasonable hedge position.</w:t>
      </w:r>
    </w:p>
    <w:p>
      <w:pPr>
        <w:spacing w:after="0" w:line="140" w:lineRule="exact"/>
        <w:rPr>
          <w:sz w:val="20"/>
          <w:szCs w:val="20"/>
          <w:color w:val="auto"/>
        </w:rPr>
      </w:pPr>
    </w:p>
    <w:p>
      <w:pPr>
        <w:sectPr>
          <w:pgSz w:w="11900" w:h="16838" w:orient="portrait"/>
          <w:cols w:equalWidth="0" w:num="2">
            <w:col w:w="2840" w:space="720"/>
            <w:col w:w="7200"/>
          </w:cols>
          <w:pgMar w:left="900" w:top="976" w:right="239" w:bottom="1440" w:gutter="0" w:footer="0" w:header="0"/>
          <w:type w:val="continuous"/>
        </w:sectPr>
      </w:pPr>
    </w:p>
    <w:p>
      <w:pPr>
        <w:spacing w:after="0"/>
        <w:rPr>
          <w:sz w:val="20"/>
          <w:szCs w:val="20"/>
          <w:color w:val="auto"/>
        </w:rPr>
      </w:pPr>
      <w:r>
        <w:rPr>
          <w:rFonts w:ascii="Arial" w:cs="Arial" w:eastAsia="Arial" w:hAnsi="Arial"/>
          <w:sz w:val="16"/>
          <w:szCs w:val="16"/>
          <w:color w:val="auto"/>
        </w:rPr>
        <w:t>Determining Party:</w:t>
      </w:r>
    </w:p>
    <w:p>
      <w:pPr>
        <w:spacing w:after="0" w:line="20" w:lineRule="exact"/>
        <w:rPr>
          <w:sz w:val="20"/>
          <w:szCs w:val="20"/>
          <w:color w:val="auto"/>
        </w:rPr>
      </w:pPr>
      <w:r>
        <w:rPr>
          <w:sz w:val="20"/>
          <w:szCs w:val="20"/>
          <w:color w:val="auto"/>
        </w:rPr>
        <w:br w:type="column"/>
      </w:r>
    </w:p>
    <w:p>
      <w:pPr>
        <w:jc w:val="both"/>
        <w:spacing w:after="0" w:line="268" w:lineRule="auto"/>
        <w:rPr>
          <w:sz w:val="20"/>
          <w:szCs w:val="20"/>
          <w:color w:val="auto"/>
        </w:rPr>
      </w:pPr>
      <w:r>
        <w:rPr>
          <w:rFonts w:ascii="Arial" w:cs="Arial" w:eastAsia="Arial" w:hAnsi="Arial"/>
          <w:sz w:val="17"/>
          <w:szCs w:val="17"/>
          <w:color w:val="auto"/>
        </w:rPr>
        <w:t>For all applicable Extraordinary Events, Dealer. Following any determination by the Determining Party hereunder and a written request by Company, the Determining Party shall provide to Company by e-mail to the e-mail address provided by Company a written explanation and report (in a commonly used file format for the storage and manipulation of financial data) describing in reasonable detail any determination made by it (including, as applicable, any quotations, market data, information from internal sources used in making such determinations, description of the methodology and any assumptions and basis used in making for such determination), it being understood that the Determining Party shall not be obligated to disclose any proprietary or confidential models or proprietary or confidential information used by it for such determination; provided that, when making any determination or calculation as “Determining Party,” Dealer shall be bound by the same obligations relating to required acts of the Calculation Agent as set forth in Section 1.40 of the Equity Definitions and this Confirmation as if the Determining Party were the Calculation Agent and that all</w:t>
      </w:r>
    </w:p>
    <w:p>
      <w:pPr>
        <w:spacing w:after="0" w:line="200" w:lineRule="exact"/>
        <w:rPr>
          <w:sz w:val="20"/>
          <w:szCs w:val="20"/>
          <w:color w:val="auto"/>
        </w:rPr>
      </w:pPr>
    </w:p>
    <w:p>
      <w:pPr>
        <w:sectPr>
          <w:pgSz w:w="11900" w:h="16838" w:orient="portrait"/>
          <w:cols w:equalWidth="0" w:num="2">
            <w:col w:w="2840" w:space="720"/>
            <w:col w:w="7200"/>
          </w:cols>
          <w:pgMar w:left="900" w:top="976" w:right="239" w:bottom="1440" w:gutter="0" w:footer="0" w:header="0"/>
          <w:type w:val="continuous"/>
        </w:sectPr>
      </w:pPr>
    </w:p>
    <w:p>
      <w:pPr>
        <w:spacing w:after="0" w:line="362"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760"/>
          </w:cols>
          <w:pgMar w:left="900" w:top="976" w:right="239" w:bottom="1440" w:gutter="0" w:footer="0" w:header="0"/>
          <w:type w:val="continuous"/>
        </w:sectPr>
      </w:pPr>
    </w:p>
    <w:bookmarkStart w:id="220" w:name="page221"/>
    <w:bookmarkEnd w:id="220"/>
    <w:p>
      <w:pPr>
        <w:jc w:val="both"/>
        <w:ind w:left="4212"/>
        <w:spacing w:after="0" w:line="312" w:lineRule="auto"/>
        <w:rPr>
          <w:sz w:val="20"/>
          <w:szCs w:val="20"/>
          <w:color w:val="auto"/>
        </w:rPr>
      </w:pPr>
      <w:r>
        <w:rPr>
          <w:rFonts w:ascii="Arial" w:cs="Arial" w:eastAsia="Arial" w:hAnsi="Arial"/>
          <w:sz w:val="16"/>
          <w:szCs w:val="16"/>
          <w:color w:val="auto"/>
        </w:rPr>
        <w:t>calculations, adjustments, specifications, choices and determinations by Dealer acting in its capacity as the Determining Party shall be made in good faith and in a commercially reasonable manner and assuming that Dealer maintains a commercially reasonable hedge position.</w:t>
      </w:r>
    </w:p>
    <w:p>
      <w:pPr>
        <w:sectPr>
          <w:pgSz w:w="11900" w:h="16838" w:orient="portrait"/>
          <w:cols w:equalWidth="0" w:num="1">
            <w:col w:w="11412"/>
          </w:cols>
          <w:pgMar w:left="248" w:top="976" w:right="239" w:bottom="1440" w:gutter="0" w:footer="0" w:header="0"/>
        </w:sectPr>
      </w:pPr>
    </w:p>
    <w:p>
      <w:pPr>
        <w:spacing w:after="0" w:line="106" w:lineRule="exact"/>
        <w:rPr>
          <w:sz w:val="20"/>
          <w:szCs w:val="20"/>
          <w:color w:val="auto"/>
        </w:rPr>
      </w:pPr>
    </w:p>
    <w:p>
      <w:pPr>
        <w:ind w:left="652"/>
        <w:spacing w:after="0"/>
        <w:rPr>
          <w:sz w:val="20"/>
          <w:szCs w:val="20"/>
          <w:color w:val="auto"/>
        </w:rPr>
      </w:pPr>
      <w:r>
        <w:rPr>
          <w:rFonts w:ascii="Arial" w:cs="Arial" w:eastAsia="Arial" w:hAnsi="Arial"/>
          <w:sz w:val="16"/>
          <w:szCs w:val="16"/>
          <w:color w:val="auto"/>
        </w:rPr>
        <w:t>Non-Reliance:</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Applicable</w:t>
      </w:r>
    </w:p>
    <w:p>
      <w:pPr>
        <w:spacing w:after="0" w:line="196" w:lineRule="exact"/>
        <w:rPr>
          <w:sz w:val="20"/>
          <w:szCs w:val="20"/>
          <w:color w:val="auto"/>
        </w:rPr>
      </w:pPr>
    </w:p>
    <w:p>
      <w:pPr>
        <w:sectPr>
          <w:pgSz w:w="11900" w:h="16838" w:orient="portrait"/>
          <w:cols w:equalWidth="0" w:num="2">
            <w:col w:w="3492" w:space="720"/>
            <w:col w:w="7200"/>
          </w:cols>
          <w:pgMar w:left="248" w:top="976" w:right="239" w:bottom="1440" w:gutter="0" w:footer="0" w:header="0"/>
          <w:type w:val="continuous"/>
        </w:sectPr>
      </w:pPr>
    </w:p>
    <w:p>
      <w:pPr>
        <w:ind w:left="652" w:right="280"/>
        <w:spacing w:after="0" w:line="342" w:lineRule="auto"/>
        <w:rPr>
          <w:sz w:val="20"/>
          <w:szCs w:val="20"/>
          <w:color w:val="auto"/>
        </w:rPr>
      </w:pPr>
      <w:r>
        <w:rPr>
          <w:rFonts w:ascii="Arial" w:cs="Arial" w:eastAsia="Arial" w:hAnsi="Arial"/>
          <w:sz w:val="16"/>
          <w:szCs w:val="16"/>
          <w:color w:val="auto"/>
        </w:rPr>
        <w:t>Agreements and Acknowledgments Regarding Hedging Activities: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Applicable</w:t>
      </w:r>
    </w:p>
    <w:p>
      <w:pPr>
        <w:spacing w:after="0" w:line="195" w:lineRule="exact"/>
        <w:rPr>
          <w:sz w:val="20"/>
          <w:szCs w:val="20"/>
          <w:color w:val="auto"/>
        </w:rPr>
      </w:pPr>
    </w:p>
    <w:p>
      <w:pPr>
        <w:sectPr>
          <w:pgSz w:w="11900" w:h="16838" w:orient="portrait"/>
          <w:cols w:equalWidth="0" w:num="2">
            <w:col w:w="3492" w:space="720"/>
            <w:col w:w="7200"/>
          </w:cols>
          <w:pgMar w:left="248" w:top="976" w:right="239" w:bottom="1440" w:gutter="0" w:footer="0" w:header="0"/>
          <w:type w:val="continuous"/>
        </w:sectPr>
      </w:pPr>
    </w:p>
    <w:p>
      <w:pPr>
        <w:ind w:left="652"/>
        <w:spacing w:after="0"/>
        <w:rPr>
          <w:sz w:val="20"/>
          <w:szCs w:val="20"/>
          <w:color w:val="auto"/>
        </w:rPr>
      </w:pPr>
      <w:r>
        <w:rPr>
          <w:rFonts w:ascii="Arial" w:cs="Arial" w:eastAsia="Arial" w:hAnsi="Arial"/>
          <w:sz w:val="16"/>
          <w:szCs w:val="16"/>
          <w:color w:val="auto"/>
        </w:rPr>
        <w:t>Additional Acknowledgments: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Applicable</w:t>
      </w:r>
    </w:p>
    <w:p>
      <w:pPr>
        <w:spacing w:after="0" w:line="192" w:lineRule="exact"/>
        <w:rPr>
          <w:sz w:val="20"/>
          <w:szCs w:val="20"/>
          <w:color w:val="auto"/>
        </w:rPr>
      </w:pPr>
    </w:p>
    <w:p>
      <w:pPr>
        <w:sectPr>
          <w:pgSz w:w="11900" w:h="16838" w:orient="portrait"/>
          <w:cols w:equalWidth="0" w:num="2">
            <w:col w:w="3492" w:space="720"/>
            <w:col w:w="7200"/>
          </w:cols>
          <w:pgMar w:left="248" w:top="976" w:right="239" w:bottom="1440" w:gutter="0" w:footer="0" w:header="0"/>
          <w:type w:val="continuous"/>
        </w:sectPr>
      </w:pPr>
    </w:p>
    <w:p>
      <w:pPr>
        <w:jc w:val="both"/>
        <w:ind w:left="652" w:hanging="652"/>
        <w:spacing w:after="0" w:line="273" w:lineRule="auto"/>
        <w:tabs>
          <w:tab w:leader="none" w:pos="652" w:val="left"/>
        </w:tabs>
        <w:numPr>
          <w:ilvl w:val="0"/>
          <w:numId w:val="18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Calculation Agent</w:t>
      </w:r>
      <w:r>
        <w:rPr>
          <w:rFonts w:ascii="Arial" w:cs="Arial" w:eastAsia="Arial" w:hAnsi="Arial"/>
          <w:sz w:val="17"/>
          <w:szCs w:val="17"/>
          <w:b w:val="1"/>
          <w:bCs w:val="1"/>
          <w:color w:val="auto"/>
        </w:rPr>
        <w:t xml:space="preserve">. </w:t>
      </w:r>
      <w:r>
        <w:rPr>
          <w:rFonts w:ascii="Arial" w:cs="Arial" w:eastAsia="Arial" w:hAnsi="Arial"/>
          <w:sz w:val="17"/>
          <w:szCs w:val="17"/>
          <w:color w:val="auto"/>
        </w:rPr>
        <w:t>Dealer. All calculations and determinations by the Calculation Agent shall be made in good faith and in a commercially</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manner. Following any determination or calculation by the Calculation Agent hereunder, upon a written request by Company, the Calculation Agent shall provide to Company by e-mail to the e-mail address provided by Company in such request a written explanation and report (in a commonly used file format for the storage and manipulation of financial data) displaying in commercially reasonable detail the basis for such determination or calculation (including any quotations, market data or information from internal or external sources, and any assumptions, used in making such determination or calculation), it being understood that the Calculation Agent shall not be obligated to disclose any proprietary or confidential models or proprietary or confidential information used by it for such determination or calculation.</w:t>
      </w:r>
    </w:p>
    <w:p>
      <w:pPr>
        <w:spacing w:after="0" w:line="131" w:lineRule="exact"/>
        <w:rPr>
          <w:rFonts w:ascii="Arial" w:cs="Arial" w:eastAsia="Arial" w:hAnsi="Arial"/>
          <w:sz w:val="17"/>
          <w:szCs w:val="17"/>
          <w:b w:val="1"/>
          <w:bCs w:val="1"/>
          <w:color w:val="auto"/>
        </w:rPr>
      </w:pPr>
    </w:p>
    <w:p>
      <w:pPr>
        <w:ind w:left="652" w:hanging="652"/>
        <w:spacing w:after="0"/>
        <w:tabs>
          <w:tab w:leader="none" w:pos="652"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 Details</w:t>
      </w:r>
      <w:r>
        <w:rPr>
          <w:rFonts w:ascii="Arial" w:cs="Arial" w:eastAsia="Arial" w:hAnsi="Arial"/>
          <w:sz w:val="18"/>
          <w:szCs w:val="18"/>
          <w:b w:val="1"/>
          <w:bCs w:val="1"/>
          <w:color w:val="auto"/>
        </w:rPr>
        <w:t>.</w:t>
      </w:r>
    </w:p>
    <w:p>
      <w:pPr>
        <w:spacing w:after="0" w:line="188" w:lineRule="exact"/>
        <w:rPr>
          <w:rFonts w:ascii="Arial" w:cs="Arial" w:eastAsia="Arial" w:hAnsi="Arial"/>
          <w:sz w:val="18"/>
          <w:szCs w:val="18"/>
          <w:b w:val="1"/>
          <w:bCs w:val="1"/>
          <w:color w:val="auto"/>
        </w:rPr>
      </w:pPr>
    </w:p>
    <w:p>
      <w:pPr>
        <w:ind w:left="1292" w:hanging="644"/>
        <w:spacing w:after="0"/>
        <w:tabs>
          <w:tab w:leader="none" w:pos="129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Account for payments to Company:</w:t>
      </w:r>
    </w:p>
    <w:p>
      <w:pPr>
        <w:spacing w:after="0" w:line="184"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18"/>
          <w:szCs w:val="18"/>
          <w:color w:val="auto"/>
        </w:rPr>
        <w:t>Bank:</w:t>
      </w:r>
      <w:r>
        <w:rPr>
          <w:rFonts w:ascii="Arial" w:cs="Arial" w:eastAsia="Arial" w:hAnsi="Arial"/>
          <w:sz w:val="16"/>
          <w:szCs w:val="16"/>
          <w:color w:val="auto"/>
        </w:rPr>
        <w:t>[____________]</w:t>
      </w:r>
    </w:p>
    <w:p>
      <w:pPr>
        <w:spacing w:after="0" w:line="23"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18"/>
          <w:szCs w:val="18"/>
          <w:color w:val="auto"/>
        </w:rPr>
        <w:t>ABA#:</w:t>
      </w:r>
      <w:r>
        <w:rPr>
          <w:rFonts w:ascii="Arial" w:cs="Arial" w:eastAsia="Arial" w:hAnsi="Arial"/>
          <w:sz w:val="16"/>
          <w:szCs w:val="16"/>
          <w:color w:val="auto"/>
        </w:rPr>
        <w:t>[____________]</w:t>
      </w:r>
    </w:p>
    <w:p>
      <w:pPr>
        <w:spacing w:after="0" w:line="9"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18"/>
          <w:szCs w:val="18"/>
          <w:color w:val="auto"/>
        </w:rPr>
        <w:t>Acct No.:</w:t>
      </w:r>
      <w:r>
        <w:rPr>
          <w:rFonts w:ascii="Arial" w:cs="Arial" w:eastAsia="Arial" w:hAnsi="Arial"/>
          <w:sz w:val="16"/>
          <w:szCs w:val="16"/>
          <w:color w:val="auto"/>
        </w:rPr>
        <w:t>[____________]</w:t>
      </w:r>
    </w:p>
    <w:p>
      <w:pPr>
        <w:spacing w:after="0" w:line="9"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18"/>
          <w:szCs w:val="18"/>
          <w:color w:val="auto"/>
        </w:rPr>
        <w:t>Beneficiary:  [____________]</w:t>
      </w:r>
    </w:p>
    <w:p>
      <w:pPr>
        <w:spacing w:after="0" w:line="9"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18"/>
          <w:szCs w:val="18"/>
          <w:color w:val="auto"/>
        </w:rPr>
        <w:t>Ref:</w:t>
      </w:r>
      <w:r>
        <w:rPr>
          <w:rFonts w:ascii="Arial" w:cs="Arial" w:eastAsia="Arial" w:hAnsi="Arial"/>
          <w:sz w:val="16"/>
          <w:szCs w:val="16"/>
          <w:color w:val="auto"/>
        </w:rPr>
        <w:t>[____________]</w:t>
      </w:r>
    </w:p>
    <w:p>
      <w:pPr>
        <w:spacing w:after="0" w:line="170" w:lineRule="exact"/>
        <w:rPr>
          <w:rFonts w:ascii="Arial" w:cs="Arial" w:eastAsia="Arial" w:hAnsi="Arial"/>
          <w:sz w:val="18"/>
          <w:szCs w:val="18"/>
          <w:color w:val="auto"/>
        </w:rPr>
      </w:pPr>
    </w:p>
    <w:p>
      <w:pPr>
        <w:ind w:left="1292" w:right="6700"/>
        <w:spacing w:after="0" w:line="454" w:lineRule="auto"/>
        <w:rPr>
          <w:rFonts w:ascii="Arial" w:cs="Arial" w:eastAsia="Arial" w:hAnsi="Arial"/>
          <w:sz w:val="18"/>
          <w:szCs w:val="18"/>
          <w:color w:val="auto"/>
        </w:rPr>
      </w:pPr>
      <w:r>
        <w:rPr>
          <w:rFonts w:ascii="Arial" w:cs="Arial" w:eastAsia="Arial" w:hAnsi="Arial"/>
          <w:sz w:val="18"/>
          <w:szCs w:val="18"/>
          <w:color w:val="auto"/>
        </w:rPr>
        <w:t>Account for delivery of Shares from Company: [____________]</w:t>
      </w:r>
    </w:p>
    <w:p>
      <w:pPr>
        <w:ind w:left="1292" w:hanging="644"/>
        <w:spacing w:after="0"/>
        <w:tabs>
          <w:tab w:leader="none" w:pos="129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Account for payments to Dealer:</w:t>
      </w:r>
    </w:p>
    <w:p>
      <w:pPr>
        <w:spacing w:after="0" w:line="184"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18"/>
          <w:szCs w:val="18"/>
          <w:color w:val="auto"/>
        </w:rPr>
        <w:t>Bank:</w:t>
      </w:r>
      <w:r>
        <w:rPr>
          <w:rFonts w:ascii="Arial" w:cs="Arial" w:eastAsia="Arial" w:hAnsi="Arial"/>
          <w:sz w:val="16"/>
          <w:szCs w:val="16"/>
          <w:color w:val="auto"/>
        </w:rPr>
        <w:t>[____________]</w:t>
      </w:r>
    </w:p>
    <w:p>
      <w:pPr>
        <w:spacing w:after="0" w:line="23"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18"/>
          <w:szCs w:val="18"/>
          <w:color w:val="auto"/>
        </w:rPr>
        <w:t>ABA#:</w:t>
      </w:r>
      <w:r>
        <w:rPr>
          <w:rFonts w:ascii="Arial" w:cs="Arial" w:eastAsia="Arial" w:hAnsi="Arial"/>
          <w:sz w:val="16"/>
          <w:szCs w:val="16"/>
          <w:color w:val="auto"/>
        </w:rPr>
        <w:t>[____________]</w:t>
      </w:r>
    </w:p>
    <w:p>
      <w:pPr>
        <w:spacing w:after="0" w:line="9"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18"/>
          <w:szCs w:val="18"/>
          <w:color w:val="auto"/>
        </w:rPr>
        <w:t>Acct No.:</w:t>
      </w:r>
      <w:r>
        <w:rPr>
          <w:rFonts w:ascii="Arial" w:cs="Arial" w:eastAsia="Arial" w:hAnsi="Arial"/>
          <w:sz w:val="16"/>
          <w:szCs w:val="16"/>
          <w:color w:val="auto"/>
        </w:rPr>
        <w:t>[____________]</w:t>
      </w:r>
    </w:p>
    <w:p>
      <w:pPr>
        <w:spacing w:after="0" w:line="9"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18"/>
          <w:szCs w:val="18"/>
          <w:color w:val="auto"/>
        </w:rPr>
        <w:t>Beneficiary:  [____________]</w:t>
      </w:r>
    </w:p>
    <w:p>
      <w:pPr>
        <w:spacing w:after="0" w:line="9"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18"/>
          <w:szCs w:val="18"/>
          <w:color w:val="auto"/>
        </w:rPr>
        <w:t>Ref:</w:t>
      </w:r>
      <w:r>
        <w:rPr>
          <w:rFonts w:ascii="Arial" w:cs="Arial" w:eastAsia="Arial" w:hAnsi="Arial"/>
          <w:sz w:val="16"/>
          <w:szCs w:val="16"/>
          <w:color w:val="auto"/>
        </w:rPr>
        <w:t>[____________]</w:t>
      </w:r>
    </w:p>
    <w:p>
      <w:pPr>
        <w:spacing w:after="0" w:line="170" w:lineRule="exact"/>
        <w:rPr>
          <w:rFonts w:ascii="Arial" w:cs="Arial" w:eastAsia="Arial" w:hAnsi="Arial"/>
          <w:sz w:val="18"/>
          <w:szCs w:val="18"/>
          <w:color w:val="auto"/>
        </w:rPr>
      </w:pPr>
    </w:p>
    <w:p>
      <w:pPr>
        <w:ind w:left="1292" w:right="7140"/>
        <w:spacing w:after="0" w:line="451" w:lineRule="auto"/>
        <w:rPr>
          <w:rFonts w:ascii="Arial" w:cs="Arial" w:eastAsia="Arial" w:hAnsi="Arial"/>
          <w:sz w:val="18"/>
          <w:szCs w:val="18"/>
          <w:color w:val="auto"/>
        </w:rPr>
      </w:pPr>
      <w:r>
        <w:rPr>
          <w:rFonts w:ascii="Arial" w:cs="Arial" w:eastAsia="Arial" w:hAnsi="Arial"/>
          <w:sz w:val="18"/>
          <w:szCs w:val="18"/>
          <w:color w:val="auto"/>
        </w:rPr>
        <w:t>Account for delivery of Shares to Dealer: [____________]</w:t>
      </w:r>
    </w:p>
    <w:p>
      <w:pPr>
        <w:spacing w:after="0" w:line="1" w:lineRule="exact"/>
        <w:rPr>
          <w:rFonts w:ascii="Arial" w:cs="Arial" w:eastAsia="Arial" w:hAnsi="Arial"/>
          <w:sz w:val="18"/>
          <w:szCs w:val="18"/>
          <w:color w:val="auto"/>
        </w:rPr>
      </w:pPr>
    </w:p>
    <w:p>
      <w:pPr>
        <w:ind w:left="652" w:hanging="652"/>
        <w:spacing w:after="0"/>
        <w:tabs>
          <w:tab w:leader="none" w:pos="652"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Offices</w:t>
      </w:r>
      <w:r>
        <w:rPr>
          <w:rFonts w:ascii="Arial" w:cs="Arial" w:eastAsia="Arial" w:hAnsi="Arial"/>
          <w:sz w:val="18"/>
          <w:szCs w:val="18"/>
          <w:b w:val="1"/>
          <w:bCs w:val="1"/>
          <w:color w:val="auto"/>
        </w:rPr>
        <w:t>.</w:t>
      </w:r>
    </w:p>
    <w:p>
      <w:pPr>
        <w:spacing w:after="0" w:line="188" w:lineRule="exact"/>
        <w:rPr>
          <w:rFonts w:ascii="Arial" w:cs="Arial" w:eastAsia="Arial" w:hAnsi="Arial"/>
          <w:sz w:val="18"/>
          <w:szCs w:val="18"/>
          <w:b w:val="1"/>
          <w:bCs w:val="1"/>
          <w:color w:val="auto"/>
        </w:rPr>
      </w:pPr>
    </w:p>
    <w:p>
      <w:pPr>
        <w:ind w:left="1292" w:hanging="644"/>
        <w:spacing w:after="0"/>
        <w:tabs>
          <w:tab w:leader="none" w:pos="129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Office of Company for the Transaction is: Inapplicable, Company is not a Multibranch Party.</w:t>
      </w:r>
    </w:p>
    <w:p>
      <w:pPr>
        <w:spacing w:after="0" w:line="184" w:lineRule="exact"/>
        <w:rPr>
          <w:rFonts w:ascii="Arial" w:cs="Arial" w:eastAsia="Arial" w:hAnsi="Arial"/>
          <w:sz w:val="18"/>
          <w:szCs w:val="18"/>
          <w:color w:val="auto"/>
        </w:rPr>
      </w:pPr>
    </w:p>
    <w:p>
      <w:pPr>
        <w:ind w:left="1292" w:hanging="644"/>
        <w:spacing w:after="0"/>
        <w:tabs>
          <w:tab w:leader="none" w:pos="129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Office of Dealer for the Transaction is:[__________]</w:t>
      </w:r>
    </w:p>
    <w:p>
      <w:pPr>
        <w:spacing w:after="0" w:line="180" w:lineRule="exact"/>
        <w:rPr>
          <w:rFonts w:ascii="Arial" w:cs="Arial" w:eastAsia="Arial" w:hAnsi="Arial"/>
          <w:sz w:val="18"/>
          <w:szCs w:val="18"/>
          <w:color w:val="auto"/>
        </w:rPr>
      </w:pPr>
    </w:p>
    <w:p>
      <w:pPr>
        <w:ind w:left="652" w:hanging="652"/>
        <w:spacing w:after="0"/>
        <w:tabs>
          <w:tab w:leader="none" w:pos="652"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188" w:lineRule="exact"/>
        <w:rPr>
          <w:rFonts w:ascii="Arial" w:cs="Arial" w:eastAsia="Arial" w:hAnsi="Arial"/>
          <w:sz w:val="18"/>
          <w:szCs w:val="18"/>
          <w:b w:val="1"/>
          <w:bCs w:val="1"/>
          <w:color w:val="auto"/>
        </w:rPr>
      </w:pPr>
    </w:p>
    <w:p>
      <w:pPr>
        <w:ind w:left="1292" w:hanging="644"/>
        <w:spacing w:after="0"/>
        <w:tabs>
          <w:tab w:leader="none" w:pos="129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Address for notices or communications to Company:</w:t>
      </w:r>
    </w:p>
    <w:p>
      <w:pPr>
        <w:spacing w:after="0" w:line="200" w:lineRule="exact"/>
        <w:rPr>
          <w:sz w:val="20"/>
          <w:szCs w:val="20"/>
          <w:color w:val="auto"/>
        </w:rPr>
      </w:pPr>
    </w:p>
    <w:p>
      <w:pPr>
        <w:spacing w:after="0" w:line="400" w:lineRule="exact"/>
        <w:rPr>
          <w:sz w:val="20"/>
          <w:szCs w:val="20"/>
          <w:color w:val="auto"/>
        </w:rPr>
      </w:pPr>
    </w:p>
    <w:p>
      <w:pPr>
        <w:jc w:val="center"/>
        <w:ind w:right="-11"/>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12"/>
          </w:cols>
          <w:pgMar w:left="248" w:top="976" w:right="239" w:bottom="1440" w:gutter="0" w:footer="0" w:header="0"/>
          <w:type w:val="continuous"/>
        </w:sectPr>
      </w:pPr>
    </w:p>
    <w:bookmarkStart w:id="221" w:name="page222"/>
    <w:bookmarkEnd w:id="221"/>
    <w:p>
      <w:pPr>
        <w:ind w:left="1300"/>
        <w:spacing w:after="0"/>
        <w:rPr>
          <w:sz w:val="20"/>
          <w:szCs w:val="20"/>
          <w:color w:val="auto"/>
        </w:rPr>
      </w:pPr>
      <w:r>
        <w:rPr>
          <w:rFonts w:ascii="Arial" w:cs="Arial" w:eastAsia="Arial" w:hAnsi="Arial"/>
          <w:sz w:val="18"/>
          <w:szCs w:val="18"/>
          <w:color w:val="auto"/>
        </w:rPr>
        <w:t>Marriott Vacations Worldwide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6649 Westwood Blvd.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Orlando, FL 32821</w:t>
      </w:r>
    </w:p>
    <w:p>
      <w:pPr>
        <w:spacing w:after="0" w:line="9" w:lineRule="exact"/>
        <w:rPr>
          <w:sz w:val="20"/>
          <w:szCs w:val="20"/>
          <w:color w:val="auto"/>
        </w:rPr>
      </w:pPr>
    </w:p>
    <w:p>
      <w:pPr>
        <w:ind w:left="1300"/>
        <w:spacing w:after="0"/>
        <w:tabs>
          <w:tab w:leader="none" w:pos="2240" w:val="left"/>
        </w:tabs>
        <w:rPr>
          <w:sz w:val="20"/>
          <w:szCs w:val="20"/>
          <w:color w:val="auto"/>
        </w:rPr>
      </w:pPr>
      <w:r>
        <w:rPr>
          <w:rFonts w:ascii="Arial" w:cs="Arial" w:eastAsia="Arial" w:hAnsi="Arial"/>
          <w:sz w:val="18"/>
          <w:szCs w:val="18"/>
          <w:color w:val="auto"/>
        </w:rPr>
        <w:t>Attention:</w:t>
        <w:tab/>
        <w:t>[____________]</w:t>
      </w:r>
    </w:p>
    <w:p>
      <w:pPr>
        <w:spacing w:after="0" w:line="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Telephone No.:</w:t>
      </w:r>
      <w:r>
        <w:rPr>
          <w:sz w:val="20"/>
          <w:szCs w:val="20"/>
          <w:color w:val="auto"/>
        </w:rPr>
        <w:tab/>
      </w:r>
      <w:r>
        <w:rPr>
          <w:rFonts w:ascii="Arial" w:cs="Arial" w:eastAsia="Arial" w:hAnsi="Arial"/>
          <w:sz w:val="16"/>
          <w:szCs w:val="16"/>
          <w:color w:val="auto"/>
        </w:rPr>
        <w:t>[____________]</w:t>
      </w:r>
    </w:p>
    <w:p>
      <w:pPr>
        <w:spacing w:after="0" w:line="9"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18"/>
          <w:szCs w:val="18"/>
          <w:color w:val="auto"/>
        </w:rPr>
        <w:t>Facsimile No.:</w:t>
      </w:r>
      <w:r>
        <w:rPr>
          <w:sz w:val="20"/>
          <w:szCs w:val="20"/>
          <w:color w:val="auto"/>
        </w:rPr>
        <w:tab/>
      </w:r>
      <w:r>
        <w:rPr>
          <w:rFonts w:ascii="Arial" w:cs="Arial" w:eastAsia="Arial" w:hAnsi="Arial"/>
          <w:sz w:val="16"/>
          <w:szCs w:val="16"/>
          <w:color w:val="auto"/>
        </w:rPr>
        <w:t>[____________]</w:t>
      </w:r>
    </w:p>
    <w:p>
      <w:pPr>
        <w:spacing w:after="0" w:line="170" w:lineRule="exact"/>
        <w:rPr>
          <w:sz w:val="20"/>
          <w:szCs w:val="20"/>
          <w:color w:val="auto"/>
        </w:rPr>
      </w:pPr>
    </w:p>
    <w:p>
      <w:pPr>
        <w:ind w:left="1300" w:hanging="644"/>
        <w:spacing w:after="0"/>
        <w:tabs>
          <w:tab w:leader="none" w:pos="130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Address for notices or communications to Dealer:</w:t>
      </w:r>
    </w:p>
    <w:p>
      <w:pPr>
        <w:spacing w:after="0" w:line="184" w:lineRule="exact"/>
        <w:rPr>
          <w:rFonts w:ascii="Arial" w:cs="Arial" w:eastAsia="Arial" w:hAnsi="Arial"/>
          <w:sz w:val="18"/>
          <w:szCs w:val="18"/>
          <w:color w:val="auto"/>
        </w:rPr>
      </w:pPr>
    </w:p>
    <w:p>
      <w:pPr>
        <w:ind w:left="1300" w:right="7620"/>
        <w:spacing w:after="0" w:line="259" w:lineRule="auto"/>
        <w:rPr>
          <w:rFonts w:ascii="Arial" w:cs="Arial" w:eastAsia="Arial" w:hAnsi="Arial"/>
          <w:sz w:val="18"/>
          <w:szCs w:val="18"/>
          <w:color w:val="auto"/>
        </w:rPr>
      </w:pPr>
      <w:r>
        <w:rPr>
          <w:rFonts w:ascii="Arial" w:cs="Arial" w:eastAsia="Arial" w:hAnsi="Arial"/>
          <w:sz w:val="18"/>
          <w:szCs w:val="18"/>
          <w:color w:val="auto"/>
        </w:rPr>
        <w:t>[_______________] Attention: [____________] Telephone No.: [____________] Facsimile No.: [____________]</w:t>
      </w:r>
    </w:p>
    <w:p>
      <w:pPr>
        <w:spacing w:after="0" w:line="142" w:lineRule="exact"/>
        <w:rPr>
          <w:rFonts w:ascii="Arial" w:cs="Arial" w:eastAsia="Arial" w:hAnsi="Arial"/>
          <w:sz w:val="18"/>
          <w:szCs w:val="18"/>
          <w:color w:val="auto"/>
        </w:rPr>
      </w:pPr>
    </w:p>
    <w:p>
      <w:pPr>
        <w:ind w:left="660" w:hanging="652"/>
        <w:spacing w:after="0"/>
        <w:tabs>
          <w:tab w:leader="none" w:pos="66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Company</w:t>
      </w:r>
      <w:r>
        <w:rPr>
          <w:rFonts w:ascii="Arial" w:cs="Arial" w:eastAsia="Arial" w:hAnsi="Arial"/>
          <w:sz w:val="18"/>
          <w:szCs w:val="18"/>
          <w:b w:val="1"/>
          <w:bCs w:val="1"/>
          <w:color w:val="auto"/>
        </w:rPr>
        <w:t>.</w:t>
      </w:r>
    </w:p>
    <w:p>
      <w:pPr>
        <w:spacing w:after="0" w:line="184" w:lineRule="exact"/>
        <w:rPr>
          <w:rFonts w:ascii="Arial" w:cs="Arial" w:eastAsia="Arial" w:hAnsi="Arial"/>
          <w:sz w:val="18"/>
          <w:szCs w:val="18"/>
          <w:b w:val="1"/>
          <w:bCs w:val="1"/>
          <w:color w:val="auto"/>
        </w:rPr>
      </w:pPr>
    </w:p>
    <w:p>
      <w:pPr>
        <w:jc w:val="both"/>
        <w:ind w:left="660"/>
        <w:spacing w:after="0" w:line="277" w:lineRule="auto"/>
        <w:rPr>
          <w:rFonts w:ascii="Arial" w:cs="Arial" w:eastAsia="Arial" w:hAnsi="Arial"/>
          <w:sz w:val="18"/>
          <w:szCs w:val="18"/>
          <w:b w:val="1"/>
          <w:bCs w:val="1"/>
          <w:color w:val="auto"/>
        </w:rPr>
      </w:pPr>
      <w:r>
        <w:rPr>
          <w:rFonts w:ascii="Arial" w:cs="Arial" w:eastAsia="Arial" w:hAnsi="Arial"/>
          <w:sz w:val="17"/>
          <w:szCs w:val="17"/>
          <w:color w:val="auto"/>
        </w:rPr>
        <w:t>Each of the representations and warranties of Company set forth in Section 3 of the Purchase Agreement (the “</w:t>
      </w:r>
      <w:r>
        <w:rPr>
          <w:rFonts w:ascii="Arial" w:cs="Arial" w:eastAsia="Arial" w:hAnsi="Arial"/>
          <w:sz w:val="17"/>
          <w:szCs w:val="17"/>
          <w:b w:val="1"/>
          <w:bCs w:val="1"/>
          <w:color w:val="auto"/>
        </w:rPr>
        <w:t>Purchase Agreement</w:t>
      </w:r>
      <w:r>
        <w:rPr>
          <w:rFonts w:ascii="Arial" w:cs="Arial" w:eastAsia="Arial" w:hAnsi="Arial"/>
          <w:sz w:val="17"/>
          <w:szCs w:val="17"/>
          <w:color w:val="auto"/>
        </w:rPr>
        <w:t>”), dated as of September 20, 2017, between Company and J.P. Morgan Securities LLC and Merrill Lynch, Pierce, Fenner &amp; Smith Incorporated, as representative of the Initial Purchasers party thereto (the “</w:t>
      </w:r>
      <w:r>
        <w:rPr>
          <w:rFonts w:ascii="Arial" w:cs="Arial" w:eastAsia="Arial" w:hAnsi="Arial"/>
          <w:sz w:val="17"/>
          <w:szCs w:val="17"/>
          <w:b w:val="1"/>
          <w:bCs w:val="1"/>
          <w:color w:val="auto"/>
        </w:rPr>
        <w:t>Initial Purchasers</w:t>
      </w:r>
      <w:r>
        <w:rPr>
          <w:rFonts w:ascii="Arial" w:cs="Arial" w:eastAsia="Arial" w:hAnsi="Arial"/>
          <w:sz w:val="17"/>
          <w:szCs w:val="17"/>
          <w:color w:val="auto"/>
        </w:rPr>
        <w:t>”), are true and correct and are hereby deemed to be repeated to Dealer as if set forth herein. Company hereby further represents and warrants to Dealer on the date hereof, on and as of the Premium Payment Date and, in the case of the representations in Section 8(d), at all times until termination of the Transaction, that:</w:t>
      </w:r>
    </w:p>
    <w:p>
      <w:pPr>
        <w:spacing w:after="0" w:line="131" w:lineRule="exact"/>
        <w:rPr>
          <w:rFonts w:ascii="Arial" w:cs="Arial" w:eastAsia="Arial" w:hAnsi="Arial"/>
          <w:sz w:val="18"/>
          <w:szCs w:val="18"/>
          <w:b w:val="1"/>
          <w:bCs w:val="1"/>
          <w:color w:val="auto"/>
        </w:rPr>
      </w:pPr>
    </w:p>
    <w:p>
      <w:pPr>
        <w:ind w:left="1500" w:hanging="851"/>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(a)Company has all necessary corporate power and authority to execute, deliver and perform its obligations in respect of the Transaction; such execution, delivery and performance have been duly authorized by all necessary corporate action on Company’s part; and this Confirmation has been duly and validly executed and delivered by Company and constitutes its valid and binding obligation, enforceable against Company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138" w:lineRule="exact"/>
        <w:rPr>
          <w:rFonts w:ascii="Arial" w:cs="Arial" w:eastAsia="Arial" w:hAnsi="Arial"/>
          <w:sz w:val="18"/>
          <w:szCs w:val="18"/>
          <w:b w:val="1"/>
          <w:bCs w:val="1"/>
          <w:color w:val="auto"/>
        </w:rPr>
      </w:pPr>
    </w:p>
    <w:p>
      <w:pPr>
        <w:jc w:val="both"/>
        <w:ind w:left="1300" w:hanging="644"/>
        <w:spacing w:after="0" w:line="219" w:lineRule="exact"/>
        <w:tabs>
          <w:tab w:leader="none" w:pos="130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Neither the execution and delivery of this Confirmation nor the incurrence or performance of obligations of Company hereunder will conflict with or result in a breach of the certificate of incorporation or by</w:t>
      </w:r>
      <w:r>
        <w:rPr>
          <w:rFonts w:ascii="MS PGothic" w:cs="MS PGothic" w:eastAsia="MS PGothic" w:hAnsi="MS PGothic"/>
          <w:sz w:val="18"/>
          <w:szCs w:val="18"/>
          <w:color w:val="auto"/>
        </w:rPr>
        <w:t>‑</w:t>
      </w:r>
      <w:r>
        <w:rPr>
          <w:rFonts w:ascii="Arial" w:cs="Arial" w:eastAsia="Arial" w:hAnsi="Arial"/>
          <w:sz w:val="18"/>
          <w:szCs w:val="18"/>
          <w:color w:val="auto"/>
        </w:rPr>
        <w:t>laws (or any equivalent documents) of Company, or any applicable law or regulation, or any order, writ, injunction or decree of any court or governmental authority or agency, or any agreement or instrument to which Company or any of its subsidiaries is a party or by which Company or any of its subsidiaries is bound or to which Company or any of its subsidiaries is subject, or constitute a default under, or result in the creation of any lien under, any such agreement or instrument.</w:t>
      </w:r>
    </w:p>
    <w:p>
      <w:pPr>
        <w:spacing w:after="0" w:line="162"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1"/>
          <w:numId w:val="190"/>
        </w:numPr>
        <w:rPr>
          <w:rFonts w:ascii="Arial" w:cs="Arial" w:eastAsia="Arial" w:hAnsi="Arial"/>
          <w:sz w:val="17"/>
          <w:szCs w:val="17"/>
          <w:color w:val="auto"/>
        </w:rPr>
      </w:pPr>
      <w:r>
        <w:rPr>
          <w:rFonts w:ascii="Arial" w:cs="Arial" w:eastAsia="Arial" w:hAnsi="Arial"/>
          <w:sz w:val="17"/>
          <w:szCs w:val="17"/>
          <w:color w:val="auto"/>
        </w:rPr>
        <w:t>No consent, approval, authorization, or order of, or filing with, any governmental agency or body or any court is required in connection with the execution, delivery or performance by Company of this Confirmation, except such as have been obtained or made and such as may be required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or state securities laws.</w:t>
      </w:r>
    </w:p>
    <w:p>
      <w:pPr>
        <w:spacing w:after="0" w:line="121" w:lineRule="exact"/>
        <w:rPr>
          <w:rFonts w:ascii="Arial" w:cs="Arial" w:eastAsia="Arial" w:hAnsi="Arial"/>
          <w:sz w:val="17"/>
          <w:szCs w:val="17"/>
          <w:color w:val="auto"/>
        </w:rPr>
      </w:pPr>
    </w:p>
    <w:p>
      <w:pPr>
        <w:jc w:val="both"/>
        <w:ind w:left="1300" w:hanging="644"/>
        <w:spacing w:after="0" w:line="277" w:lineRule="auto"/>
        <w:tabs>
          <w:tab w:leader="none" w:pos="1300" w:val="left"/>
        </w:tabs>
        <w:numPr>
          <w:ilvl w:val="1"/>
          <w:numId w:val="190"/>
        </w:numPr>
        <w:rPr>
          <w:rFonts w:ascii="Arial" w:cs="Arial" w:eastAsia="Arial" w:hAnsi="Arial"/>
          <w:sz w:val="17"/>
          <w:szCs w:val="17"/>
          <w:color w:val="auto"/>
        </w:rPr>
      </w:pPr>
      <w:r>
        <w:rPr>
          <w:rFonts w:ascii="Arial" w:cs="Arial" w:eastAsia="Arial" w:hAnsi="Arial"/>
          <w:sz w:val="17"/>
          <w:szCs w:val="17"/>
          <w:color w:val="auto"/>
        </w:rPr>
        <w:t>A number of Shares equal to the Maximum Number of Shares (as defined below) (the “</w:t>
      </w:r>
      <w:r>
        <w:rPr>
          <w:rFonts w:ascii="Arial" w:cs="Arial" w:eastAsia="Arial" w:hAnsi="Arial"/>
          <w:sz w:val="17"/>
          <w:szCs w:val="17"/>
          <w:b w:val="1"/>
          <w:bCs w:val="1"/>
          <w:color w:val="auto"/>
        </w:rPr>
        <w:t>Warrant Shares</w:t>
      </w:r>
      <w:r>
        <w:rPr>
          <w:rFonts w:ascii="Arial" w:cs="Arial" w:eastAsia="Arial" w:hAnsi="Arial"/>
          <w:sz w:val="17"/>
          <w:szCs w:val="17"/>
          <w:color w:val="auto"/>
        </w:rPr>
        <w:t>”) have been reserved for issuance by all required corporate action of Company. The Warrant Shares have been duly authorized and, when delivered against payment therefor (which may include Net Share Settlement in lieu of cash) and otherwise as contemplated by the terms of the Warrants following the exercise of the Warrants in accordance with the terms and conditions of the Warrants, will be validly issued, fully-paid and non-assessable, and the issuance of the Warrant Shares will not be subject to any preemptive or similar rights.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976" w:right="239" w:bottom="1440" w:gutter="0" w:footer="0" w:header="0"/>
        </w:sectPr>
      </w:pPr>
    </w:p>
    <w:bookmarkStart w:id="222" w:name="page223"/>
    <w:bookmarkEnd w:id="222"/>
    <w:p>
      <w:pPr>
        <w:ind w:left="1300" w:hanging="644"/>
        <w:spacing w:after="0" w:line="277" w:lineRule="auto"/>
        <w:tabs>
          <w:tab w:leader="none" w:pos="13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Company is not and, after consummation of the transactions contemplated hereby, will not be required to register as an “investment company” as such term is defined in the Investment Company Act of 1940, as amended.</w:t>
      </w:r>
    </w:p>
    <w:p>
      <w:pPr>
        <w:spacing w:after="0" w:line="129"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Company is an “eligible contract participant” (as such term is defined in Section 1a(18) of the Commodity Exchange Act, as amended, other than a person that is an eligible contract participant under Section 1a(18)(C) of the Commodity Exchange Act).</w:t>
      </w:r>
    </w:p>
    <w:p>
      <w:pPr>
        <w:spacing w:after="0" w:line="129"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Company and each of its affiliates is not, on the date hereof, in possession of any material non-public information with respect to Company or the Shares.</w:t>
      </w:r>
    </w:p>
    <w:p>
      <w:pPr>
        <w:spacing w:after="0" w:line="129" w:lineRule="exact"/>
        <w:rPr>
          <w:rFonts w:ascii="Arial" w:cs="Arial" w:eastAsia="Arial" w:hAnsi="Arial"/>
          <w:sz w:val="18"/>
          <w:szCs w:val="18"/>
          <w:color w:val="auto"/>
        </w:rPr>
      </w:pPr>
    </w:p>
    <w:p>
      <w:pPr>
        <w:jc w:val="both"/>
        <w:ind w:left="1300" w:hanging="644"/>
        <w:spacing w:after="0" w:line="276" w:lineRule="auto"/>
        <w:tabs>
          <w:tab w:leader="none" w:pos="1300" w:val="left"/>
        </w:tabs>
        <w:numPr>
          <w:ilvl w:val="1"/>
          <w:numId w:val="191"/>
        </w:numPr>
        <w:rPr>
          <w:rFonts w:ascii="Arial" w:cs="Arial" w:eastAsia="Arial" w:hAnsi="Arial"/>
          <w:sz w:val="17"/>
          <w:szCs w:val="17"/>
          <w:color w:val="auto"/>
        </w:rPr>
      </w:pPr>
      <w:r>
        <w:rPr>
          <w:rFonts w:ascii="Arial" w:cs="Arial" w:eastAsia="Arial" w:hAnsi="Arial"/>
          <w:sz w:val="17"/>
          <w:szCs w:val="17"/>
          <w:color w:val="auto"/>
        </w:rPr>
        <w:t>To Company’s knowledge, no state or local (including any non-U.S. jurisdiction’s) law, rule, regulation or regulatory order applicable to the Shares (not including laws, rules, regulations or regulatory orders of any jurisdiction that are applicable solely as a result of Dealer’s and/or its affiliates’ activities, assets or businesses, other than Dealer’s activities in respect of the Transaction) would give rise to any reporting, consent, registration or other requirement (including without limitation a requirement to obtain prior approval from any person or entity) as a result of Dealer or its affiliates owning or holding (however defined) Shares in connection with the Transaction.</w:t>
      </w:r>
    </w:p>
    <w:p>
      <w:pPr>
        <w:spacing w:after="0" w:line="132" w:lineRule="exact"/>
        <w:rPr>
          <w:rFonts w:ascii="Arial" w:cs="Arial" w:eastAsia="Arial" w:hAnsi="Arial"/>
          <w:sz w:val="17"/>
          <w:szCs w:val="17"/>
          <w:color w:val="auto"/>
        </w:rPr>
      </w:pPr>
    </w:p>
    <w:p>
      <w:pPr>
        <w:jc w:val="both"/>
        <w:ind w:left="1300" w:hanging="644"/>
        <w:spacing w:after="0" w:line="312" w:lineRule="auto"/>
        <w:tabs>
          <w:tab w:leader="none" w:pos="130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Company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$50 million.</w:t>
      </w:r>
    </w:p>
    <w:p>
      <w:pPr>
        <w:spacing w:after="0" w:line="102" w:lineRule="exact"/>
        <w:rPr>
          <w:rFonts w:ascii="Arial" w:cs="Arial" w:eastAsia="Arial" w:hAnsi="Arial"/>
          <w:sz w:val="16"/>
          <w:szCs w:val="16"/>
          <w:color w:val="auto"/>
        </w:rPr>
      </w:pPr>
    </w:p>
    <w:p>
      <w:pPr>
        <w:ind w:left="660" w:hanging="652"/>
        <w:spacing w:after="0"/>
        <w:tabs>
          <w:tab w:leader="none" w:pos="6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Provisions</w:t>
      </w:r>
      <w:r>
        <w:rPr>
          <w:rFonts w:ascii="Arial" w:cs="Arial" w:eastAsia="Arial" w:hAnsi="Arial"/>
          <w:sz w:val="18"/>
          <w:szCs w:val="18"/>
          <w:b w:val="1"/>
          <w:bCs w:val="1"/>
          <w:color w:val="auto"/>
        </w:rPr>
        <w:t>.</w:t>
      </w:r>
    </w:p>
    <w:p>
      <w:pPr>
        <w:spacing w:after="0" w:line="188" w:lineRule="exact"/>
        <w:rPr>
          <w:rFonts w:ascii="Arial" w:cs="Arial" w:eastAsia="Arial" w:hAnsi="Arial"/>
          <w:sz w:val="18"/>
          <w:szCs w:val="18"/>
          <w:b w:val="1"/>
          <w:bCs w:val="1"/>
          <w:color w:val="auto"/>
        </w:rPr>
      </w:pPr>
    </w:p>
    <w:p>
      <w:pPr>
        <w:jc w:val="both"/>
        <w:ind w:left="1300" w:hanging="644"/>
        <w:spacing w:after="0" w:line="259" w:lineRule="auto"/>
        <w:tabs>
          <w:tab w:leader="none" w:pos="1300" w:val="left"/>
        </w:tabs>
        <w:numPr>
          <w:ilvl w:val="1"/>
          <w:numId w:val="192"/>
        </w:numPr>
        <w:rPr>
          <w:rFonts w:ascii="Arial" w:cs="Arial" w:eastAsia="Arial" w:hAnsi="Arial"/>
          <w:sz w:val="18"/>
          <w:szCs w:val="18"/>
          <w:color w:val="auto"/>
        </w:rPr>
      </w:pPr>
      <w:r>
        <w:rPr>
          <w:rFonts w:ascii="Arial" w:cs="Arial" w:eastAsia="Arial" w:hAnsi="Arial"/>
          <w:sz w:val="18"/>
          <w:szCs w:val="18"/>
          <w:i w:val="1"/>
          <w:iCs w:val="1"/>
          <w:u w:val="single" w:color="auto"/>
          <w:color w:val="auto"/>
        </w:rPr>
        <w:t>Opinions</w:t>
      </w:r>
      <w:r>
        <w:rPr>
          <w:rFonts w:ascii="Arial" w:cs="Arial" w:eastAsia="Arial" w:hAnsi="Arial"/>
          <w:sz w:val="18"/>
          <w:szCs w:val="18"/>
          <w:color w:val="auto"/>
        </w:rPr>
        <w:t>. Company shall deliver to Dealer an opinion of counsel, dated as of the Premium Payment Date, covering customary matters,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customary assumptions, qualifications and exceptions, in each case reasonably acceptable to Dealer. Delivery of such opinion to Dealer shall be a condition precedent for the purpose of Section 2(a)(iii) of the Agreement with respect to each obligation of Dealer under Section 2(a)(i) of the Agreement.</w:t>
      </w:r>
    </w:p>
    <w:p>
      <w:pPr>
        <w:spacing w:after="0" w:line="146" w:lineRule="exact"/>
        <w:rPr>
          <w:rFonts w:ascii="Arial" w:cs="Arial" w:eastAsia="Arial" w:hAnsi="Arial"/>
          <w:sz w:val="18"/>
          <w:szCs w:val="18"/>
          <w:color w:val="auto"/>
        </w:rPr>
      </w:pPr>
    </w:p>
    <w:p>
      <w:pPr>
        <w:jc w:val="both"/>
        <w:ind w:left="1300" w:hanging="644"/>
        <w:spacing w:after="0" w:line="251" w:lineRule="auto"/>
        <w:tabs>
          <w:tab w:leader="none" w:pos="1300" w:val="left"/>
        </w:tabs>
        <w:numPr>
          <w:ilvl w:val="1"/>
          <w:numId w:val="192"/>
        </w:numPr>
        <w:rPr>
          <w:rFonts w:ascii="Arial" w:cs="Arial" w:eastAsia="Arial" w:hAnsi="Arial"/>
          <w:sz w:val="17"/>
          <w:szCs w:val="17"/>
          <w:color w:val="auto"/>
        </w:rPr>
      </w:pPr>
      <w:r>
        <w:rPr>
          <w:rFonts w:ascii="Arial" w:cs="Arial" w:eastAsia="Arial" w:hAnsi="Arial"/>
          <w:sz w:val="17"/>
          <w:szCs w:val="17"/>
          <w:i w:val="1"/>
          <w:iCs w:val="1"/>
          <w:u w:val="single" w:color="auto"/>
          <w:color w:val="auto"/>
        </w:rPr>
        <w:t>Repurchase Notices</w:t>
      </w:r>
      <w:r>
        <w:rPr>
          <w:rFonts w:ascii="Arial" w:cs="Arial" w:eastAsia="Arial" w:hAnsi="Arial"/>
          <w:sz w:val="17"/>
          <w:szCs w:val="17"/>
          <w:color w:val="auto"/>
        </w:rPr>
        <w:t>. Company shall, on any day on which Company effects any repurchase of Shares, promptly give Dealer a written notice</w:t>
      </w:r>
      <w:r>
        <w:rPr>
          <w:rFonts w:ascii="Arial" w:cs="Arial" w:eastAsia="Arial" w:hAnsi="Arial"/>
          <w:sz w:val="17"/>
          <w:szCs w:val="17"/>
          <w:i w:val="1"/>
          <w:iCs w:val="1"/>
          <w:color w:val="auto"/>
        </w:rPr>
        <w:t xml:space="preserve"> </w:t>
      </w:r>
      <w:r>
        <w:rPr>
          <w:rFonts w:ascii="Arial" w:cs="Arial" w:eastAsia="Arial" w:hAnsi="Arial"/>
          <w:sz w:val="17"/>
          <w:szCs w:val="17"/>
          <w:color w:val="auto"/>
        </w:rPr>
        <w:t>of such repurchase (a “</w:t>
      </w:r>
      <w:r>
        <w:rPr>
          <w:rFonts w:ascii="Arial" w:cs="Arial" w:eastAsia="Arial" w:hAnsi="Arial"/>
          <w:sz w:val="17"/>
          <w:szCs w:val="17"/>
          <w:b w:val="1"/>
          <w:bCs w:val="1"/>
          <w:color w:val="auto"/>
        </w:rPr>
        <w:t>Repurchase Notice</w:t>
      </w:r>
      <w:r>
        <w:rPr>
          <w:rFonts w:ascii="Arial" w:cs="Arial" w:eastAsia="Arial" w:hAnsi="Arial"/>
          <w:sz w:val="17"/>
          <w:szCs w:val="17"/>
          <w:color w:val="auto"/>
        </w:rPr>
        <w:t>”) on such day if following such repurchase, the number of outstanding Shares on such day, subject to any adjustments provided herein, is (i) less than [__]</w:t>
      </w:r>
      <w:r>
        <w:rPr>
          <w:rFonts w:ascii="Arial" w:cs="Arial" w:eastAsia="Arial" w:hAnsi="Arial"/>
          <w:sz w:val="24"/>
          <w:szCs w:val="24"/>
          <w:color w:val="auto"/>
          <w:vertAlign w:val="superscript"/>
        </w:rPr>
        <w:t>3</w:t>
      </w:r>
      <w:r>
        <w:rPr>
          <w:rFonts w:ascii="Arial" w:cs="Arial" w:eastAsia="Arial" w:hAnsi="Arial"/>
          <w:sz w:val="17"/>
          <w:szCs w:val="17"/>
          <w:color w:val="auto"/>
        </w:rPr>
        <w:t xml:space="preserve"> million (in the case of the first such notice) or (ii) thereafter more than [__]</w:t>
      </w:r>
      <w:r>
        <w:rPr>
          <w:rFonts w:ascii="Arial" w:cs="Arial" w:eastAsia="Arial" w:hAnsi="Arial"/>
          <w:sz w:val="24"/>
          <w:szCs w:val="24"/>
          <w:color w:val="auto"/>
          <w:vertAlign w:val="superscript"/>
        </w:rPr>
        <w:t>4</w:t>
      </w:r>
      <w:r>
        <w:rPr>
          <w:rFonts w:ascii="Arial" w:cs="Arial" w:eastAsia="Arial" w:hAnsi="Arial"/>
          <w:sz w:val="17"/>
          <w:szCs w:val="17"/>
          <w:color w:val="auto"/>
        </w:rPr>
        <w:t xml:space="preserve"> million less than the number of Shares included in the immediately preceding Repurchase Notice;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Company may provide Dealer with advance notice on or prior to any such day to the extent it expects that repurchases effected on such day may result in an obligation to deliver a Repurchase Notice (which, to the extent that Company actually repurchases the number of Shares specified in such advance notice, advance notice shall be deemed a Repurchase Notice). Company agrees to indemnify and hold harmless Dealer and its affiliates and their respective officers, directors, employees, affiliates, advisors, agents and controlling persons (each, an “</w:t>
      </w:r>
      <w:r>
        <w:rPr>
          <w:rFonts w:ascii="Arial" w:cs="Arial" w:eastAsia="Arial" w:hAnsi="Arial"/>
          <w:sz w:val="17"/>
          <w:szCs w:val="17"/>
          <w:b w:val="1"/>
          <w:bCs w:val="1"/>
          <w:color w:val="auto"/>
        </w:rPr>
        <w:t>Indemnified</w:t>
      </w:r>
      <w:r>
        <w:rPr>
          <w:rFonts w:ascii="Arial" w:cs="Arial" w:eastAsia="Arial" w:hAnsi="Arial"/>
          <w:sz w:val="17"/>
          <w:szCs w:val="17"/>
          <w:color w:val="auto"/>
        </w:rPr>
        <w:t xml:space="preserve"> </w:t>
      </w:r>
      <w:r>
        <w:rPr>
          <w:rFonts w:ascii="Arial" w:cs="Arial" w:eastAsia="Arial" w:hAnsi="Arial"/>
          <w:sz w:val="17"/>
          <w:szCs w:val="17"/>
          <w:b w:val="1"/>
          <w:bCs w:val="1"/>
          <w:color w:val="auto"/>
        </w:rPr>
        <w:t>Person</w:t>
      </w:r>
      <w:r>
        <w:rPr>
          <w:rFonts w:ascii="Arial" w:cs="Arial" w:eastAsia="Arial" w:hAnsi="Arial"/>
          <w:sz w:val="17"/>
          <w:szCs w:val="17"/>
          <w:color w:val="auto"/>
        </w:rPr>
        <w:t>”) from and against any and all reasonable losses (including losses relating to Dealer’s commercially reasonable hedging activities as</w:t>
      </w:r>
      <w:r>
        <w:rPr>
          <w:rFonts w:ascii="Arial" w:cs="Arial" w:eastAsia="Arial" w:hAnsi="Arial"/>
          <w:sz w:val="17"/>
          <w:szCs w:val="17"/>
          <w:b w:val="1"/>
          <w:bCs w:val="1"/>
          <w:color w:val="auto"/>
        </w:rPr>
        <w:t xml:space="preserve"> </w:t>
      </w:r>
      <w:r>
        <w:rPr>
          <w:rFonts w:ascii="Arial" w:cs="Arial" w:eastAsia="Arial" w:hAnsi="Arial"/>
          <w:sz w:val="17"/>
          <w:szCs w:val="17"/>
          <w:color w:val="auto"/>
        </w:rPr>
        <w:t>a consequence of becoming, or of the risk of becoming, a Section 16 “insider”, including without limitation, any forbearance from hedging activities or cessation of hedging activities and any losses in connection therewith with respect to the Transaction), claims, damages, judgments, liabilities and reasonable expenses (including reasonable attorney’s fees), joint or several, which an Indemnified Person actually may become subject to, as a result of Company’s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w:t>
      </w:r>
    </w:p>
    <w:p>
      <w:pPr>
        <w:spacing w:after="0" w:line="59" w:lineRule="exact"/>
        <w:rPr>
          <w:sz w:val="20"/>
          <w:szCs w:val="20"/>
          <w:color w:val="auto"/>
        </w:rPr>
      </w:pPr>
    </w:p>
    <w:p>
      <w:pPr>
        <w:ind w:firstLine="8"/>
        <w:spacing w:after="0" w:line="246" w:lineRule="auto"/>
        <w:tabs>
          <w:tab w:leader="none" w:pos="81" w:val="left"/>
        </w:tabs>
        <w:numPr>
          <w:ilvl w:val="0"/>
          <w:numId w:val="193"/>
        </w:numPr>
        <w:rPr>
          <w:rFonts w:ascii="Arial" w:cs="Arial" w:eastAsia="Arial" w:hAnsi="Arial"/>
          <w:sz w:val="19"/>
          <w:szCs w:val="19"/>
          <w:color w:val="auto"/>
          <w:vertAlign w:val="superscript"/>
        </w:rPr>
      </w:pPr>
      <w:r>
        <w:rPr>
          <w:rFonts w:ascii="Arial" w:cs="Arial" w:eastAsia="Arial" w:hAnsi="Arial"/>
          <w:sz w:val="15"/>
          <w:szCs w:val="15"/>
          <w:color w:val="auto"/>
        </w:rPr>
        <w:t>Insert the number of Shares outstanding that would cause Dealer’s current position in the Warrants (including the number of Warrants if the greenshoe is exercised in full, and any warrants under pre-existing warrant transactions with Company) to increase by 0.5%.</w:t>
      </w:r>
    </w:p>
    <w:p>
      <w:pPr>
        <w:spacing w:after="0" w:line="31" w:lineRule="exact"/>
        <w:rPr>
          <w:sz w:val="20"/>
          <w:szCs w:val="20"/>
          <w:color w:val="auto"/>
        </w:rPr>
      </w:pPr>
    </w:p>
    <w:p>
      <w:pPr>
        <w:ind w:right="20" w:firstLine="8"/>
        <w:spacing w:after="0" w:line="246" w:lineRule="auto"/>
        <w:tabs>
          <w:tab w:leader="none" w:pos="81" w:val="left"/>
        </w:tabs>
        <w:numPr>
          <w:ilvl w:val="0"/>
          <w:numId w:val="194"/>
        </w:numPr>
        <w:rPr>
          <w:rFonts w:ascii="Arial" w:cs="Arial" w:eastAsia="Arial" w:hAnsi="Arial"/>
          <w:sz w:val="19"/>
          <w:szCs w:val="19"/>
          <w:color w:val="auto"/>
          <w:vertAlign w:val="superscript"/>
        </w:rPr>
      </w:pPr>
      <w:r>
        <w:rPr>
          <w:rFonts w:ascii="Arial" w:cs="Arial" w:eastAsia="Arial" w:hAnsi="Arial"/>
          <w:sz w:val="15"/>
          <w:szCs w:val="15"/>
          <w:color w:val="auto"/>
        </w:rPr>
        <w:t>Insert the number of Shares that, if repurchased, would cause Dealer’s current position in the Warrants (including the number of Warrants if the greenshoe is exercised in full, and any warrants under pre-existing warrant transactions with Company) to increase by a further 0.5% from the threshold for the first Repurchase Notice.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976" w:right="239" w:bottom="1440" w:gutter="0" w:footer="0" w:header="0"/>
        </w:sectPr>
      </w:pPr>
    </w:p>
    <w:bookmarkStart w:id="223" w:name="page224"/>
    <w:bookmarkEnd w:id="223"/>
    <w:p>
      <w:pPr>
        <w:jc w:val="both"/>
        <w:ind w:left="644"/>
        <w:spacing w:after="0" w:line="284" w:lineRule="auto"/>
        <w:rPr>
          <w:sz w:val="20"/>
          <w:szCs w:val="20"/>
          <w:color w:val="auto"/>
        </w:rPr>
      </w:pPr>
      <w:r>
        <w:rPr>
          <w:rFonts w:ascii="Arial" w:cs="Arial" w:eastAsia="Arial" w:hAnsi="Arial"/>
          <w:sz w:val="16"/>
          <w:szCs w:val="16"/>
          <w:color w:val="auto"/>
        </w:rPr>
        <w:t>failure to provide Dealer with a Repurchase Notice on the day and in the manner specified in this paragraph, and to reimburse, within 30 days, upon written request, each of such Indemnified Persons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such Indemnified Person shall promptly notify Company in writing, and Company, upon request of the Indemnified Person, shall retain counsel reasonably satisfactory to the Indemnified Person to represent the Indemnified Person and any others Company may designate in such proceeding and shall pay the reasonable fees and expenses of such counsel related to such proceeding. Company shall be relieved from liability to the extent that any Indemnified Party fails promptly to notify Company of any action commenced against it in respect of which indemnity may be sought hereunder to the extent Company is materially prejudiced as a result thereof. Company shall not be liable for any settlement of any proceeding effected without its written consent, but if settled with such consent or if there be a final judgment for the plaintiff, Company agrees to indemnify any Indemnified Person from and against any loss or liability by reason of such settlement or judgment. Company shall not, without the prior written consent of the Indemnified Person, effect any settlement of any pending or threatened proceeding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Company under such paragraph, in lieu of indemnifying such Indemnified Person thereunder, shall contribute to the amount paid or payable by such Indemnified Person as a result of such losses, claims, damages or liabilities. The remedies provided for in this paragraph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141" w:lineRule="exact"/>
        <w:rPr>
          <w:sz w:val="20"/>
          <w:szCs w:val="20"/>
          <w:color w:val="auto"/>
        </w:rPr>
      </w:pPr>
    </w:p>
    <w:p>
      <w:pPr>
        <w:jc w:val="both"/>
        <w:ind w:left="644" w:hanging="644"/>
        <w:spacing w:after="0" w:line="259" w:lineRule="auto"/>
        <w:tabs>
          <w:tab w:leader="none" w:pos="644" w:val="left"/>
        </w:tabs>
        <w:numPr>
          <w:ilvl w:val="0"/>
          <w:numId w:val="195"/>
        </w:numPr>
        <w:rPr>
          <w:rFonts w:ascii="Arial" w:cs="Arial" w:eastAsia="Arial" w:hAnsi="Arial"/>
          <w:sz w:val="18"/>
          <w:szCs w:val="18"/>
          <w:color w:val="auto"/>
        </w:rPr>
      </w:pPr>
      <w:r>
        <w:rPr>
          <w:rFonts w:ascii="Arial" w:cs="Arial" w:eastAsia="Arial" w:hAnsi="Arial"/>
          <w:sz w:val="18"/>
          <w:szCs w:val="18"/>
          <w:i w:val="1"/>
          <w:iCs w:val="1"/>
          <w:u w:val="single" w:color="auto"/>
          <w:color w:val="auto"/>
        </w:rPr>
        <w:t>Regulation M</w:t>
      </w:r>
      <w:r>
        <w:rPr>
          <w:rFonts w:ascii="Arial" w:cs="Arial" w:eastAsia="Arial" w:hAnsi="Arial"/>
          <w:sz w:val="18"/>
          <w:szCs w:val="18"/>
          <w:color w:val="auto"/>
        </w:rPr>
        <w:t>. Company is not on the Trade Date engaged in a distribution, as such term is used in Regulation M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of any securities of Company, other than a distribution meeting the requirements of the exception set forth in Rules 101(b)(10) and 102(b)(7) of Regulation M. Company shall not, until the second Scheduled Trading Day immediately following the Effective Date, engage in any such distribution.</w:t>
      </w:r>
    </w:p>
    <w:p>
      <w:pPr>
        <w:spacing w:after="0" w:line="146" w:lineRule="exact"/>
        <w:rPr>
          <w:rFonts w:ascii="Arial" w:cs="Arial" w:eastAsia="Arial" w:hAnsi="Arial"/>
          <w:sz w:val="18"/>
          <w:szCs w:val="18"/>
          <w:color w:val="auto"/>
        </w:rPr>
      </w:pPr>
    </w:p>
    <w:p>
      <w:pPr>
        <w:jc w:val="both"/>
        <w:ind w:left="644" w:right="20" w:hanging="644"/>
        <w:spacing w:after="0" w:line="264" w:lineRule="auto"/>
        <w:tabs>
          <w:tab w:leader="none" w:pos="644" w:val="left"/>
        </w:tabs>
        <w:numPr>
          <w:ilvl w:val="0"/>
          <w:numId w:val="195"/>
        </w:numPr>
        <w:rPr>
          <w:rFonts w:ascii="Arial" w:cs="Arial" w:eastAsia="Arial" w:hAnsi="Arial"/>
          <w:sz w:val="18"/>
          <w:szCs w:val="18"/>
          <w:color w:val="auto"/>
        </w:rPr>
      </w:pPr>
      <w:r>
        <w:rPr>
          <w:rFonts w:ascii="Arial" w:cs="Arial" w:eastAsia="Arial" w:hAnsi="Arial"/>
          <w:sz w:val="18"/>
          <w:szCs w:val="18"/>
          <w:i w:val="1"/>
          <w:iCs w:val="1"/>
          <w:u w:val="single" w:color="auto"/>
          <w:color w:val="auto"/>
        </w:rPr>
        <w:t>No Manipulation</w:t>
      </w:r>
      <w:r>
        <w:rPr>
          <w:rFonts w:ascii="Arial" w:cs="Arial" w:eastAsia="Arial" w:hAnsi="Arial"/>
          <w:sz w:val="18"/>
          <w:szCs w:val="18"/>
          <w:color w:val="auto"/>
        </w:rPr>
        <w:t>. Company is not entering into the Transaction to create actual or apparent trading activity in the Shares (or any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into or exchangeable for the Shares) or to raise or depress or otherwise manipulate the price of the Shares (or any security convertible into or exchangeable for the Shares) or otherwise in violation of the Exchange Act.</w:t>
      </w:r>
    </w:p>
    <w:p>
      <w:pPr>
        <w:spacing w:after="0" w:line="140" w:lineRule="exact"/>
        <w:rPr>
          <w:rFonts w:ascii="Arial" w:cs="Arial" w:eastAsia="Arial" w:hAnsi="Arial"/>
          <w:sz w:val="18"/>
          <w:szCs w:val="18"/>
          <w:color w:val="auto"/>
        </w:rPr>
      </w:pPr>
    </w:p>
    <w:p>
      <w:pPr>
        <w:jc w:val="both"/>
        <w:ind w:left="644" w:hanging="644"/>
        <w:spacing w:after="0" w:line="287" w:lineRule="auto"/>
        <w:tabs>
          <w:tab w:leader="none" w:pos="644" w:val="left"/>
        </w:tabs>
        <w:numPr>
          <w:ilvl w:val="0"/>
          <w:numId w:val="195"/>
        </w:numPr>
        <w:rPr>
          <w:rFonts w:ascii="Arial" w:cs="Arial" w:eastAsia="Arial" w:hAnsi="Arial"/>
          <w:sz w:val="16"/>
          <w:szCs w:val="16"/>
          <w:color w:val="auto"/>
        </w:rPr>
      </w:pPr>
      <w:r>
        <w:rPr>
          <w:rFonts w:ascii="Arial" w:cs="Arial" w:eastAsia="Arial" w:hAnsi="Arial"/>
          <w:sz w:val="16"/>
          <w:szCs w:val="16"/>
          <w:i w:val="1"/>
          <w:iCs w:val="1"/>
          <w:u w:val="single" w:color="auto"/>
          <w:color w:val="auto"/>
        </w:rPr>
        <w:t>Transfer or Assignment</w:t>
      </w:r>
      <w:r>
        <w:rPr>
          <w:rFonts w:ascii="Arial" w:cs="Arial" w:eastAsia="Arial" w:hAnsi="Arial"/>
          <w:sz w:val="16"/>
          <w:szCs w:val="16"/>
          <w:color w:val="auto"/>
        </w:rPr>
        <w:t>. Company may not transfer any of its rights or obligations under the Transaction without the prior written consent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Dealer. Dealer shall promptly notify Company of any transfer or assignment made hereunder. Dealer may, without Company’s consent, transfer or assign all or any part of its rights or obligations under the Transaction to any third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after a transfer and/or assignment, Company shall not be required to pay the transferee or assignee of such rights or obligations on any payment date an amount under Section 2(d)(i)(4) of the Agreement greater than the amount, if any, that Company would have been required to pay Dealer in the absence of such transfer and/or assignment, except to the extent such greater amount results from a Change in Tax Law occurring after the date of such transfer and/or assignment. If at any time at which (A) the Section 16 Percentage exceeds 8.5%, (B) the Warrant Equity Percentage exceeds 14.5%, or (C) the Share Amount exceeds the Applicable Share Limit (if any applies) (any such condition described in clauses (A), (B) or (C), an “</w:t>
      </w:r>
      <w:r>
        <w:rPr>
          <w:rFonts w:ascii="Arial" w:cs="Arial" w:eastAsia="Arial" w:hAnsi="Arial"/>
          <w:sz w:val="16"/>
          <w:szCs w:val="16"/>
          <w:b w:val="1"/>
          <w:bCs w:val="1"/>
          <w:color w:val="auto"/>
        </w:rPr>
        <w:t>Excess Ownership Position</w:t>
      </w:r>
      <w:r>
        <w:rPr>
          <w:rFonts w:ascii="Arial" w:cs="Arial" w:eastAsia="Arial" w:hAnsi="Arial"/>
          <w:sz w:val="16"/>
          <w:szCs w:val="16"/>
          <w:color w:val="auto"/>
        </w:rPr>
        <w:t>”), Dealer is unable after using its commercially reasonable efforts to effect a transfer or assignment of Warrants to a third party on pricing terms reasonably acceptable to Dealer and within a time period reasonably acceptable to Dealer such that no Excess Ownership Position exists, then Dealer may designate any Exchange</w:t>
      </w:r>
    </w:p>
    <w:p>
      <w:pPr>
        <w:spacing w:after="0" w:line="200" w:lineRule="exact"/>
        <w:rPr>
          <w:sz w:val="20"/>
          <w:szCs w:val="20"/>
          <w:color w:val="auto"/>
        </w:rPr>
      </w:pPr>
    </w:p>
    <w:p>
      <w:pPr>
        <w:spacing w:after="0" w:line="348" w:lineRule="exact"/>
        <w:rPr>
          <w:sz w:val="20"/>
          <w:szCs w:val="20"/>
          <w:color w:val="auto"/>
        </w:rPr>
      </w:pPr>
    </w:p>
    <w:p>
      <w:pPr>
        <w:ind w:left="4964"/>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764"/>
          </w:cols>
          <w:pgMar w:left="896" w:top="976" w:right="239" w:bottom="1440" w:gutter="0" w:footer="0" w:header="0"/>
        </w:sectPr>
      </w:pPr>
    </w:p>
    <w:bookmarkStart w:id="224" w:name="page225"/>
    <w:bookmarkEnd w:id="224"/>
    <w:p>
      <w:pPr>
        <w:jc w:val="both"/>
        <w:ind w:left="644"/>
        <w:spacing w:after="0" w:line="284" w:lineRule="auto"/>
        <w:rPr>
          <w:sz w:val="20"/>
          <w:szCs w:val="20"/>
          <w:color w:val="auto"/>
        </w:rPr>
      </w:pPr>
      <w:r>
        <w:rPr>
          <w:rFonts w:ascii="Arial" w:cs="Arial" w:eastAsia="Arial" w:hAnsi="Arial"/>
          <w:sz w:val="16"/>
          <w:szCs w:val="16"/>
          <w:color w:val="auto"/>
        </w:rPr>
        <w:t>Business Day as an Early Termination Date with respect to a portion of the Transaction (the “</w:t>
      </w:r>
      <w:r>
        <w:rPr>
          <w:rFonts w:ascii="Arial" w:cs="Arial" w:eastAsia="Arial" w:hAnsi="Arial"/>
          <w:sz w:val="16"/>
          <w:szCs w:val="16"/>
          <w:b w:val="1"/>
          <w:bCs w:val="1"/>
          <w:color w:val="auto"/>
        </w:rPr>
        <w:t>Terminated Portion</w:t>
      </w:r>
      <w:r>
        <w:rPr>
          <w:rFonts w:ascii="Arial" w:cs="Arial" w:eastAsia="Arial" w:hAnsi="Arial"/>
          <w:sz w:val="16"/>
          <w:szCs w:val="16"/>
          <w:color w:val="auto"/>
        </w:rPr>
        <w:t>”), such that following such partial termination no Excess Ownership Position exists. In the event that Dealer so designates an Early Termination Date with respect to a Terminated Portion, a payment shall be made pursuant to Section 6 of the Agreement as if (1) an Early Termination Date had been designated in respect of a Transaction having terms identical to the Transaction and a Number of Warrants equal to the number of Warrants underlying the Terminated Portion, (2) Company were the sole Affected Party with respect to such partial termination and (3) the Terminated Portion were the sole Affected Transaction (and, for the avoidance of doubt, the provisions of Section 9(j) shall apply to any amount that is payable by Company to Dealer pursuant to this sentence as if Company was not the Affected Party). The “</w:t>
      </w:r>
      <w:r>
        <w:rPr>
          <w:rFonts w:ascii="Arial" w:cs="Arial" w:eastAsia="Arial" w:hAnsi="Arial"/>
          <w:sz w:val="16"/>
          <w:szCs w:val="16"/>
          <w:b w:val="1"/>
          <w:bCs w:val="1"/>
          <w:color w:val="auto"/>
        </w:rPr>
        <w:t>Section 16</w:t>
      </w:r>
      <w:r>
        <w:rPr>
          <w:rFonts w:ascii="Arial" w:cs="Arial" w:eastAsia="Arial" w:hAnsi="Arial"/>
          <w:sz w:val="16"/>
          <w:szCs w:val="16"/>
          <w:color w:val="auto"/>
        </w:rPr>
        <w:t xml:space="preserve"> </w:t>
      </w:r>
      <w:r>
        <w:rPr>
          <w:rFonts w:ascii="Arial" w:cs="Arial" w:eastAsia="Arial" w:hAnsi="Arial"/>
          <w:sz w:val="16"/>
          <w:szCs w:val="16"/>
          <w:b w:val="1"/>
          <w:bCs w:val="1"/>
          <w:color w:val="auto"/>
        </w:rPr>
        <w:t>Percentage</w:t>
      </w:r>
      <w:r>
        <w:rPr>
          <w:rFonts w:ascii="Arial" w:cs="Arial" w:eastAsia="Arial" w:hAnsi="Arial"/>
          <w:sz w:val="16"/>
          <w:szCs w:val="16"/>
          <w:color w:val="auto"/>
        </w:rPr>
        <w:t>” as of any day is the fraction, expressed as a percentage, (A) the numerator of which is the number of Shares that Dealer and</w:t>
      </w:r>
      <w:r>
        <w:rPr>
          <w:rFonts w:ascii="Arial" w:cs="Arial" w:eastAsia="Arial" w:hAnsi="Arial"/>
          <w:sz w:val="16"/>
          <w:szCs w:val="16"/>
          <w:b w:val="1"/>
          <w:bCs w:val="1"/>
          <w:color w:val="auto"/>
        </w:rPr>
        <w:t xml:space="preserve"> </w:t>
      </w:r>
      <w:r>
        <w:rPr>
          <w:rFonts w:ascii="Arial" w:cs="Arial" w:eastAsia="Arial" w:hAnsi="Arial"/>
          <w:sz w:val="16"/>
          <w:szCs w:val="16"/>
          <w:color w:val="auto"/>
        </w:rPr>
        <w:t>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The “</w:t>
      </w:r>
      <w:r>
        <w:rPr>
          <w:rFonts w:ascii="Arial" w:cs="Arial" w:eastAsia="Arial" w:hAnsi="Arial"/>
          <w:sz w:val="16"/>
          <w:szCs w:val="16"/>
          <w:b w:val="1"/>
          <w:bCs w:val="1"/>
          <w:color w:val="auto"/>
        </w:rPr>
        <w:t>Warrant Equity</w:t>
      </w:r>
      <w:r>
        <w:rPr>
          <w:rFonts w:ascii="Arial" w:cs="Arial" w:eastAsia="Arial" w:hAnsi="Arial"/>
          <w:sz w:val="16"/>
          <w:szCs w:val="16"/>
          <w:color w:val="auto"/>
        </w:rPr>
        <w:t xml:space="preserve"> </w:t>
      </w:r>
      <w:r>
        <w:rPr>
          <w:rFonts w:ascii="Arial" w:cs="Arial" w:eastAsia="Arial" w:hAnsi="Arial"/>
          <w:sz w:val="16"/>
          <w:szCs w:val="16"/>
          <w:b w:val="1"/>
          <w:bCs w:val="1"/>
          <w:color w:val="auto"/>
        </w:rPr>
        <w:t>Percentage</w:t>
      </w:r>
      <w:r>
        <w:rPr>
          <w:rFonts w:ascii="Arial" w:cs="Arial" w:eastAsia="Arial" w:hAnsi="Arial"/>
          <w:sz w:val="16"/>
          <w:szCs w:val="16"/>
          <w:color w:val="auto"/>
        </w:rPr>
        <w:t>” as of any day is the fraction, expressed as a percentage, (A) the numerator of which is the sum of (1) the product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Warrants and the Warrant Entitlement and (2) the aggregate number of Shares underlying any other warrants purchased by Dealer from Company, and (B) the denominator of which is the number of Shares outstanding. The “</w:t>
      </w:r>
      <w:r>
        <w:rPr>
          <w:rFonts w:ascii="Arial" w:cs="Arial" w:eastAsia="Arial" w:hAnsi="Arial"/>
          <w:sz w:val="16"/>
          <w:szCs w:val="16"/>
          <w:b w:val="1"/>
          <w:bCs w:val="1"/>
          <w:color w:val="auto"/>
        </w:rPr>
        <w:t>Share Amount</w:t>
      </w:r>
      <w:r>
        <w:rPr>
          <w:rFonts w:ascii="Arial" w:cs="Arial" w:eastAsia="Arial" w:hAnsi="Arial"/>
          <w:sz w:val="16"/>
          <w:szCs w:val="16"/>
          <w:color w:val="auto"/>
        </w:rPr>
        <w:t>” as of any day is the number of Shares that Dealer and any person whose ownership position would be aggregated with that of Dealer (Dealer or any such person, a “</w:t>
      </w:r>
      <w:r>
        <w:rPr>
          <w:rFonts w:ascii="Arial" w:cs="Arial" w:eastAsia="Arial" w:hAnsi="Arial"/>
          <w:sz w:val="16"/>
          <w:szCs w:val="16"/>
          <w:b w:val="1"/>
          <w:bCs w:val="1"/>
          <w:color w:val="auto"/>
        </w:rPr>
        <w:t>Dealer Person</w:t>
      </w:r>
      <w:r>
        <w:rPr>
          <w:rFonts w:ascii="Arial" w:cs="Arial" w:eastAsia="Arial" w:hAnsi="Arial"/>
          <w:sz w:val="16"/>
          <w:szCs w:val="16"/>
          <w:color w:val="auto"/>
        </w:rPr>
        <w:t>”) under any law, rule, regulation, regulatory order or organizational documents or contracts of Company that are, in each case, applicable to ownership of Shares (“</w:t>
      </w:r>
      <w:r>
        <w:rPr>
          <w:rFonts w:ascii="Arial" w:cs="Arial" w:eastAsia="Arial" w:hAnsi="Arial"/>
          <w:sz w:val="16"/>
          <w:szCs w:val="16"/>
          <w:b w:val="1"/>
          <w:bCs w:val="1"/>
          <w:color w:val="auto"/>
        </w:rPr>
        <w:t>Applicable Restrictions</w:t>
      </w:r>
      <w:r>
        <w:rPr>
          <w:rFonts w:ascii="Arial" w:cs="Arial" w:eastAsia="Arial" w:hAnsi="Arial"/>
          <w:sz w:val="16"/>
          <w:szCs w:val="16"/>
          <w:color w:val="auto"/>
        </w:rPr>
        <w:t>”), owns, beneficially owns, constructively owns, controls, holds the power to vote or otherwise meets a relevant definition of ownership under any Applicable Restriction, as determined by Dealer in its reasonable discretion. The “</w:t>
      </w:r>
      <w:r>
        <w:rPr>
          <w:rFonts w:ascii="Arial" w:cs="Arial" w:eastAsia="Arial" w:hAnsi="Arial"/>
          <w:sz w:val="16"/>
          <w:szCs w:val="16"/>
          <w:b w:val="1"/>
          <w:bCs w:val="1"/>
          <w:color w:val="auto"/>
        </w:rPr>
        <w:t>Applicable Share Limit</w:t>
      </w:r>
      <w:r>
        <w:rPr>
          <w:rFonts w:ascii="Arial" w:cs="Arial" w:eastAsia="Arial" w:hAnsi="Arial"/>
          <w:sz w:val="16"/>
          <w:szCs w:val="16"/>
          <w:color w:val="auto"/>
        </w:rPr>
        <w:t xml:space="preserve">” means a number of Shares equal to (A) the minimum number of Shares that could give rise to reporting or registration obligations or other requirements (including obtaining prior approval from any person or entity) of a Dealer Person, or could result in an adverse effect on a Dealer Person, under any Applicable Restriction, as determined by Dealer in its reasonable discretion,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1% of the number of Shares outstanding. Notwithstanding any other provision in this Confirmation to the contrary requiring or allowing Dealer to purchase, sell, receive or deliver any Shares or other securities, or make or receive any payment in cash, to or from Company, Dealer may designate any of its affiliates to purchase, sell, receive or deliver such Shares or other securities, or make or receive such payment in cash, and otherwise to perform Dealer’s obligations in respect of the Transaction and any such designee may assume such obligations. Dealer shall be discharged of its obligations to Company to the extent of any such performance.</w:t>
      </w:r>
    </w:p>
    <w:p>
      <w:pPr>
        <w:spacing w:after="0" w:line="134" w:lineRule="exact"/>
        <w:rPr>
          <w:sz w:val="20"/>
          <w:szCs w:val="20"/>
          <w:color w:val="auto"/>
        </w:rPr>
      </w:pPr>
    </w:p>
    <w:p>
      <w:pPr>
        <w:jc w:val="both"/>
        <w:ind w:left="644" w:hanging="644"/>
        <w:spacing w:after="0" w:line="290" w:lineRule="auto"/>
        <w:tabs>
          <w:tab w:leader="none" w:pos="644" w:val="left"/>
        </w:tabs>
        <w:numPr>
          <w:ilvl w:val="0"/>
          <w:numId w:val="196"/>
        </w:numPr>
        <w:rPr>
          <w:rFonts w:ascii="Arial" w:cs="Arial" w:eastAsia="Arial" w:hAnsi="Arial"/>
          <w:sz w:val="16"/>
          <w:szCs w:val="16"/>
          <w:color w:val="auto"/>
        </w:rPr>
      </w:pPr>
      <w:r>
        <w:rPr>
          <w:rFonts w:ascii="Arial" w:cs="Arial" w:eastAsia="Arial" w:hAnsi="Arial"/>
          <w:sz w:val="16"/>
          <w:szCs w:val="16"/>
          <w:i w:val="1"/>
          <w:iCs w:val="1"/>
          <w:u w:val="single" w:color="auto"/>
          <w:color w:val="auto"/>
        </w:rPr>
        <w:t>Dividends</w:t>
      </w:r>
      <w:r>
        <w:rPr>
          <w:rFonts w:ascii="Arial" w:cs="Arial" w:eastAsia="Arial" w:hAnsi="Arial"/>
          <w:sz w:val="16"/>
          <w:szCs w:val="16"/>
          <w:color w:val="auto"/>
        </w:rPr>
        <w:t>. If at any time during the period from and including the Effective Date, to and including the last Expiration Date, (i) an ex-dividend date for a cash dividend occurs with respect to the Shares (an “</w:t>
      </w:r>
      <w:r>
        <w:rPr>
          <w:rFonts w:ascii="Arial" w:cs="Arial" w:eastAsia="Arial" w:hAnsi="Arial"/>
          <w:sz w:val="16"/>
          <w:szCs w:val="16"/>
          <w:b w:val="1"/>
          <w:bCs w:val="1"/>
          <w:color w:val="auto"/>
        </w:rPr>
        <w:t>Ex-Dividend Date</w:t>
      </w:r>
      <w:r>
        <w:rPr>
          <w:rFonts w:ascii="Arial" w:cs="Arial" w:eastAsia="Arial" w:hAnsi="Arial"/>
          <w:sz w:val="16"/>
          <w:szCs w:val="16"/>
          <w:color w:val="auto"/>
        </w:rPr>
        <w:t>”), and that dividend differs from the Regular Dividend on a per Share basis or (ii) if no Ex-Dividend Date for a cash dividend occurs with respect to the Shares in any quarterly dividend period of Company, then the Calculation Agent will adjust any of the Strike Price, Number of Warrants, Daily Number of Warrants and/or any other variable relevant to the exercise, settlement or payment of the Transaction to preserve the fair value of the Warrants after taking into account such dividend or lack thereof. “</w:t>
      </w:r>
      <w:r>
        <w:rPr>
          <w:rFonts w:ascii="Arial" w:cs="Arial" w:eastAsia="Arial" w:hAnsi="Arial"/>
          <w:sz w:val="16"/>
          <w:szCs w:val="16"/>
          <w:b w:val="1"/>
          <w:bCs w:val="1"/>
          <w:color w:val="auto"/>
        </w:rPr>
        <w:t>Regular Dividend</w:t>
      </w:r>
      <w:r>
        <w:rPr>
          <w:rFonts w:ascii="Arial" w:cs="Arial" w:eastAsia="Arial" w:hAnsi="Arial"/>
          <w:sz w:val="16"/>
          <w:szCs w:val="16"/>
          <w:color w:val="auto"/>
        </w:rPr>
        <w:t>” shall mean for any calendar quarter, USD 0.35 for the first regular cash dividend or distribution on the Shares for which the Ex-Dividend Date falls within such calendar quarter, and zero for any other dividend or distribution on the Shares for which the Ex-Dividend Date falls within the same calendar quarter.</w:t>
      </w:r>
    </w:p>
    <w:p>
      <w:pPr>
        <w:spacing w:after="0" w:line="125" w:lineRule="exact"/>
        <w:rPr>
          <w:rFonts w:ascii="Arial" w:cs="Arial" w:eastAsia="Arial" w:hAnsi="Arial"/>
          <w:sz w:val="16"/>
          <w:szCs w:val="16"/>
          <w:color w:val="auto"/>
        </w:rPr>
      </w:pPr>
    </w:p>
    <w:p>
      <w:pPr>
        <w:ind w:left="644" w:hanging="644"/>
        <w:spacing w:after="0"/>
        <w:tabs>
          <w:tab w:leader="none" w:pos="64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Insert agent language, if necessary</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644" w:hanging="644"/>
        <w:spacing w:after="0"/>
        <w:tabs>
          <w:tab w:leader="none" w:pos="644" w:val="left"/>
        </w:tabs>
        <w:numPr>
          <w:ilvl w:val="0"/>
          <w:numId w:val="196"/>
        </w:numPr>
        <w:rPr>
          <w:rFonts w:ascii="Arial" w:cs="Arial" w:eastAsia="Arial" w:hAnsi="Arial"/>
          <w:sz w:val="18"/>
          <w:szCs w:val="18"/>
          <w:color w:val="auto"/>
        </w:rPr>
      </w:pPr>
      <w:r>
        <w:rPr>
          <w:rFonts w:ascii="Arial" w:cs="Arial" w:eastAsia="Arial" w:hAnsi="Arial"/>
          <w:sz w:val="18"/>
          <w:szCs w:val="18"/>
          <w:i w:val="1"/>
          <w:iCs w:val="1"/>
          <w:u w:val="single" w:color="auto"/>
          <w:color w:val="auto"/>
        </w:rPr>
        <w:t>Additional Provisions</w:t>
      </w:r>
      <w:r>
        <w:rPr>
          <w:rFonts w:ascii="Arial" w:cs="Arial" w:eastAsia="Arial" w:hAnsi="Arial"/>
          <w:sz w:val="18"/>
          <w:szCs w:val="18"/>
          <w:color w:val="auto"/>
        </w:rPr>
        <w:t>.</w:t>
      </w:r>
    </w:p>
    <w:p>
      <w:pPr>
        <w:spacing w:after="0" w:line="200" w:lineRule="exact"/>
        <w:rPr>
          <w:sz w:val="20"/>
          <w:szCs w:val="20"/>
          <w:color w:val="auto"/>
        </w:rPr>
      </w:pPr>
    </w:p>
    <w:p>
      <w:pPr>
        <w:spacing w:after="0" w:line="400" w:lineRule="exact"/>
        <w:rPr>
          <w:sz w:val="20"/>
          <w:szCs w:val="20"/>
          <w:color w:val="auto"/>
        </w:rPr>
      </w:pPr>
    </w:p>
    <w:p>
      <w:pPr>
        <w:ind w:left="4964"/>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764"/>
          </w:cols>
          <w:pgMar w:left="896" w:top="972" w:right="239" w:bottom="1440" w:gutter="0" w:footer="0" w:header="0"/>
        </w:sectPr>
      </w:pPr>
    </w:p>
    <w:bookmarkStart w:id="225" w:name="page226"/>
    <w:bookmarkEnd w:id="225"/>
    <w:p>
      <w:pPr>
        <w:ind w:left="760" w:hanging="655"/>
        <w:spacing w:after="0"/>
        <w:tabs>
          <w:tab w:leader="none" w:pos="7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Amendments to the Equity Definitions:</w:t>
      </w:r>
    </w:p>
    <w:p>
      <w:pPr>
        <w:spacing w:after="0" w:line="184" w:lineRule="exact"/>
        <w:rPr>
          <w:rFonts w:ascii="Arial" w:cs="Arial" w:eastAsia="Arial" w:hAnsi="Arial"/>
          <w:sz w:val="18"/>
          <w:szCs w:val="18"/>
          <w:color w:val="auto"/>
        </w:rPr>
      </w:pPr>
    </w:p>
    <w:p>
      <w:pPr>
        <w:ind w:left="1400" w:hanging="647"/>
        <w:spacing w:after="0" w:line="308" w:lineRule="auto"/>
        <w:tabs>
          <w:tab w:leader="none" w:pos="1400" w:val="left"/>
        </w:tabs>
        <w:numPr>
          <w:ilvl w:val="1"/>
          <w:numId w:val="197"/>
        </w:numPr>
        <w:rPr>
          <w:rFonts w:ascii="Arial" w:cs="Arial" w:eastAsia="Arial" w:hAnsi="Arial"/>
          <w:sz w:val="17"/>
          <w:szCs w:val="17"/>
          <w:color w:val="auto"/>
        </w:rPr>
      </w:pPr>
      <w:r>
        <w:rPr>
          <w:rFonts w:ascii="Arial" w:cs="Arial" w:eastAsia="Arial" w:hAnsi="Arial"/>
          <w:sz w:val="17"/>
          <w:szCs w:val="17"/>
          <w:color w:val="auto"/>
        </w:rPr>
        <w:t>Section 11.2(a) of the Equity Definitions is hereby amended by deleting the words “a diluting or concentrative” and replacing them with the words “a material”; and adding the phrase “or Warrants” at the end of the sentence.</w:t>
      </w:r>
    </w:p>
    <w:p>
      <w:pPr>
        <w:spacing w:after="0" w:line="106" w:lineRule="exact"/>
        <w:rPr>
          <w:rFonts w:ascii="Arial" w:cs="Arial" w:eastAsia="Arial" w:hAnsi="Arial"/>
          <w:sz w:val="17"/>
          <w:szCs w:val="17"/>
          <w:color w:val="auto"/>
        </w:rPr>
      </w:pPr>
    </w:p>
    <w:p>
      <w:pPr>
        <w:jc w:val="both"/>
        <w:ind w:left="1400" w:hanging="647"/>
        <w:spacing w:after="0" w:line="255" w:lineRule="auto"/>
        <w:tabs>
          <w:tab w:leader="none" w:pos="14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Section 11.2(c) of the Equity Definitions is hereby amended by (w) replacing the words “a diluting or concentrative” with “an” in the fifth line thereof, (x) adding the phrase “or Warrants” after the words “the relevant Shares” in the same sentence, (y) deleting the words “diluting or concentrative” in the sixth to last line thereof and (z) deleting the phrase “(provided that no adjustments will be made to account solely for changes in volatility, expected dividends, stock loan rate or liquidity relative to the relevant Shares)” and replacing it with the phrase “(and, for the avoidance of doubt, adjustments may be made to account solely for changes in volatility, expected dividends, stock loan rate or liquidity relative to the relevant Shares).”</w:t>
      </w:r>
    </w:p>
    <w:p>
      <w:pPr>
        <w:spacing w:after="0" w:line="148" w:lineRule="exact"/>
        <w:rPr>
          <w:rFonts w:ascii="Arial" w:cs="Arial" w:eastAsia="Arial" w:hAnsi="Arial"/>
          <w:sz w:val="18"/>
          <w:szCs w:val="18"/>
          <w:color w:val="auto"/>
        </w:rPr>
      </w:pPr>
    </w:p>
    <w:p>
      <w:pPr>
        <w:ind w:left="1400" w:hanging="647"/>
        <w:spacing w:after="0" w:line="308" w:lineRule="auto"/>
        <w:tabs>
          <w:tab w:leader="none" w:pos="1400" w:val="left"/>
        </w:tabs>
        <w:numPr>
          <w:ilvl w:val="1"/>
          <w:numId w:val="197"/>
        </w:numPr>
        <w:rPr>
          <w:rFonts w:ascii="Arial" w:cs="Arial" w:eastAsia="Arial" w:hAnsi="Arial"/>
          <w:sz w:val="17"/>
          <w:szCs w:val="17"/>
          <w:color w:val="auto"/>
        </w:rPr>
      </w:pPr>
      <w:r>
        <w:rPr>
          <w:rFonts w:ascii="Arial" w:cs="Arial" w:eastAsia="Arial" w:hAnsi="Arial"/>
          <w:sz w:val="17"/>
          <w:szCs w:val="17"/>
          <w:color w:val="auto"/>
        </w:rPr>
        <w:t>Section 11.2(e)(vii) of the Equity Definitions is hereby amended by deleting the words “a diluting or concentrative” and replacing them with the word “a material”; and adding the phrase “or Warrants” at the end of the sentence.</w:t>
      </w:r>
    </w:p>
    <w:p>
      <w:pPr>
        <w:spacing w:after="0" w:line="106" w:lineRule="exact"/>
        <w:rPr>
          <w:rFonts w:ascii="Arial" w:cs="Arial" w:eastAsia="Arial" w:hAnsi="Arial"/>
          <w:sz w:val="17"/>
          <w:szCs w:val="17"/>
          <w:color w:val="auto"/>
        </w:rPr>
      </w:pPr>
    </w:p>
    <w:p>
      <w:pPr>
        <w:jc w:val="both"/>
        <w:ind w:left="1400" w:hanging="647"/>
        <w:spacing w:after="0" w:line="259" w:lineRule="auto"/>
        <w:tabs>
          <w:tab w:leader="none" w:pos="14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Section 12.6(a)(ii) of the Equity Definitions is hereby amended by (1) inserting “(1)” immediately following the word “means” in the first line thereof and (2) inserting immediately prior to the semi-colon at the end of subsection (B) thereof the following words: “or (2) the occurrence of any of the events specified in Section 5(a)(vii)(1) through (9) of the ISDA Master Agreement with respect to that Issuer”.</w:t>
      </w:r>
    </w:p>
    <w:p>
      <w:pPr>
        <w:spacing w:after="0" w:line="146" w:lineRule="exact"/>
        <w:rPr>
          <w:rFonts w:ascii="Arial" w:cs="Arial" w:eastAsia="Arial" w:hAnsi="Arial"/>
          <w:sz w:val="18"/>
          <w:szCs w:val="18"/>
          <w:color w:val="auto"/>
        </w:rPr>
      </w:pPr>
    </w:p>
    <w:p>
      <w:pPr>
        <w:ind w:left="1400" w:hanging="647"/>
        <w:spacing w:after="0"/>
        <w:tabs>
          <w:tab w:leader="none" w:pos="14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Section 12.9(b)(iv) of the Equity Definitions is hereby amended by:</w:t>
      </w:r>
    </w:p>
    <w:p>
      <w:pPr>
        <w:spacing w:after="0" w:line="184" w:lineRule="exact"/>
        <w:rPr>
          <w:rFonts w:ascii="Arial" w:cs="Arial" w:eastAsia="Arial" w:hAnsi="Arial"/>
          <w:sz w:val="18"/>
          <w:szCs w:val="18"/>
          <w:color w:val="auto"/>
        </w:rPr>
      </w:pPr>
    </w:p>
    <w:p>
      <w:pPr>
        <w:ind w:left="2040" w:hanging="639"/>
        <w:spacing w:after="0" w:line="277" w:lineRule="auto"/>
        <w:tabs>
          <w:tab w:leader="none" w:pos="2040" w:val="left"/>
        </w:tabs>
        <w:numPr>
          <w:ilvl w:val="2"/>
          <w:numId w:val="197"/>
        </w:numPr>
        <w:rPr>
          <w:rFonts w:ascii="Arial" w:cs="Arial" w:eastAsia="Arial" w:hAnsi="Arial"/>
          <w:sz w:val="18"/>
          <w:szCs w:val="18"/>
          <w:color w:val="auto"/>
        </w:rPr>
      </w:pPr>
      <w:r>
        <w:rPr>
          <w:rFonts w:ascii="Arial" w:cs="Arial" w:eastAsia="Arial" w:hAnsi="Arial"/>
          <w:sz w:val="18"/>
          <w:szCs w:val="18"/>
          <w:color w:val="auto"/>
        </w:rPr>
        <w:t>deleting (1) subsection (A) in its entirety, (2) the phrase “or (B)” following subsection (A) and (3) the phrase “in each case” in subsection (B); and</w:t>
      </w:r>
    </w:p>
    <w:p>
      <w:pPr>
        <w:spacing w:after="0" w:line="129" w:lineRule="exact"/>
        <w:rPr>
          <w:rFonts w:ascii="Arial" w:cs="Arial" w:eastAsia="Arial" w:hAnsi="Arial"/>
          <w:sz w:val="18"/>
          <w:szCs w:val="18"/>
          <w:color w:val="auto"/>
        </w:rPr>
      </w:pPr>
    </w:p>
    <w:p>
      <w:pPr>
        <w:ind w:left="2040" w:hanging="639"/>
        <w:spacing w:after="0" w:line="277" w:lineRule="auto"/>
        <w:tabs>
          <w:tab w:leader="none" w:pos="2040" w:val="left"/>
        </w:tabs>
        <w:numPr>
          <w:ilvl w:val="2"/>
          <w:numId w:val="197"/>
        </w:numPr>
        <w:rPr>
          <w:rFonts w:ascii="Arial" w:cs="Arial" w:eastAsia="Arial" w:hAnsi="Arial"/>
          <w:sz w:val="18"/>
          <w:szCs w:val="18"/>
          <w:color w:val="auto"/>
        </w:rPr>
      </w:pPr>
      <w:r>
        <w:rPr>
          <w:rFonts w:ascii="Arial" w:cs="Arial" w:eastAsia="Arial" w:hAnsi="Arial"/>
          <w:sz w:val="18"/>
          <w:szCs w:val="18"/>
          <w:color w:val="auto"/>
        </w:rPr>
        <w:t>replacing the phrase “neither the Non-Hedging Party nor the Lending Party lends Shares” with the phrase “such Lending Party does not lend Shares” in the penultimate sentence.</w:t>
      </w:r>
    </w:p>
    <w:p>
      <w:pPr>
        <w:spacing w:after="0" w:line="129" w:lineRule="exact"/>
        <w:rPr>
          <w:rFonts w:ascii="Arial" w:cs="Arial" w:eastAsia="Arial" w:hAnsi="Arial"/>
          <w:sz w:val="18"/>
          <w:szCs w:val="18"/>
          <w:color w:val="auto"/>
        </w:rPr>
      </w:pPr>
    </w:p>
    <w:p>
      <w:pPr>
        <w:ind w:left="1400" w:hanging="647"/>
        <w:spacing w:after="0"/>
        <w:tabs>
          <w:tab w:leader="none" w:pos="14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Section 12.9(b)(v) of the Equity Definitions is hereby amended by:</w:t>
      </w:r>
    </w:p>
    <w:p>
      <w:pPr>
        <w:spacing w:after="0" w:line="184" w:lineRule="exact"/>
        <w:rPr>
          <w:rFonts w:ascii="Arial" w:cs="Arial" w:eastAsia="Arial" w:hAnsi="Arial"/>
          <w:sz w:val="18"/>
          <w:szCs w:val="18"/>
          <w:color w:val="auto"/>
        </w:rPr>
      </w:pPr>
    </w:p>
    <w:p>
      <w:pPr>
        <w:ind w:left="2040" w:hanging="639"/>
        <w:spacing w:after="0" w:line="277" w:lineRule="auto"/>
        <w:tabs>
          <w:tab w:leader="none" w:pos="2040" w:val="left"/>
        </w:tabs>
        <w:numPr>
          <w:ilvl w:val="2"/>
          <w:numId w:val="197"/>
        </w:numPr>
        <w:rPr>
          <w:rFonts w:ascii="Arial" w:cs="Arial" w:eastAsia="Arial" w:hAnsi="Arial"/>
          <w:sz w:val="18"/>
          <w:szCs w:val="18"/>
          <w:color w:val="auto"/>
        </w:rPr>
      </w:pPr>
      <w:r>
        <w:rPr>
          <w:rFonts w:ascii="Arial" w:cs="Arial" w:eastAsia="Arial" w:hAnsi="Arial"/>
          <w:sz w:val="18"/>
          <w:szCs w:val="18"/>
          <w:color w:val="auto"/>
        </w:rPr>
        <w:t>adding the word “or” immediately before subsection “(B)” and deleting the comma at the end of subsection (A); and</w:t>
      </w:r>
    </w:p>
    <w:p>
      <w:pPr>
        <w:spacing w:after="0" w:line="129" w:lineRule="exact"/>
        <w:rPr>
          <w:rFonts w:ascii="Arial" w:cs="Arial" w:eastAsia="Arial" w:hAnsi="Arial"/>
          <w:sz w:val="18"/>
          <w:szCs w:val="18"/>
          <w:color w:val="auto"/>
        </w:rPr>
      </w:pPr>
    </w:p>
    <w:p>
      <w:pPr>
        <w:jc w:val="both"/>
        <w:ind w:left="2040" w:hanging="639"/>
        <w:spacing w:after="0" w:line="259" w:lineRule="auto"/>
        <w:tabs>
          <w:tab w:leader="none" w:pos="2040" w:val="left"/>
        </w:tabs>
        <w:numPr>
          <w:ilvl w:val="2"/>
          <w:numId w:val="197"/>
        </w:numPr>
        <w:rPr>
          <w:rFonts w:ascii="Arial" w:cs="Arial" w:eastAsia="Arial" w:hAnsi="Arial"/>
          <w:sz w:val="18"/>
          <w:szCs w:val="18"/>
          <w:color w:val="auto"/>
        </w:rPr>
      </w:pPr>
      <w:r>
        <w:rPr>
          <w:rFonts w:ascii="Arial" w:cs="Arial" w:eastAsia="Arial" w:hAnsi="Arial"/>
          <w:sz w:val="18"/>
          <w:szCs w:val="18"/>
          <w:color w:val="auto"/>
        </w:rPr>
        <w:t>(1) deleting subsection (C) in its entirety, (2) deleting the word “or” immediately preceding subsection (C), (3) deleting the penultimate sentence in its entirety and replacing it with the sentence “The Hedging Party will determine the Cancellation Amount payable by one party to the other.” and (4) deleting clause (X) in the final sentence.</w:t>
      </w:r>
    </w:p>
    <w:p>
      <w:pPr>
        <w:spacing w:after="0" w:line="146" w:lineRule="exact"/>
        <w:rPr>
          <w:sz w:val="20"/>
          <w:szCs w:val="20"/>
          <w:color w:val="auto"/>
        </w:rPr>
      </w:pPr>
    </w:p>
    <w:p>
      <w:pPr>
        <w:jc w:val="both"/>
        <w:ind w:left="760" w:hanging="655"/>
        <w:spacing w:after="0" w:line="291" w:lineRule="auto"/>
        <w:tabs>
          <w:tab w:leader="none" w:pos="76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Confirmation, upon the occurrence of one of the following events, with respect to the Transaction, (1) Dealer shall have the right to designate such event an Additional Termination Event and designate an Early Termination Date pursuant to Section 6(b) of the Agreement, (2) Company shall be deemed the sole Affected Party with respect to such Additional Termination Event and (3) the Transaction, or, at the election of Dealer in its sole discretion, any portion of the Transaction, shall be deemed the sole Affected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Dealer so designates an Early Termination Date with respect to a portion of the Transaction, (a) a payment shall be made pursuant to Section 6 of the Agreement as if an Early Termination Date had been designated in respect of a Transaction having terms identical to the Transaction and a Number of</w:t>
      </w:r>
    </w:p>
    <w:p>
      <w:pPr>
        <w:spacing w:after="0" w:line="200" w:lineRule="exact"/>
        <w:rPr>
          <w:sz w:val="20"/>
          <w:szCs w:val="20"/>
          <w:color w:val="auto"/>
        </w:rPr>
      </w:pPr>
    </w:p>
    <w:p>
      <w:pPr>
        <w:spacing w:after="0" w:line="34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220"/>
          </w:cols>
          <w:pgMar w:left="1440" w:top="976" w:right="239" w:bottom="1440" w:gutter="0" w:footer="0" w:header="0"/>
        </w:sectPr>
      </w:pPr>
    </w:p>
    <w:bookmarkStart w:id="226" w:name="page227"/>
    <w:bookmarkEnd w:id="226"/>
    <w:p>
      <w:pPr>
        <w:jc w:val="both"/>
        <w:ind w:left="760"/>
        <w:spacing w:after="0" w:line="264" w:lineRule="auto"/>
        <w:rPr>
          <w:sz w:val="20"/>
          <w:szCs w:val="20"/>
          <w:color w:val="auto"/>
        </w:rPr>
      </w:pPr>
      <w:r>
        <w:rPr>
          <w:rFonts w:ascii="Arial" w:cs="Arial" w:eastAsia="Arial" w:hAnsi="Arial"/>
          <w:sz w:val="18"/>
          <w:szCs w:val="18"/>
          <w:color w:val="auto"/>
        </w:rPr>
        <w:t>Warrants equal to the number of Warrants included in the terminated portion of the Transaction, and (b) for the avoidance of doubt, the Transaction shall remain in full force and effect except that the Number of Warrants shall be reduced by the number of Warrants included in such terminated portion:</w:t>
      </w:r>
    </w:p>
    <w:p>
      <w:pPr>
        <w:spacing w:after="0" w:line="141" w:lineRule="exact"/>
        <w:rPr>
          <w:sz w:val="20"/>
          <w:szCs w:val="20"/>
          <w:color w:val="auto"/>
        </w:rPr>
      </w:pPr>
    </w:p>
    <w:p>
      <w:pPr>
        <w:jc w:val="both"/>
        <w:ind w:left="1400" w:hanging="647"/>
        <w:spacing w:after="0" w:line="302" w:lineRule="auto"/>
        <w:tabs>
          <w:tab w:leader="none" w:pos="140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 “person” or “group” within the meaning of Section 13(d) of the Exchange Act, other than Company, its wholly owned subsidiaries and its and their employee benefit plans, files a Schedule TO or any schedule, form or report under the Exchange Act disclosing that such person or group has become the direct or indirect “beneficial owner,” as defined in Rule 13d-3 under the Exchange Act, of the Shares representing more than 50% of the voting power of the Shares.</w:t>
      </w:r>
    </w:p>
    <w:p>
      <w:pPr>
        <w:spacing w:after="0" w:line="113" w:lineRule="exact"/>
        <w:rPr>
          <w:rFonts w:ascii="Arial" w:cs="Arial" w:eastAsia="Arial" w:hAnsi="Arial"/>
          <w:sz w:val="16"/>
          <w:szCs w:val="16"/>
          <w:color w:val="auto"/>
        </w:rPr>
      </w:pPr>
    </w:p>
    <w:p>
      <w:pPr>
        <w:jc w:val="both"/>
        <w:ind w:left="1400" w:hanging="647"/>
        <w:spacing w:after="0" w:line="286" w:lineRule="auto"/>
        <w:tabs>
          <w:tab w:leader="none" w:pos="140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Consummation of (I) any recapitalization, reclassification or change of the Shares (other than changes resulting from a subdivision or combination) as a result of which the Shares would be converted into, or exchanged for, stock, other securities, or other property or assets, (II) any share exchange, consolidation or merger of Company pursuant to which the Shares will be converted into cash, securities or other property or assets (including any combination thereof) or (III) any sale, lease or other transfer in one transaction or a series of transactions of all or substantially all of the consolidated assets of Company and its subsidiaries, taken as a whole, to any person other than one of Company’s wholly owned subsidiaries. Notwithstanding the foregoing, any transaction or transactions set forth in clause (A) above or this clause (B) shall not constitute an Additional Termination Event if (x) at least 90% of the consideration received or to be received by holders of the Shares, excluding cash payments for fractional Shares and cash payments made in respect of dissenters’ appraisal rights, in connection with such transaction or transactions consists of shares of common stock that are listed or quoted on any of The New York Stock Exchange, The NASDAQ Global Select Market or The NASDAQ Global Market (or any of their respective successors) or will be so listed or quoted when issued or exchanged in connection with such transaction or transactions, and (y) as a result of such transaction or transactions, the Shares will consist of such consideration.</w:t>
      </w:r>
    </w:p>
    <w:p>
      <w:pPr>
        <w:spacing w:after="0" w:line="134" w:lineRule="exact"/>
        <w:rPr>
          <w:rFonts w:ascii="Arial" w:cs="Arial" w:eastAsia="Arial" w:hAnsi="Arial"/>
          <w:sz w:val="16"/>
          <w:szCs w:val="16"/>
          <w:color w:val="auto"/>
        </w:rPr>
      </w:pPr>
    </w:p>
    <w:p>
      <w:pPr>
        <w:jc w:val="both"/>
        <w:ind w:left="1400" w:hanging="647"/>
        <w:spacing w:after="0" w:line="271" w:lineRule="auto"/>
        <w:tabs>
          <w:tab w:leader="none" w:pos="140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Default by Company or any of its Significant Subsidiaries (as defined in in Rule 1-02(w) of Regulation S-X, promulgated pursuant to the Securities Act) with respect to any mortgage, agreement or other instrument under which there may be outstanding, or by which there may be secured or evidenced, any indebtedness for money borrowed having a principal amount in excess of $50 million (or its foreign currency equivalent) in the aggregate of Company and/or any such subsidiary, whether such indebtedness exists as of the Premium Payment Date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and such acceleration shall not have been rescinded or annulled and such failure to pay shall not have been cured or waived, as the case may be, within 30 days after the occurrence of such acceleration or such failure to pay, as the case may be.</w:t>
      </w:r>
    </w:p>
    <w:p>
      <w:pPr>
        <w:spacing w:after="0" w:line="142" w:lineRule="exact"/>
        <w:rPr>
          <w:rFonts w:ascii="Arial" w:cs="Arial" w:eastAsia="Arial" w:hAnsi="Arial"/>
          <w:sz w:val="17"/>
          <w:szCs w:val="17"/>
          <w:color w:val="auto"/>
        </w:rPr>
      </w:pPr>
    </w:p>
    <w:p>
      <w:pPr>
        <w:jc w:val="both"/>
        <w:ind w:left="1400" w:hanging="647"/>
        <w:spacing w:after="0" w:line="257" w:lineRule="auto"/>
        <w:tabs>
          <w:tab w:leader="none" w:pos="14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 final judgment or judgments for the payment of $50 million (or its foreign currency equivalent) or more (excluding any amounts covered by insurance) in the aggregate rendered against Company or any of its Significant Subsidiaries (as defined in in Rule 1-02(w) of Regulation S-X, promulgated pursuant to the Securities Act), which judgments are not discharged, paid, waived or stayed within 30 days after (I) the date on which the right to appeal thereof has expired if no such</w:t>
      </w:r>
    </w:p>
    <w:p>
      <w:pPr>
        <w:spacing w:after="0" w:line="200" w:lineRule="exact"/>
        <w:rPr>
          <w:sz w:val="20"/>
          <w:szCs w:val="20"/>
          <w:color w:val="auto"/>
        </w:rPr>
      </w:pPr>
    </w:p>
    <w:p>
      <w:pPr>
        <w:spacing w:after="0" w:line="363"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220"/>
          </w:cols>
          <w:pgMar w:left="1440" w:top="976" w:right="239" w:bottom="1440" w:gutter="0" w:footer="0" w:header="0"/>
        </w:sectPr>
      </w:pPr>
    </w:p>
    <w:bookmarkStart w:id="227" w:name="page228"/>
    <w:bookmarkEnd w:id="227"/>
    <w:p>
      <w:pPr>
        <w:jc w:val="center"/>
        <w:ind w:right="196"/>
        <w:spacing w:after="0"/>
        <w:rPr>
          <w:sz w:val="20"/>
          <w:szCs w:val="20"/>
          <w:color w:val="auto"/>
        </w:rPr>
      </w:pPr>
      <w:r>
        <w:rPr>
          <w:rFonts w:ascii="Arial" w:cs="Arial" w:eastAsia="Arial" w:hAnsi="Arial"/>
          <w:sz w:val="18"/>
          <w:szCs w:val="18"/>
          <w:color w:val="auto"/>
        </w:rPr>
        <w:t>appeal has commenced, or (II) the date on which all rights to appeal have been extinguished.</w:t>
      </w:r>
    </w:p>
    <w:p>
      <w:pPr>
        <w:spacing w:after="0" w:line="185" w:lineRule="exact"/>
        <w:rPr>
          <w:sz w:val="20"/>
          <w:szCs w:val="20"/>
          <w:color w:val="auto"/>
        </w:rPr>
      </w:pPr>
    </w:p>
    <w:p>
      <w:pPr>
        <w:jc w:val="both"/>
        <w:ind w:left="1944" w:hanging="647"/>
        <w:spacing w:after="0" w:line="272" w:lineRule="auto"/>
        <w:tabs>
          <w:tab w:leader="none" w:pos="1944" w:val="left"/>
        </w:tabs>
        <w:numPr>
          <w:ilvl w:val="2"/>
          <w:numId w:val="200"/>
        </w:numPr>
        <w:rPr>
          <w:rFonts w:ascii="Arial" w:cs="Arial" w:eastAsia="Arial" w:hAnsi="Arial"/>
          <w:sz w:val="17"/>
          <w:szCs w:val="17"/>
          <w:color w:val="auto"/>
        </w:rPr>
      </w:pPr>
      <w:r>
        <w:rPr>
          <w:rFonts w:ascii="Arial" w:cs="Arial" w:eastAsia="Arial" w:hAnsi="Arial"/>
          <w:sz w:val="17"/>
          <w:szCs w:val="17"/>
          <w:color w:val="auto"/>
        </w:rPr>
        <w:t>Dealer, despite using commercially reasonable efforts, is unable or reasonably determines, taking into account advice of counsel, that it is impractical or illegal, to hedge its exposure with respect to the Transaction or any portion thereof (the “</w:t>
      </w:r>
      <w:r>
        <w:rPr>
          <w:rFonts w:ascii="Arial" w:cs="Arial" w:eastAsia="Arial" w:hAnsi="Arial"/>
          <w:sz w:val="17"/>
          <w:szCs w:val="17"/>
          <w:b w:val="1"/>
          <w:bCs w:val="1"/>
          <w:color w:val="auto"/>
        </w:rPr>
        <w:t>Affected Portion</w:t>
      </w:r>
      <w:r>
        <w:rPr>
          <w:rFonts w:ascii="Arial" w:cs="Arial" w:eastAsia="Arial" w:hAnsi="Arial"/>
          <w:sz w:val="17"/>
          <w:szCs w:val="17"/>
          <w:color w:val="auto"/>
        </w:rPr>
        <w:t xml:space="preserve">”) in the public market without registration under the Securities Act or as a result of any legal, regulatory or self-regulatory requirements or related policies and procedures (whether or not such requirements, policies or procedures are imposed by law or have been voluntarily adopted by Dealer);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the foregoing provisions of this clause (E), Dealer shall treat only the Affected Portion of the Transaction as the Affected Transaction (it being understood that the Affected Portion may be 100%).</w:t>
      </w:r>
    </w:p>
    <w:p>
      <w:pPr>
        <w:spacing w:after="0" w:line="137" w:lineRule="exact"/>
        <w:rPr>
          <w:rFonts w:ascii="Arial" w:cs="Arial" w:eastAsia="Arial" w:hAnsi="Arial"/>
          <w:sz w:val="17"/>
          <w:szCs w:val="17"/>
          <w:color w:val="auto"/>
        </w:rPr>
      </w:pPr>
    </w:p>
    <w:p>
      <w:pPr>
        <w:jc w:val="both"/>
        <w:ind w:left="644" w:hanging="644"/>
        <w:spacing w:after="0" w:line="286" w:lineRule="auto"/>
        <w:tabs>
          <w:tab w:leader="none" w:pos="644" w:val="left"/>
        </w:tabs>
        <w:numPr>
          <w:ilvl w:val="0"/>
          <w:numId w:val="201"/>
        </w:numPr>
        <w:rPr>
          <w:rFonts w:ascii="Arial" w:cs="Arial" w:eastAsia="Arial" w:hAnsi="Arial"/>
          <w:sz w:val="16"/>
          <w:szCs w:val="16"/>
          <w:color w:val="auto"/>
        </w:rPr>
      </w:pPr>
      <w:r>
        <w:rPr>
          <w:rFonts w:ascii="Arial" w:cs="Arial" w:eastAsia="Arial" w:hAnsi="Arial"/>
          <w:sz w:val="16"/>
          <w:szCs w:val="16"/>
          <w:i w:val="1"/>
          <w:iCs w:val="1"/>
          <w:u w:val="single" w:color="auto"/>
          <w:color w:val="auto"/>
        </w:rPr>
        <w:t>No Collateral or Setoff</w:t>
      </w:r>
      <w:r>
        <w:rPr>
          <w:rFonts w:ascii="Arial" w:cs="Arial" w:eastAsia="Arial" w:hAnsi="Arial"/>
          <w:sz w:val="16"/>
          <w:szCs w:val="16"/>
          <w:i w:val="1"/>
          <w:iCs w:val="1"/>
          <w:color w:val="auto"/>
        </w:rPr>
        <w:t xml:space="preserve">. </w:t>
      </w:r>
      <w:r>
        <w:rPr>
          <w:rFonts w:ascii="Arial" w:cs="Arial" w:eastAsia="Arial" w:hAnsi="Arial"/>
          <w:sz w:val="16"/>
          <w:szCs w:val="16"/>
          <w:color w:val="auto"/>
        </w:rPr>
        <w:t>Notwithstanding any provision of the Agreement or any other agreement between the parties to the contrary, the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of Company hereunder are not secured by any collateral. Obligations under the Transaction shall not be set off by Company against any other obligations of the parties, whether arising under the Agreement, this Confirmation, under any other agreement between the parties hereto, by operation of law or otherwise. Any provision in the Agreement with respect to the satisfaction of Company’s payment obligations to the extent of Dealer’s payment obligations to Company in the same currency and in the same Transaction (including, without limitation Section 2(c) thereof) shall not apply to Company and, for the avoidance of doubt, Company shall fully satisfy such payment obligations notwithstanding any payment obligation to Company by Dealer in the same currency and in the same Transaction. In calculating any amounts under Section 6(e) of the Agreement, notwithstanding anything to the contrary in the Agreement, (1) separate amounts shall be calculated as set forth in such Section 6(e) with respect to (a) the Transaction and (b) all other Transactions, and (2) such separate amounts shall be payable pursuant to Section 6(d)(ii) of the Agreement. For the avoidance of doubt and notwithstanding anything to the contrary provided in this Section 9(i), in the event of bankruptcy or liquidation of either Company or Dealer, neither party shall have the right to set off any obligation that it may have to the other party under the Transaction against any obligation such other party may have to it, whether arising under the Agreement, this Confirmation or any other agreement between the parties hereto, by operation of law or otherwise.</w:t>
      </w:r>
    </w:p>
    <w:p>
      <w:pPr>
        <w:spacing w:after="0" w:line="134" w:lineRule="exact"/>
        <w:rPr>
          <w:rFonts w:ascii="Arial" w:cs="Arial" w:eastAsia="Arial" w:hAnsi="Arial"/>
          <w:sz w:val="16"/>
          <w:szCs w:val="16"/>
          <w:color w:val="auto"/>
        </w:rPr>
      </w:pPr>
    </w:p>
    <w:p>
      <w:pPr>
        <w:ind w:left="644" w:hanging="644"/>
        <w:spacing w:after="0"/>
        <w:tabs>
          <w:tab w:leader="none" w:pos="644" w:val="left"/>
        </w:tabs>
        <w:numPr>
          <w:ilvl w:val="0"/>
          <w:numId w:val="201"/>
        </w:numPr>
        <w:rPr>
          <w:rFonts w:ascii="Arial" w:cs="Arial" w:eastAsia="Arial" w:hAnsi="Arial"/>
          <w:sz w:val="18"/>
          <w:szCs w:val="18"/>
          <w:color w:val="auto"/>
        </w:rPr>
      </w:pPr>
      <w:r>
        <w:rPr>
          <w:rFonts w:ascii="Arial" w:cs="Arial" w:eastAsia="Arial" w:hAnsi="Arial"/>
          <w:sz w:val="18"/>
          <w:szCs w:val="18"/>
          <w:i w:val="1"/>
          <w:iCs w:val="1"/>
          <w:u w:val="single" w:color="auto"/>
          <w:color w:val="auto"/>
        </w:rPr>
        <w:t>Alternative Calculations and Payment on Early Termination and on Certain Extraordinary Events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1304" w:hanging="655"/>
        <w:spacing w:after="0" w:line="286" w:lineRule="auto"/>
        <w:tabs>
          <w:tab w:leader="none" w:pos="1304" w:val="left"/>
        </w:tabs>
        <w:numPr>
          <w:ilvl w:val="1"/>
          <w:numId w:val="201"/>
        </w:numPr>
        <w:rPr>
          <w:rFonts w:ascii="Arial" w:cs="Arial" w:eastAsia="Arial" w:hAnsi="Arial"/>
          <w:sz w:val="16"/>
          <w:szCs w:val="16"/>
          <w:color w:val="auto"/>
        </w:rPr>
      </w:pPr>
      <w:r>
        <w:rPr>
          <w:rFonts w:ascii="Arial" w:cs="Arial" w:eastAsia="Arial" w:hAnsi="Arial"/>
          <w:sz w:val="16"/>
          <w:szCs w:val="16"/>
          <w:color w:val="auto"/>
        </w:rPr>
        <w:t>If (a) an Early Termination Date (whether as a result of an Event of Default or a Termination Event) occurs or is designated with respect to the Transaction or (b) the Transaction is cancelled or terminated upon the occurrence of an Extraordinary Event (except as a result of (i) a Nationalization, Insolvency or Merger Event in which the consideration to be paid to holders of Shares consists solely of cash, (ii) a Merger Event or Tender Offer that is within Company’s control, or (iii) an Event of Default in which Company is the Defaulting Party or a Termination Event in which Company is the Affected Party other than an Event of Default of the type described in Section 5(a)(iii), (v), (vi), (vii) or (viii) of the Agreement or a Termination Event of the type described in Section 5(b) of the Agreement, in each case that resulted from an event or events outside Company’s control), and if Company would owe any amount to Dealer pursuant to Section 6(d)(ii) of the Agreement or any Cancellation Amount pursuant to Article 12 of the Equity Definitions (any such amount, a “</w:t>
      </w:r>
      <w:r>
        <w:rPr>
          <w:rFonts w:ascii="Arial" w:cs="Arial" w:eastAsia="Arial" w:hAnsi="Arial"/>
          <w:sz w:val="16"/>
          <w:szCs w:val="16"/>
          <w:b w:val="1"/>
          <w:bCs w:val="1"/>
          <w:color w:val="auto"/>
        </w:rPr>
        <w:t>Payment Obligation</w:t>
      </w:r>
      <w:r>
        <w:rPr>
          <w:rFonts w:ascii="Arial" w:cs="Arial" w:eastAsia="Arial" w:hAnsi="Arial"/>
          <w:sz w:val="16"/>
          <w:szCs w:val="16"/>
          <w:color w:val="auto"/>
        </w:rPr>
        <w:t>”), then Company shall satisfy the Payment Obligation by the Share Termination Alternative (as defined below), unless (a) Company gives irrevocable telephonic notice to Dealer, confirmed in writing within one Scheduled Trading Day, no later than 12:00 p.m. (New York City time) on the Merger Date, Tender Offer Date, Announcement Date (in the case of a Nationalization, Insolvency or Delisting), Early Termination Date or date of cancellation, as applicable, of its election that the Share Termination Alternative shall not apply, (b) Company remakes the representation set forth in Section 8(g) as of the date of such election and (c) Dealer agrees, in its sole commercially reasonable discretion, to such</w:t>
      </w:r>
    </w:p>
    <w:p>
      <w:pPr>
        <w:spacing w:after="0" w:line="200" w:lineRule="exact"/>
        <w:rPr>
          <w:sz w:val="20"/>
          <w:szCs w:val="20"/>
          <w:color w:val="auto"/>
        </w:rPr>
      </w:pPr>
    </w:p>
    <w:p>
      <w:pPr>
        <w:spacing w:after="0" w:line="346" w:lineRule="exact"/>
        <w:rPr>
          <w:sz w:val="20"/>
          <w:szCs w:val="20"/>
          <w:color w:val="auto"/>
        </w:rPr>
      </w:pPr>
    </w:p>
    <w:p>
      <w:pPr>
        <w:ind w:left="4964"/>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764"/>
          </w:cols>
          <w:pgMar w:left="896" w:top="976" w:right="239" w:bottom="1440" w:gutter="0" w:footer="0" w:header="0"/>
        </w:sectPr>
      </w:pPr>
    </w:p>
    <w:bookmarkStart w:id="228" w:name="page229"/>
    <w:bookmarkEnd w:id="228"/>
    <w:p>
      <w:pPr>
        <w:ind w:left="760"/>
        <w:spacing w:after="0" w:line="277" w:lineRule="auto"/>
        <w:rPr>
          <w:sz w:val="20"/>
          <w:szCs w:val="20"/>
          <w:color w:val="auto"/>
        </w:rPr>
      </w:pPr>
      <w:r>
        <w:rPr>
          <w:rFonts w:ascii="Arial" w:cs="Arial" w:eastAsia="Arial" w:hAnsi="Arial"/>
          <w:sz w:val="18"/>
          <w:szCs w:val="18"/>
          <w:color w:val="auto"/>
        </w:rPr>
        <w:t>election, in which case the provisions of Section 12.7 or Section 12.9 of the Equity Definitions, or the provisions of Section 6(d)(ii) of the Agreement, as the case may be, shall apply.</w:t>
      </w:r>
    </w:p>
    <w:p>
      <w:pPr>
        <w:sectPr>
          <w:pgSz w:w="11900" w:h="16838" w:orient="portrait"/>
          <w:cols w:equalWidth="0" w:num="1">
            <w:col w:w="10220"/>
          </w:cols>
          <w:pgMar w:left="1440" w:top="976" w:right="239" w:bottom="1440" w:gutter="0" w:footer="0" w:header="0"/>
        </w:sectPr>
      </w:pPr>
    </w:p>
    <w:p>
      <w:pPr>
        <w:spacing w:after="0" w:line="13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Share Termination Alternative:</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applicable, Company shall deliver to Dealer the Share Termination Delivery Property on the date (the “</w:t>
      </w:r>
      <w:r>
        <w:rPr>
          <w:rFonts w:ascii="Arial" w:cs="Arial" w:eastAsia="Arial" w:hAnsi="Arial"/>
          <w:sz w:val="18"/>
          <w:szCs w:val="18"/>
          <w:b w:val="1"/>
          <w:bCs w:val="1"/>
          <w:color w:val="auto"/>
        </w:rPr>
        <w:t>Share Termination Payment Date</w:t>
      </w:r>
      <w:r>
        <w:rPr>
          <w:rFonts w:ascii="Arial" w:cs="Arial" w:eastAsia="Arial" w:hAnsi="Arial"/>
          <w:sz w:val="18"/>
          <w:szCs w:val="18"/>
          <w:color w:val="auto"/>
        </w:rPr>
        <w:t>”) on which the Payment Obligation would otherwise be due pursuant to Section 12.7 or Section 12.9 of the Equity Definitions or Section 6(d)(ii) of the Agreement, as applicable, subject to Section 9(k)(i) below, in satisfaction, subject to Section 9(k)(ii) below, of the relevant Payment Obligation, in the manner reasonably requested by Dealer free of payment.</w:t>
      </w:r>
    </w:p>
    <w:p>
      <w:pPr>
        <w:spacing w:after="0" w:line="153" w:lineRule="exact"/>
        <w:rPr>
          <w:sz w:val="20"/>
          <w:szCs w:val="20"/>
          <w:color w:val="auto"/>
        </w:rPr>
      </w:pPr>
    </w:p>
    <w:p>
      <w:pPr>
        <w:sectPr>
          <w:pgSz w:w="11900" w:h="16838" w:orient="portrait"/>
          <w:cols w:equalWidth="0" w:num="2">
            <w:col w:w="2980" w:space="360"/>
            <w:col w:w="6880"/>
          </w:cols>
          <w:pgMar w:left="1440" w:top="976" w:right="239" w:bottom="1440" w:gutter="0" w:footer="0" w:header="0"/>
          <w:type w:val="continuous"/>
        </w:sectPr>
      </w:pPr>
    </w:p>
    <w:p>
      <w:pPr>
        <w:ind w:left="760"/>
        <w:spacing w:after="0" w:line="277" w:lineRule="auto"/>
        <w:rPr>
          <w:sz w:val="20"/>
          <w:szCs w:val="20"/>
          <w:color w:val="auto"/>
        </w:rPr>
      </w:pPr>
      <w:r>
        <w:rPr>
          <w:rFonts w:ascii="Arial" w:cs="Arial" w:eastAsia="Arial" w:hAnsi="Arial"/>
          <w:sz w:val="18"/>
          <w:szCs w:val="18"/>
          <w:color w:val="auto"/>
        </w:rPr>
        <w:t>Share Termination Delivery Property: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 number of Share Termination Delivery Units, as calculated by the Calculation Agent, equal to the relevant Payment Obligation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the Share Termination Unit Price. The Calculation Agent shall adjust the amount of Share Termination Delivery Property by replacing any fractional portion of a security therein with an amount of cash equal to the value of such fractional security based on the values used to calculate the Share Termination Unit Price (without giving effect to any discount pursuant to Section 9(k)(i)).</w:t>
      </w:r>
    </w:p>
    <w:p>
      <w:pPr>
        <w:spacing w:after="0" w:line="138" w:lineRule="exact"/>
        <w:rPr>
          <w:sz w:val="20"/>
          <w:szCs w:val="20"/>
          <w:color w:val="auto"/>
        </w:rPr>
      </w:pPr>
    </w:p>
    <w:p>
      <w:pPr>
        <w:sectPr>
          <w:pgSz w:w="11900" w:h="16838" w:orient="portrait"/>
          <w:cols w:equalWidth="0" w:num="2">
            <w:col w:w="2760" w:space="580"/>
            <w:col w:w="6880"/>
          </w:cols>
          <w:pgMar w:left="1440" w:top="976" w:right="239" w:bottom="1440" w:gutter="0" w:footer="0" w:header="0"/>
          <w:type w:val="continuous"/>
        </w:sectPr>
      </w:pPr>
    </w:p>
    <w:p>
      <w:pPr>
        <w:ind w:left="760"/>
        <w:spacing w:after="0"/>
        <w:rPr>
          <w:sz w:val="20"/>
          <w:szCs w:val="20"/>
          <w:color w:val="auto"/>
        </w:rPr>
      </w:pPr>
      <w:r>
        <w:rPr>
          <w:rFonts w:ascii="Arial" w:cs="Arial" w:eastAsia="Arial" w:hAnsi="Arial"/>
          <w:sz w:val="16"/>
          <w:szCs w:val="16"/>
          <w:color w:val="auto"/>
        </w:rPr>
        <w:t>Share Termination Unit Price:</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6"/>
          <w:szCs w:val="16"/>
          <w:color w:val="auto"/>
        </w:rPr>
        <w:t>The value of property contained in one Share Termination Delivery Unit on the date such Share Termination Delivery Units are to be delivered as Share Termination Delivery Property, as determined by the Calculation Agent in its discretion by commercially reasonable means. In the case of a Private Placement of Share Termination Delivery Units that are Restricted Shares (as defined below), as set forth in Section 9(k)(i) below, the Share Termination Unit Price shall be determined by the discounted price applicable to such Share Termination Delivery Units. In the case of a Registration Settlement of Share Termination Delivery Units that are Restricted Shares (as defined below) as set forth in Section 9(k)(ii) below, notwithstanding the foregoing, the Share Termination Unit Price shall be the Settlement Price on the Merger Date, Tender Offer Date, Announcement Date (in the case of a Nationalization, Insolvency or Delisting), Early Termination Date or date of cancellation, as applicable. The Calculation Agent shall notify Company of the Share Termination Unit Price at the time of notification of such Payment Obligation to Company or, if applicable, at the time the discounted price applicable to the relevant Share Termination Units is determined pursuant to Section 9(k)(i).</w:t>
      </w:r>
    </w:p>
    <w:p>
      <w:pPr>
        <w:spacing w:after="0" w:line="131" w:lineRule="exact"/>
        <w:rPr>
          <w:sz w:val="20"/>
          <w:szCs w:val="20"/>
          <w:color w:val="auto"/>
        </w:rPr>
      </w:pPr>
    </w:p>
    <w:p>
      <w:pPr>
        <w:sectPr>
          <w:pgSz w:w="11900" w:h="16838" w:orient="portrait"/>
          <w:cols w:equalWidth="0" w:num="2">
            <w:col w:w="2920" w:space="420"/>
            <w:col w:w="6880"/>
          </w:cols>
          <w:pgMar w:left="1440" w:top="976" w:right="239" w:bottom="1440" w:gutter="0" w:footer="0" w:header="0"/>
          <w:type w:val="continuous"/>
        </w:sectPr>
      </w:pPr>
    </w:p>
    <w:p>
      <w:pPr>
        <w:ind w:left="760"/>
        <w:spacing w:after="0"/>
        <w:rPr>
          <w:sz w:val="20"/>
          <w:szCs w:val="20"/>
          <w:color w:val="auto"/>
        </w:rPr>
      </w:pPr>
      <w:r>
        <w:rPr>
          <w:rFonts w:ascii="Arial" w:cs="Arial" w:eastAsia="Arial" w:hAnsi="Arial"/>
          <w:sz w:val="16"/>
          <w:szCs w:val="16"/>
          <w:color w:val="auto"/>
        </w:rPr>
        <w:t>Share Termination Delivery Unit: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One Share or, if the Shares have changed into cash or any other property or the right to receive cash or any</w:t>
      </w:r>
    </w:p>
    <w:p>
      <w:pPr>
        <w:spacing w:after="0" w:line="200" w:lineRule="exact"/>
        <w:rPr>
          <w:sz w:val="20"/>
          <w:szCs w:val="20"/>
          <w:color w:val="auto"/>
        </w:rPr>
      </w:pPr>
    </w:p>
    <w:p>
      <w:pPr>
        <w:sectPr>
          <w:pgSz w:w="11900" w:h="16838" w:orient="portrait"/>
          <w:cols w:equalWidth="0" w:num="2">
            <w:col w:w="3180" w:space="160"/>
            <w:col w:w="6880"/>
          </w:cols>
          <w:pgMar w:left="1440" w:top="976" w:right="239" w:bottom="1440" w:gutter="0" w:footer="0" w:header="0"/>
          <w:type w:val="continuous"/>
        </w:sectPr>
      </w:pPr>
    </w:p>
    <w:p>
      <w:pPr>
        <w:spacing w:after="0" w:line="345"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220"/>
          </w:cols>
          <w:pgMar w:left="1440" w:top="976" w:right="239" w:bottom="1440" w:gutter="0" w:footer="0" w:header="0"/>
          <w:type w:val="continuous"/>
        </w:sectPr>
      </w:pPr>
    </w:p>
    <w:bookmarkStart w:id="229" w:name="page230"/>
    <w:bookmarkEnd w:id="229"/>
    <w:p>
      <w:pPr>
        <w:jc w:val="both"/>
        <w:ind w:left="3884"/>
        <w:spacing w:after="0" w:line="291" w:lineRule="auto"/>
        <w:rPr>
          <w:sz w:val="20"/>
          <w:szCs w:val="20"/>
          <w:color w:val="auto"/>
        </w:rPr>
      </w:pPr>
      <w:r>
        <w:rPr>
          <w:rFonts w:ascii="Arial" w:cs="Arial" w:eastAsia="Arial" w:hAnsi="Arial"/>
          <w:sz w:val="16"/>
          <w:szCs w:val="16"/>
          <w:color w:val="auto"/>
        </w:rPr>
        <w:t>other property as the result of a Nationalization, Insolvency or Merger Event (any such cash or other property, the “</w:t>
      </w:r>
      <w:r>
        <w:rPr>
          <w:rFonts w:ascii="Arial" w:cs="Arial" w:eastAsia="Arial" w:hAnsi="Arial"/>
          <w:sz w:val="16"/>
          <w:szCs w:val="16"/>
          <w:b w:val="1"/>
          <w:bCs w:val="1"/>
          <w:color w:val="auto"/>
        </w:rPr>
        <w:t>Exchange Property</w:t>
      </w:r>
      <w:r>
        <w:rPr>
          <w:rFonts w:ascii="Arial" w:cs="Arial" w:eastAsia="Arial" w:hAnsi="Arial"/>
          <w:sz w:val="16"/>
          <w:szCs w:val="16"/>
          <w:color w:val="auto"/>
        </w:rPr>
        <w:t>”), a unit consisting of the type and amount of Exchange Property received by a holder of one Share (without consideration of any requirement to pay cash or other consideration in lieu of fractional amounts of any securities) in such Nationalization, Insolvency or Merger Event. If such Nationalization, Insolvency or Merger Event involves a choice of Exchange Property to be received by holders, such holder shall be deemed to have elected to receive the maximum possible amount of cash.</w:t>
      </w:r>
    </w:p>
    <w:p>
      <w:pPr>
        <w:sectPr>
          <w:pgSz w:w="11900" w:h="16838" w:orient="portrait"/>
          <w:cols w:equalWidth="0" w:num="1">
            <w:col w:w="10764"/>
          </w:cols>
          <w:pgMar w:left="896" w:top="976" w:right="239" w:bottom="1440" w:gutter="0" w:footer="0" w:header="0"/>
        </w:sectPr>
      </w:pPr>
    </w:p>
    <w:p>
      <w:pPr>
        <w:spacing w:after="0" w:line="127" w:lineRule="exact"/>
        <w:rPr>
          <w:sz w:val="20"/>
          <w:szCs w:val="20"/>
          <w:color w:val="auto"/>
        </w:rPr>
      </w:pPr>
    </w:p>
    <w:p>
      <w:pPr>
        <w:jc w:val="center"/>
        <w:ind w:left="764"/>
        <w:spacing w:after="0"/>
        <w:rPr>
          <w:sz w:val="20"/>
          <w:szCs w:val="20"/>
          <w:color w:val="auto"/>
        </w:rPr>
      </w:pPr>
      <w:r>
        <w:rPr>
          <w:rFonts w:ascii="Arial" w:cs="Arial" w:eastAsia="Arial" w:hAnsi="Arial"/>
          <w:sz w:val="16"/>
          <w:szCs w:val="16"/>
          <w:color w:val="auto"/>
        </w:rPr>
        <w:t>Failure to Deliver:</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Inapplicable</w:t>
      </w:r>
    </w:p>
    <w:p>
      <w:pPr>
        <w:spacing w:after="0" w:line="200" w:lineRule="exact"/>
        <w:rPr>
          <w:sz w:val="20"/>
          <w:szCs w:val="20"/>
          <w:color w:val="auto"/>
        </w:rPr>
      </w:pPr>
    </w:p>
    <w:p>
      <w:pPr>
        <w:sectPr>
          <w:pgSz w:w="11900" w:h="16838" w:orient="portrait"/>
          <w:cols w:equalWidth="0" w:num="2">
            <w:col w:w="3164" w:space="720"/>
            <w:col w:w="6880"/>
          </w:cols>
          <w:pgMar w:left="896" w:top="976" w:right="239" w:bottom="1440" w:gutter="0" w:footer="0" w:header="0"/>
          <w:type w:val="continuous"/>
        </w:sectPr>
      </w:pPr>
    </w:p>
    <w:p>
      <w:pPr>
        <w:spacing w:after="0" w:line="8" w:lineRule="exact"/>
        <w:rPr>
          <w:sz w:val="20"/>
          <w:szCs w:val="20"/>
          <w:color w:val="auto"/>
        </w:rPr>
      </w:pPr>
    </w:p>
    <w:p>
      <w:pPr>
        <w:ind w:left="1304"/>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jc w:val="both"/>
        <w:spacing w:after="0" w:line="273" w:lineRule="auto"/>
        <w:rPr>
          <w:sz w:val="20"/>
          <w:szCs w:val="20"/>
          <w:color w:val="auto"/>
        </w:rPr>
      </w:pPr>
      <w:r>
        <w:rPr>
          <w:rFonts w:ascii="Arial" w:cs="Arial" w:eastAsia="Arial" w:hAnsi="Arial"/>
          <w:sz w:val="17"/>
          <w:szCs w:val="17"/>
          <w:color w:val="auto"/>
        </w:rPr>
        <w:t>If Share Termination Alternative is applicable, the provisions of Sections 9.8, 9.9, 9.11 and 9.12 (as modified above) of the Equity Definitions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the Share Termination Alternative is applicable to the Transaction.</w:t>
      </w:r>
    </w:p>
    <w:p>
      <w:pPr>
        <w:spacing w:after="0" w:line="138" w:lineRule="exact"/>
        <w:rPr>
          <w:sz w:val="20"/>
          <w:szCs w:val="20"/>
          <w:color w:val="auto"/>
        </w:rPr>
      </w:pPr>
    </w:p>
    <w:p>
      <w:pPr>
        <w:sectPr>
          <w:pgSz w:w="11900" w:h="16838" w:orient="portrait"/>
          <w:cols w:equalWidth="0" w:num="2">
            <w:col w:w="3344" w:space="540"/>
            <w:col w:w="6880"/>
          </w:cols>
          <w:pgMar w:left="896" w:top="976" w:right="239" w:bottom="1440" w:gutter="0" w:footer="0" w:header="0"/>
          <w:type w:val="continuous"/>
        </w:sectPr>
      </w:pPr>
    </w:p>
    <w:p>
      <w:pPr>
        <w:jc w:val="both"/>
        <w:ind w:left="644" w:hanging="644"/>
        <w:spacing w:after="0" w:line="285" w:lineRule="auto"/>
        <w:tabs>
          <w:tab w:leader="none" w:pos="644" w:val="left"/>
        </w:tabs>
        <w:numPr>
          <w:ilvl w:val="0"/>
          <w:numId w:val="202"/>
        </w:numPr>
        <w:rPr>
          <w:rFonts w:ascii="Arial" w:cs="Arial" w:eastAsia="Arial" w:hAnsi="Arial"/>
          <w:sz w:val="16"/>
          <w:szCs w:val="16"/>
          <w:color w:val="auto"/>
        </w:rPr>
      </w:pPr>
      <w:r>
        <w:rPr>
          <w:rFonts w:ascii="Arial" w:cs="Arial" w:eastAsia="Arial" w:hAnsi="Arial"/>
          <w:sz w:val="16"/>
          <w:szCs w:val="16"/>
          <w:i w:val="1"/>
          <w:iCs w:val="1"/>
          <w:u w:val="single" w:color="auto"/>
          <w:color w:val="auto"/>
        </w:rPr>
        <w:t>Registration/Private Placement Procedures</w:t>
      </w:r>
      <w:r>
        <w:rPr>
          <w:rFonts w:ascii="Arial" w:cs="Arial" w:eastAsia="Arial" w:hAnsi="Arial"/>
          <w:sz w:val="16"/>
          <w:szCs w:val="16"/>
          <w:color w:val="auto"/>
        </w:rPr>
        <w:t>. If, in the reasonable determination of Dealer, based on the advice of counsel, following any</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Shares or Share Termination Delivery Property to Dealer hereunder, such Shares or Share Termination Delivery Property would be in the hands of Dealer subject to any applicable restrictions with respect to any registration or qualification requirement or prospectus delivery requirement for such Shares or Share Termination Delivery Property pursuant to any applicable federal or state securities law (including, without limitation, any such requirement arising under Section 5 of the Securities Act as a result of such Shares or Share Termination Delivery Property being “restricted securities”, as such term is defined in Rule 144 under the Securities Act, or as a result of the sale of such Shares or Share Termination Delivery Property being subject to paragraph (c) of Rule 145 under the Securities Act) (such Shares or Share Termination Delivery Property, “</w:t>
      </w:r>
      <w:r>
        <w:rPr>
          <w:rFonts w:ascii="Arial" w:cs="Arial" w:eastAsia="Arial" w:hAnsi="Arial"/>
          <w:sz w:val="16"/>
          <w:szCs w:val="16"/>
          <w:b w:val="1"/>
          <w:bCs w:val="1"/>
          <w:color w:val="auto"/>
        </w:rPr>
        <w:t>Restricted Shares</w:t>
      </w:r>
      <w:r>
        <w:rPr>
          <w:rFonts w:ascii="Arial" w:cs="Arial" w:eastAsia="Arial" w:hAnsi="Arial"/>
          <w:sz w:val="16"/>
          <w:szCs w:val="16"/>
          <w:color w:val="auto"/>
        </w:rPr>
        <w:t>”), then delivery of such Restricted Shares shall be effected pursuant to either clause (i) or (ii) below at the election of Company, unless Dealer waives the need for registration/private placement procedures set forth in (i) and (ii) below. Notwithstanding the foregoing, solely in respect of any Daily Number of Warrants exercised or deemed exercised on any Expiration Date, if Dealer notifies Company of the need for registration or private placement procedures set forth in this Section 9(k), then Company shall elect, prior to the first Settlement Date for the first applicable Expiration Date, a Private Placement Settlement or Registration Settlement for all deliveries of Restricted Shares for all such Expiration Dates which election shall be applicable to all remaining Settlement Dates for such Warrants and the procedures in clause (i) or clause (ii) below shall apply for all such delivered Restricted Shares on an aggregate basis commencing after the final Settlement Date for such Warrants. The Calculation Agent shall make reasonable adjustments to settlement terms and provisions under this Confirmation to reflect a single Private Placement or Registration Settlement for such aggregate Restricted Shares delivered hereunder. For the avoidance of doubt, these adjustments will only be commercially reasonable in nature (such as to consider, by way of illustration only and not in any way limitation, changes in volatility, expected dividends, stock loan rate or liquidity relevant to the Shares and the ability to maintain a commercially reasonable hedge position in the Shares) and will not impact Company’s unilateral right to settle in Shares.</w:t>
      </w:r>
    </w:p>
    <w:p>
      <w:pPr>
        <w:spacing w:after="0" w:line="200" w:lineRule="exact"/>
        <w:rPr>
          <w:sz w:val="20"/>
          <w:szCs w:val="20"/>
          <w:color w:val="auto"/>
        </w:rPr>
      </w:pPr>
    </w:p>
    <w:p>
      <w:pPr>
        <w:spacing w:after="0" w:line="343" w:lineRule="exact"/>
        <w:rPr>
          <w:sz w:val="20"/>
          <w:szCs w:val="20"/>
          <w:color w:val="auto"/>
        </w:rPr>
      </w:pPr>
    </w:p>
    <w:p>
      <w:pPr>
        <w:ind w:left="4964"/>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764"/>
          </w:cols>
          <w:pgMar w:left="896" w:top="976" w:right="239" w:bottom="1440" w:gutter="0" w:footer="0" w:header="0"/>
          <w:type w:val="continuous"/>
        </w:sectPr>
      </w:pPr>
    </w:p>
    <w:bookmarkStart w:id="230" w:name="page231"/>
    <w:bookmarkEnd w:id="230"/>
    <w:p>
      <w:pPr>
        <w:jc w:val="both"/>
        <w:ind w:left="760" w:hanging="655"/>
        <w:spacing w:after="0" w:line="287" w:lineRule="auto"/>
        <w:tabs>
          <w:tab w:leader="none" w:pos="76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If Company elects to settle the Transaction pursuant to this clause (i) (a “</w:t>
      </w:r>
      <w:r>
        <w:rPr>
          <w:rFonts w:ascii="Arial" w:cs="Arial" w:eastAsia="Arial" w:hAnsi="Arial"/>
          <w:sz w:val="16"/>
          <w:szCs w:val="16"/>
          <w:b w:val="1"/>
          <w:bCs w:val="1"/>
          <w:color w:val="auto"/>
        </w:rPr>
        <w:t>Private Placement Settlement</w:t>
      </w:r>
      <w:r>
        <w:rPr>
          <w:rFonts w:ascii="Arial" w:cs="Arial" w:eastAsia="Arial" w:hAnsi="Arial"/>
          <w:sz w:val="16"/>
          <w:szCs w:val="16"/>
          <w:color w:val="auto"/>
        </w:rPr>
        <w:t xml:space="preserve">”), then delivery of Restricted Shares by Company shall be effected in customary private placement procedures with respect to such Restricted Shares reasonably acceptable to Dealer;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Company may not elect a Private Placement Settlement if, on the date of its election, it has taken, or caused to be taken, any action that would make unavailable either the exemption pursuant to Section 4(a)</w:t>
      </w:r>
    </w:p>
    <w:p>
      <w:pPr>
        <w:spacing w:after="0" w:line="2" w:lineRule="exact"/>
        <w:rPr>
          <w:rFonts w:ascii="Arial" w:cs="Arial" w:eastAsia="Arial" w:hAnsi="Arial"/>
          <w:sz w:val="16"/>
          <w:szCs w:val="16"/>
          <w:color w:val="auto"/>
        </w:rPr>
      </w:pPr>
    </w:p>
    <w:p>
      <w:pPr>
        <w:jc w:val="both"/>
        <w:ind w:left="760"/>
        <w:spacing w:after="0" w:line="284" w:lineRule="auto"/>
        <w:rPr>
          <w:rFonts w:ascii="Arial" w:cs="Arial" w:eastAsia="Arial" w:hAnsi="Arial"/>
          <w:sz w:val="16"/>
          <w:szCs w:val="16"/>
          <w:color w:val="auto"/>
        </w:rPr>
      </w:pPr>
      <w:r>
        <w:rPr>
          <w:rFonts w:ascii="Arial" w:cs="Arial" w:eastAsia="Arial" w:hAnsi="Arial"/>
          <w:sz w:val="16"/>
          <w:szCs w:val="16"/>
          <w:color w:val="auto"/>
        </w:rPr>
        <w:t>(2) of the Securities Act for the sale by Company to Dealer (or any affiliate designated by Dealer) of the Restricted Shares or the exemption pursuant to Section 4(a)(1) or Section 4(a)(3) of the Securities Act for resales of the Restricted Shares by Dealer (or any such affiliate of Dealer). The Private Placement Settlement of such Restricted Shares shall include customary representations, covenants, blue sky and other governmental filings and/or registrations, indemnities to Dealer, due diligence rights (for Dealer or any designated buyer of the Restricted Shares by Dealer), and obligations to use best efforts to obtain opinions and certificates, and such other documentation, in each case as is customary for private placement agreements of similar size, all reasonably acceptable to Dealer. In the case of a Private Placement Settlement, Dealer shall determine the appropriate discount to the Share Termination Unit Price (in the case of settlement of Share Termination Delivery Units pursuant to Section 9(j) above) or premium to any Settlement Price (in the case of settlement of Shares pursuant to Section 2 above) applicable to such Restricted Shares in a commercially reasonable manner and appropriately adjust the number of such Restricted Shares to be delivered to Dealer hereunder, which discount or premium, as the case may be, shall only take into account the illiquidity resulting from the fact that the Restricted Shares will not be registered for resale and any commercially reasonable fees and expenses of Dealer (and any affiliate thereof) in connection with such resale. Notwithstanding anything to the contrary in the Agreement or this Confirmation, the date of delivery of such Restricted Shares shall be the Exchange Business Day following notice by Dealer to Company of such applicable discount or premium, as the case may be, and the number of Restricted Shares to be delivered pursuant to this clause (i). For the avoidance of doubt, delivery of Restricted Shares shall be due as set forth in the previous sentence and not be due on the Share Termination Payment Date (in the case of settlement of Share Termination Delivery Units pursuant to Section 9(j) above) or on the Settlement Date for such Restricted Shares (in the case of settlement in Shares pursuant to Section 2 above).</w:t>
      </w:r>
    </w:p>
    <w:p>
      <w:pPr>
        <w:spacing w:after="0" w:line="127" w:lineRule="exact"/>
        <w:rPr>
          <w:rFonts w:ascii="Arial" w:cs="Arial" w:eastAsia="Arial" w:hAnsi="Arial"/>
          <w:sz w:val="16"/>
          <w:szCs w:val="16"/>
          <w:color w:val="auto"/>
        </w:rPr>
      </w:pPr>
    </w:p>
    <w:p>
      <w:pPr>
        <w:jc w:val="both"/>
        <w:ind w:left="760" w:hanging="655"/>
        <w:spacing w:after="0" w:line="285" w:lineRule="auto"/>
        <w:tabs>
          <w:tab w:leader="none" w:pos="76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If Company elects to settle the Transaction pursuant to this clause (ii) (a “</w:t>
      </w:r>
      <w:r>
        <w:rPr>
          <w:rFonts w:ascii="Arial" w:cs="Arial" w:eastAsia="Arial" w:hAnsi="Arial"/>
          <w:sz w:val="16"/>
          <w:szCs w:val="16"/>
          <w:b w:val="1"/>
          <w:bCs w:val="1"/>
          <w:color w:val="auto"/>
        </w:rPr>
        <w:t>Registration Settlement</w:t>
      </w:r>
      <w:r>
        <w:rPr>
          <w:rFonts w:ascii="Arial" w:cs="Arial" w:eastAsia="Arial" w:hAnsi="Arial"/>
          <w:sz w:val="16"/>
          <w:szCs w:val="16"/>
          <w:color w:val="auto"/>
        </w:rPr>
        <w:t>”), then Company shall promptly (but in any event no later than the beginning of the Resale Period) file and use its reasonable best efforts to make effective under the Securities Act a registration statement or supplement or amend an outstanding registration statement in form and substance reasonably satisfactory to Dealer, to cover the resale of such Restricted Shares in accordance with customary resale registration procedures, including covenants, conditions, representations, commercially reasonable underwriting discounts (if applicable), commercially reasonable commissions (if applicable), indemnities due diligence rights, opinions and certificates, and such other documentation as is customary for equity resale underwriting agreements for companies of similar size, all reasonably acceptable to Dealer. If Dealer, in its sole commercially reasonable discretion, is not satisfied with such procedures and documentation Private Placement Settlement shall apply. If Dealer is satisfied with such procedures and documentation, it shall sell the Restricted Shares pursuant to such registration statement during a period (the “</w:t>
      </w:r>
      <w:r>
        <w:rPr>
          <w:rFonts w:ascii="Arial" w:cs="Arial" w:eastAsia="Arial" w:hAnsi="Arial"/>
          <w:sz w:val="16"/>
          <w:szCs w:val="16"/>
          <w:b w:val="1"/>
          <w:bCs w:val="1"/>
          <w:color w:val="auto"/>
        </w:rPr>
        <w:t>Resale Period</w:t>
      </w:r>
      <w:r>
        <w:rPr>
          <w:rFonts w:ascii="Arial" w:cs="Arial" w:eastAsia="Arial" w:hAnsi="Arial"/>
          <w:sz w:val="16"/>
          <w:szCs w:val="16"/>
          <w:color w:val="auto"/>
        </w:rPr>
        <w:t>”) commencing on the Exchange Business Day following delivery of such Restricted Shares (which, for the avoidance of doubt, shall be (x) the Share Termination Payment Date in case of settlement in Share Termination Delivery Units pursuant to Section 9(j) above or (y) the Settlement Date in respect of the final Expiration Date for all Daily Number of Warrants) and ending on the Exchange Business Day on which Dealer completes the sale of all Restricted Shares in a commercially reasonable manner over a commercially reasonable period of time to sell such Restricted Shares or, in the case of settlement of Share Termination Delivery Units, a sufficient number of Restricted Shares so that the realized net proceeds of such sales equals or exceeds the Payment Obligation (as defined above). If the Payment Obligation exceeds the realized net proceeds from such resale, Company shall transfer to Dealer by the open of</w:t>
      </w:r>
    </w:p>
    <w:p>
      <w:pPr>
        <w:spacing w:after="0" w:line="200" w:lineRule="exact"/>
        <w:rPr>
          <w:sz w:val="20"/>
          <w:szCs w:val="20"/>
          <w:color w:val="auto"/>
        </w:rPr>
      </w:pPr>
    </w:p>
    <w:p>
      <w:pPr>
        <w:spacing w:after="0" w:line="354"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220"/>
          </w:cols>
          <w:pgMar w:left="1440" w:top="972" w:right="239" w:bottom="1440" w:gutter="0" w:footer="0" w:header="0"/>
        </w:sectPr>
      </w:pPr>
    </w:p>
    <w:bookmarkStart w:id="231" w:name="page232"/>
    <w:bookmarkEnd w:id="231"/>
    <w:p>
      <w:pPr>
        <w:jc w:val="both"/>
        <w:ind w:left="1960"/>
        <w:spacing w:after="0" w:line="322" w:lineRule="auto"/>
        <w:rPr>
          <w:sz w:val="20"/>
          <w:szCs w:val="20"/>
          <w:color w:val="auto"/>
        </w:rPr>
      </w:pPr>
      <w:r>
        <w:rPr>
          <w:rFonts w:ascii="Arial" w:cs="Arial" w:eastAsia="Arial" w:hAnsi="Arial"/>
          <w:sz w:val="17"/>
          <w:szCs w:val="17"/>
          <w:color w:val="auto"/>
        </w:rPr>
        <w:t>the regular trading session on the Exchange on the Exchange Business Day immediately following such resale the amount of such excess (the “</w:t>
      </w:r>
      <w:r>
        <w:rPr>
          <w:rFonts w:ascii="Arial" w:cs="Arial" w:eastAsia="Arial" w:hAnsi="Arial"/>
          <w:sz w:val="17"/>
          <w:szCs w:val="17"/>
          <w:b w:val="1"/>
          <w:bCs w:val="1"/>
          <w:color w:val="auto"/>
        </w:rPr>
        <w:t>Additional Amount</w:t>
      </w:r>
      <w:r>
        <w:rPr>
          <w:rFonts w:ascii="Arial" w:cs="Arial" w:eastAsia="Arial" w:hAnsi="Arial"/>
          <w:sz w:val="17"/>
          <w:szCs w:val="17"/>
          <w:color w:val="auto"/>
        </w:rPr>
        <w:t>”) in cash or in a number of Shares (“</w:t>
      </w:r>
      <w:r>
        <w:rPr>
          <w:rFonts w:ascii="Arial" w:cs="Arial" w:eastAsia="Arial" w:hAnsi="Arial"/>
          <w:sz w:val="17"/>
          <w:szCs w:val="17"/>
          <w:b w:val="1"/>
          <w:bCs w:val="1"/>
          <w:color w:val="auto"/>
        </w:rPr>
        <w:t>Make-whole Shares</w:t>
      </w:r>
      <w:r>
        <w:rPr>
          <w:rFonts w:ascii="Arial" w:cs="Arial" w:eastAsia="Arial" w:hAnsi="Arial"/>
          <w:sz w:val="17"/>
          <w:szCs w:val="17"/>
          <w:color w:val="auto"/>
        </w:rPr>
        <w:t>”) in an amount that, based on the Settlement Price on such day (as if such day was the “Valuation Date” for purposes of computing such Settlement Price), has a dollar value equal to the Additional Amount. The Resale Period shall continue to enable the sale of the Make-whole Shares. If Company elects to pay the Additional Amount in Shares, the requirements and provisions for Registration Settlement shall apply. This provision shall be applied successively until the Additional Amount is equal to zero. In no event shall Company deliver a number of Restricted Shares greater than the Maximum Number of Shares.</w:t>
      </w:r>
    </w:p>
    <w:p>
      <w:pPr>
        <w:spacing w:after="0" w:line="109" w:lineRule="exact"/>
        <w:rPr>
          <w:sz w:val="20"/>
          <w:szCs w:val="20"/>
          <w:color w:val="auto"/>
        </w:rPr>
      </w:pPr>
    </w:p>
    <w:p>
      <w:pPr>
        <w:jc w:val="both"/>
        <w:ind w:left="1960" w:hanging="655"/>
        <w:spacing w:after="0" w:line="286" w:lineRule="auto"/>
        <w:tabs>
          <w:tab w:leader="none" w:pos="196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Without limiting the generality of the foregoing, Company agrees that (A) any Restricted Shares delivered to Dealer may be transferred by and among Dealer and its affiliates and Company shall effect such transfer upon request of Dealer without any further action by Dealer and (B) after the period of 6 months from the Trade Date (or 1 year from the Trade Date if, at such time, informational requirements of Rule 144(c) under the Securities Act are not satisfied with respect to Company) has elapsed in respect of any Restricted Shares delivered to Dealer, Company shall upon request of Dealer promptly remove, or cause the transfer agent for such Restricted Shares to remove, any legends referring to any such restrictions or requirements from such Restricted Shares upon request by Dealer (or such affiliate of Dealer) to Company or such transfer agent, without any requirement for the delivery of any certificate, consent, agreement, opinion of counsel, notice or any other document, any transfer tax stamps or payment of any other amount or any other action by Dealer (or such affiliate of Dealer). Notwithstanding anything to the contrary herein, to the extent the provisions of Rule 144 of the Securities Act or any successor rule are amended, or the applicable interpretation thereof by the Securities and Exchange Commission or any court change after the Trade Date, the agreements of Company herein shall be deemed modified to the extent necessary, in the opinion of outside counsel of Company, to comply with Rule 144 of the Securities Act, as in effect at the time of delivery of the relevant Shares or Share Termination Delivery Property.</w:t>
      </w:r>
    </w:p>
    <w:p>
      <w:pPr>
        <w:spacing w:after="0" w:line="134" w:lineRule="exact"/>
        <w:rPr>
          <w:rFonts w:ascii="Arial" w:cs="Arial" w:eastAsia="Arial" w:hAnsi="Arial"/>
          <w:sz w:val="16"/>
          <w:szCs w:val="16"/>
          <w:color w:val="auto"/>
        </w:rPr>
      </w:pPr>
    </w:p>
    <w:p>
      <w:pPr>
        <w:jc w:val="both"/>
        <w:ind w:left="1960" w:hanging="655"/>
        <w:spacing w:after="0" w:line="264" w:lineRule="auto"/>
        <w:tabs>
          <w:tab w:leader="none" w:pos="196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If the Private Placement Settlement or the Registration Settlement shall not be effected as set forth in clauses (i) or (ii), as applicable, then failure to effect such Private Placement Settlement or such Registration Settlement shall constitute an Event of Default with respect to which Company shall be the Defaulting Party.</w:t>
      </w:r>
    </w:p>
    <w:p>
      <w:pPr>
        <w:spacing w:after="0" w:line="140" w:lineRule="exact"/>
        <w:rPr>
          <w:rFonts w:ascii="Arial" w:cs="Arial" w:eastAsia="Arial" w:hAnsi="Arial"/>
          <w:sz w:val="18"/>
          <w:szCs w:val="18"/>
          <w:color w:val="auto"/>
        </w:rPr>
      </w:pPr>
    </w:p>
    <w:p>
      <w:pPr>
        <w:jc w:val="both"/>
        <w:ind w:left="1300" w:hanging="644"/>
        <w:spacing w:after="0" w:line="269" w:lineRule="auto"/>
        <w:tabs>
          <w:tab w:leader="none" w:pos="1300" w:val="left"/>
        </w:tabs>
        <w:numPr>
          <w:ilvl w:val="0"/>
          <w:numId w:val="205"/>
        </w:numPr>
        <w:rPr>
          <w:rFonts w:ascii="Arial" w:cs="Arial" w:eastAsia="Arial" w:hAnsi="Arial"/>
          <w:sz w:val="16"/>
          <w:szCs w:val="16"/>
          <w:color w:val="auto"/>
        </w:rPr>
      </w:pPr>
      <w:r>
        <w:rPr>
          <w:rFonts w:ascii="Arial" w:cs="Arial" w:eastAsia="Arial" w:hAnsi="Arial"/>
          <w:sz w:val="16"/>
          <w:szCs w:val="16"/>
          <w:i w:val="1"/>
          <w:iCs w:val="1"/>
          <w:u w:val="single" w:color="auto"/>
          <w:color w:val="auto"/>
        </w:rPr>
        <w:t>Limit on Beneficial Ownership</w:t>
      </w:r>
      <w:r>
        <w:rPr>
          <w:rFonts w:ascii="Arial" w:cs="Arial" w:eastAsia="Arial" w:hAnsi="Arial"/>
          <w:sz w:val="16"/>
          <w:szCs w:val="16"/>
          <w:color w:val="auto"/>
        </w:rPr>
        <w:t>. Notwithstanding any other provisions hereof, Dealer may not exercise any Warrant hereunder or be entitled</w:t>
      </w:r>
      <w:r>
        <w:rPr>
          <w:rFonts w:ascii="Arial" w:cs="Arial" w:eastAsia="Arial" w:hAnsi="Arial"/>
          <w:sz w:val="16"/>
          <w:szCs w:val="16"/>
          <w:i w:val="1"/>
          <w:iCs w:val="1"/>
          <w:color w:val="auto"/>
        </w:rPr>
        <w:t xml:space="preserve"> </w:t>
      </w:r>
      <w:r>
        <w:rPr>
          <w:rFonts w:ascii="Arial" w:cs="Arial" w:eastAsia="Arial" w:hAnsi="Arial"/>
          <w:sz w:val="16"/>
          <w:szCs w:val="16"/>
          <w:color w:val="auto"/>
        </w:rPr>
        <w:t>to take delivery of any Shares deliverable hereunder, and Automatic Exercise shall not apply with respect to any Warrant hereunder, to the extent (but only to the extent) that, after such receipt of any Shares upon the exercise of such Warrant or otherwise hereunder [and after taking into account any Shares deliverable to Dealer under the letter agreement dated September [__], 2017 between Dealer and Company regarding Base Warrants [(the “</w:t>
      </w:r>
      <w:r>
        <w:rPr>
          <w:rFonts w:ascii="Arial" w:cs="Arial" w:eastAsia="Arial" w:hAnsi="Arial"/>
          <w:sz w:val="16"/>
          <w:szCs w:val="16"/>
          <w:b w:val="1"/>
          <w:bCs w:val="1"/>
          <w:color w:val="auto"/>
        </w:rPr>
        <w:t>Base Warrant Confirmation</w:t>
      </w:r>
      <w:r>
        <w:rPr>
          <w:rFonts w:ascii="Arial" w:cs="Arial" w:eastAsia="Arial" w:hAnsi="Arial"/>
          <w:sz w:val="16"/>
          <w:szCs w:val="16"/>
          <w:color w:val="auto"/>
        </w:rPr>
        <w:t>”)]</w:t>
      </w:r>
      <w:r>
        <w:rPr>
          <w:rFonts w:ascii="Arial" w:cs="Arial" w:eastAsia="Arial" w:hAnsi="Arial"/>
          <w:sz w:val="22"/>
          <w:szCs w:val="22"/>
          <w:color w:val="auto"/>
          <w:vertAlign w:val="superscript"/>
        </w:rPr>
        <w:t>5</w:t>
      </w:r>
      <w:r>
        <w:rPr>
          <w:rFonts w:ascii="Arial" w:cs="Arial" w:eastAsia="Arial" w:hAnsi="Arial"/>
          <w:sz w:val="16"/>
          <w:szCs w:val="16"/>
          <w:color w:val="auto"/>
        </w:rPr>
        <w:t>, (i) the Section 16 Percentage would exceed 8.5%, or (ii) the Share Amount would exceed the Applicable Share Limit. Any purported delivery hereunder shall be void and have no effect to the extent (but only to the extent) that, after such delivery [and after taking into account any Shares deliverable to Dealer under the Base Warrant Confirmation]</w:t>
      </w:r>
      <w:r>
        <w:rPr>
          <w:rFonts w:ascii="Arial" w:cs="Arial" w:eastAsia="Arial" w:hAnsi="Arial"/>
          <w:sz w:val="22"/>
          <w:szCs w:val="22"/>
          <w:color w:val="auto"/>
          <w:vertAlign w:val="superscript"/>
        </w:rPr>
        <w:t>6</w:t>
      </w:r>
      <w:r>
        <w:rPr>
          <w:rFonts w:ascii="Arial" w:cs="Arial" w:eastAsia="Arial" w:hAnsi="Arial"/>
          <w:sz w:val="16"/>
          <w:szCs w:val="16"/>
          <w:color w:val="auto"/>
        </w:rPr>
        <w:t>, (i) the Section 16 Percentage would exceed 8.5%, or (ii) the Share Amount would exceed the Applicable Share Limit. If any delivery owed to Dealer hereunder is not made, in whole or in part, as a result of this provision, Company’s obligation to make such delivery shall not be extinguished and Company shall make such delivery as promptly as practicable after, but in no event later than one Business Day after, Dealer gives notice to Company that, after such delivery, (i) the Section 16 Percentage would not exceed 8.5%, and (ii) the Share Amount would not exceed the Applicable Share Limit. For the avoidance of</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w:t>
      </w:r>
    </w:p>
    <w:p>
      <w:pPr>
        <w:spacing w:after="0" w:line="44" w:lineRule="exact"/>
        <w:rPr>
          <w:sz w:val="20"/>
          <w:szCs w:val="20"/>
          <w:color w:val="auto"/>
        </w:rPr>
      </w:pPr>
    </w:p>
    <w:p>
      <w:pPr>
        <w:ind w:left="80" w:hanging="72"/>
        <w:spacing w:after="0"/>
        <w:tabs>
          <w:tab w:leader="none" w:pos="80" w:val="left"/>
        </w:tabs>
        <w:numPr>
          <w:ilvl w:val="0"/>
          <w:numId w:val="206"/>
        </w:numPr>
        <w:rPr>
          <w:rFonts w:ascii="Arial" w:cs="Arial" w:eastAsia="Arial" w:hAnsi="Arial"/>
          <w:sz w:val="19"/>
          <w:szCs w:val="19"/>
          <w:color w:val="auto"/>
          <w:vertAlign w:val="superscript"/>
        </w:rPr>
      </w:pPr>
      <w:r>
        <w:rPr>
          <w:rFonts w:ascii="Arial" w:cs="Arial" w:eastAsia="Arial" w:hAnsi="Arial"/>
          <w:sz w:val="15"/>
          <w:szCs w:val="15"/>
          <w:color w:val="auto"/>
        </w:rPr>
        <w:t>Include in Additional Warrant Confirmation.</w:t>
      </w:r>
    </w:p>
    <w:p>
      <w:pPr>
        <w:spacing w:after="0"/>
        <w:rPr>
          <w:rFonts w:ascii="Arial" w:cs="Arial" w:eastAsia="Arial" w:hAnsi="Arial"/>
          <w:sz w:val="19"/>
          <w:szCs w:val="19"/>
          <w:color w:val="auto"/>
          <w:vertAlign w:val="superscript"/>
        </w:rPr>
      </w:pPr>
      <w:r>
        <w:rPr>
          <w:rFonts w:ascii="Arial" w:cs="Arial" w:eastAsia="Arial" w:hAnsi="Arial"/>
          <w:sz w:val="21"/>
          <w:szCs w:val="21"/>
          <w:color w:val="auto"/>
          <w:vertAlign w:val="superscript"/>
        </w:rPr>
        <w:t>6</w:t>
      </w:r>
      <w:r>
        <w:rPr>
          <w:rFonts w:ascii="Arial" w:cs="Arial" w:eastAsia="Arial" w:hAnsi="Arial"/>
          <w:sz w:val="16"/>
          <w:szCs w:val="16"/>
          <w:color w:val="auto"/>
        </w:rPr>
        <w:t xml:space="preserve"> Include in Additional Warrant Confirmation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1003" w:right="239" w:bottom="1440" w:gutter="0" w:footer="0" w:header="0"/>
        </w:sectPr>
      </w:pPr>
    </w:p>
    <w:bookmarkStart w:id="232" w:name="page233"/>
    <w:bookmarkEnd w:id="232"/>
    <w:p>
      <w:pPr>
        <w:ind w:left="644"/>
        <w:spacing w:after="0"/>
        <w:rPr>
          <w:sz w:val="20"/>
          <w:szCs w:val="20"/>
          <w:color w:val="auto"/>
        </w:rPr>
      </w:pPr>
      <w:r>
        <w:rPr>
          <w:rFonts w:ascii="Arial" w:cs="Arial" w:eastAsia="Arial" w:hAnsi="Arial"/>
          <w:sz w:val="18"/>
          <w:szCs w:val="18"/>
          <w:color w:val="auto"/>
        </w:rPr>
        <w:t>doubt, in no case would the Company be obligated to pay such additional amount in cash.</w:t>
      </w:r>
    </w:p>
    <w:p>
      <w:pPr>
        <w:spacing w:after="0" w:line="185" w:lineRule="exact"/>
        <w:rPr>
          <w:sz w:val="20"/>
          <w:szCs w:val="20"/>
          <w:color w:val="auto"/>
        </w:rPr>
      </w:pPr>
    </w:p>
    <w:p>
      <w:pPr>
        <w:jc w:val="both"/>
        <w:ind w:left="644" w:hanging="644"/>
        <w:spacing w:after="0" w:line="312" w:lineRule="auto"/>
        <w:tabs>
          <w:tab w:leader="none" w:pos="644" w:val="left"/>
        </w:tabs>
        <w:numPr>
          <w:ilvl w:val="0"/>
          <w:numId w:val="207"/>
        </w:numPr>
        <w:rPr>
          <w:rFonts w:ascii="Arial" w:cs="Arial" w:eastAsia="Arial" w:hAnsi="Arial"/>
          <w:sz w:val="16"/>
          <w:szCs w:val="16"/>
          <w:color w:val="auto"/>
        </w:rPr>
      </w:pPr>
      <w:r>
        <w:rPr>
          <w:rFonts w:ascii="Arial" w:cs="Arial" w:eastAsia="Arial" w:hAnsi="Arial"/>
          <w:sz w:val="16"/>
          <w:szCs w:val="16"/>
          <w:i w:val="1"/>
          <w:iCs w:val="1"/>
          <w:u w:val="single" w:color="auto"/>
          <w:color w:val="auto"/>
        </w:rPr>
        <w:t>Share Deliveries</w:t>
      </w:r>
      <w:r>
        <w:rPr>
          <w:rFonts w:ascii="Arial" w:cs="Arial" w:eastAsia="Arial" w:hAnsi="Arial"/>
          <w:sz w:val="16"/>
          <w:szCs w:val="16"/>
          <w:color w:val="auto"/>
        </w:rPr>
        <w:t>. Notwithstanding anything to the contrary herein, Company agrees that any delivery of Shares or Share Termination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Property shall be effected by book-entry transfer through the facilities of DTC, or any successor depositary, if at the time of delivery, such class of Shares or class of Share Termination Delivery Property is in book-entry form at DTC or such successor depositary.</w:t>
      </w:r>
    </w:p>
    <w:p>
      <w:pPr>
        <w:spacing w:after="0" w:line="106" w:lineRule="exact"/>
        <w:rPr>
          <w:rFonts w:ascii="Arial" w:cs="Arial" w:eastAsia="Arial" w:hAnsi="Arial"/>
          <w:sz w:val="16"/>
          <w:szCs w:val="16"/>
          <w:color w:val="auto"/>
        </w:rPr>
      </w:pPr>
    </w:p>
    <w:p>
      <w:pPr>
        <w:jc w:val="both"/>
        <w:ind w:left="644" w:hanging="644"/>
        <w:spacing w:after="0" w:line="257" w:lineRule="auto"/>
        <w:tabs>
          <w:tab w:leader="none" w:pos="644" w:val="left"/>
        </w:tabs>
        <w:numPr>
          <w:ilvl w:val="0"/>
          <w:numId w:val="207"/>
        </w:numPr>
        <w:rPr>
          <w:rFonts w:ascii="Arial" w:cs="Arial" w:eastAsia="Arial" w:hAnsi="Arial"/>
          <w:sz w:val="18"/>
          <w:szCs w:val="18"/>
          <w:color w:val="auto"/>
        </w:rPr>
      </w:pPr>
      <w:r>
        <w:rPr>
          <w:rFonts w:ascii="Arial" w:cs="Arial" w:eastAsia="Arial" w:hAnsi="Arial"/>
          <w:sz w:val="18"/>
          <w:szCs w:val="18"/>
          <w:i w:val="1"/>
          <w:iCs w:val="1"/>
          <w:u w:val="single" w:color="auto"/>
          <w:color w:val="auto"/>
        </w:rPr>
        <w:t>Waiver of Jury Trial.</w:t>
      </w:r>
      <w:r>
        <w:rPr>
          <w:rFonts w:ascii="Arial" w:cs="Arial" w:eastAsia="Arial" w:hAnsi="Arial"/>
          <w:sz w:val="18"/>
          <w:szCs w:val="18"/>
          <w:i w:val="1"/>
          <w:iCs w:val="1"/>
          <w:color w:val="auto"/>
        </w:rPr>
        <w:t xml:space="preserve"> </w:t>
      </w:r>
      <w:r>
        <w:rPr>
          <w:rFonts w:ascii="Arial" w:cs="Arial" w:eastAsia="Arial" w:hAnsi="Arial"/>
          <w:sz w:val="18"/>
          <w:szCs w:val="18"/>
          <w:color w:val="auto"/>
        </w:rPr>
        <w:t>Each party waives, to the fullest extent permitted by applicable law, any right it may have to a trial by jury in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of any suit, action or proceeding relating to the Transaction. Each party (i) certifies that no representative, agent or attorney of the other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147"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207"/>
        </w:numPr>
        <w:rPr>
          <w:rFonts w:ascii="Arial" w:cs="Arial" w:eastAsia="Arial" w:hAnsi="Arial"/>
          <w:sz w:val="18"/>
          <w:szCs w:val="18"/>
          <w:color w:val="auto"/>
        </w:rPr>
      </w:pPr>
      <w:r>
        <w:rPr>
          <w:rFonts w:ascii="Arial" w:cs="Arial" w:eastAsia="Arial" w:hAnsi="Arial"/>
          <w:sz w:val="18"/>
          <w:szCs w:val="18"/>
          <w:i w:val="1"/>
          <w:iCs w:val="1"/>
          <w:u w:val="single" w:color="auto"/>
          <w:color w:val="auto"/>
        </w:rPr>
        <w:t>Tax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from the date of commencement of discussions concerning the Transaction, Company and each of its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or other agents may disclose to any and all persons, without limitation of any kind, the tax treatment and tax structure of the Transaction and all materials of any kind (including opinions or other tax analyses) that are provided to Company relating to such tax treatment and tax structure.</w:t>
      </w:r>
    </w:p>
    <w:p>
      <w:pPr>
        <w:spacing w:after="0" w:line="146" w:lineRule="exact"/>
        <w:rPr>
          <w:rFonts w:ascii="Arial" w:cs="Arial" w:eastAsia="Arial" w:hAnsi="Arial"/>
          <w:sz w:val="18"/>
          <w:szCs w:val="18"/>
          <w:color w:val="auto"/>
        </w:rPr>
      </w:pPr>
    </w:p>
    <w:p>
      <w:pPr>
        <w:ind w:left="644" w:hanging="644"/>
        <w:spacing w:after="0"/>
        <w:tabs>
          <w:tab w:leader="none" w:pos="644" w:val="left"/>
        </w:tabs>
        <w:numPr>
          <w:ilvl w:val="0"/>
          <w:numId w:val="207"/>
        </w:numPr>
        <w:rPr>
          <w:rFonts w:ascii="Arial" w:cs="Arial" w:eastAsia="Arial" w:hAnsi="Arial"/>
          <w:sz w:val="18"/>
          <w:szCs w:val="18"/>
          <w:color w:val="auto"/>
        </w:rPr>
      </w:pPr>
      <w:r>
        <w:rPr>
          <w:rFonts w:ascii="Arial" w:cs="Arial" w:eastAsia="Arial" w:hAnsi="Arial"/>
          <w:sz w:val="18"/>
          <w:szCs w:val="18"/>
          <w:i w:val="1"/>
          <w:iCs w:val="1"/>
          <w:u w:val="single" w:color="auto"/>
          <w:color w:val="auto"/>
        </w:rPr>
        <w:t>Maximum Share Delivery</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1304" w:hanging="655"/>
        <w:spacing w:after="0" w:line="286" w:lineRule="auto"/>
        <w:tabs>
          <w:tab w:leader="none" w:pos="1304" w:val="left"/>
        </w:tabs>
        <w:numPr>
          <w:ilvl w:val="1"/>
          <w:numId w:val="207"/>
        </w:numPr>
        <w:rPr>
          <w:rFonts w:ascii="Arial" w:cs="Arial" w:eastAsia="Arial" w:hAnsi="Arial"/>
          <w:sz w:val="17"/>
          <w:szCs w:val="17"/>
          <w:color w:val="auto"/>
        </w:rPr>
      </w:pPr>
      <w:r>
        <w:rPr>
          <w:rFonts w:ascii="Arial" w:cs="Arial" w:eastAsia="Arial" w:hAnsi="Arial"/>
          <w:sz w:val="17"/>
          <w:szCs w:val="17"/>
          <w:color w:val="auto"/>
        </w:rPr>
        <w:t>Notwithstanding any other provision of this Confirmation, the Agreement or the Equity Definitions, in no event will Company at any time be required to deliver a number of Shares greater than [</w:t>
      </w:r>
      <w:r>
        <w:rPr>
          <w:rFonts w:ascii="Arial" w:cs="Arial" w:eastAsia="Arial" w:hAnsi="Arial"/>
          <w:sz w:val="17"/>
          <w:szCs w:val="17"/>
          <w:i w:val="1"/>
          <w:iCs w:val="1"/>
          <w:color w:val="auto"/>
        </w:rPr>
        <w:t>Insert Number Equal to Two times the Number of Shares on the</w:t>
      </w:r>
      <w:r>
        <w:rPr>
          <w:rFonts w:ascii="Arial" w:cs="Arial" w:eastAsia="Arial" w:hAnsi="Arial"/>
          <w:sz w:val="17"/>
          <w:szCs w:val="17"/>
          <w:color w:val="auto"/>
        </w:rPr>
        <w:t xml:space="preserve"> </w:t>
      </w:r>
      <w:r>
        <w:rPr>
          <w:rFonts w:ascii="Arial" w:cs="Arial" w:eastAsia="Arial" w:hAnsi="Arial"/>
          <w:sz w:val="17"/>
          <w:szCs w:val="17"/>
          <w:i w:val="1"/>
          <w:iCs w:val="1"/>
          <w:color w:val="auto"/>
        </w:rPr>
        <w:t>Trade Date</w:t>
      </w:r>
      <w:r>
        <w:rPr>
          <w:rFonts w:ascii="Arial" w:cs="Arial" w:eastAsia="Arial" w:hAnsi="Arial"/>
          <w:sz w:val="17"/>
          <w:szCs w:val="17"/>
          <w:color w:val="auto"/>
        </w:rPr>
        <w:t>] (the “</w:t>
      </w:r>
      <w:r>
        <w:rPr>
          <w:rFonts w:ascii="Arial" w:cs="Arial" w:eastAsia="Arial" w:hAnsi="Arial"/>
          <w:sz w:val="17"/>
          <w:szCs w:val="17"/>
          <w:b w:val="1"/>
          <w:bCs w:val="1"/>
          <w:color w:val="auto"/>
        </w:rPr>
        <w:t>Maximum Number of Shares</w:t>
      </w:r>
      <w:r>
        <w:rPr>
          <w:rFonts w:ascii="Arial" w:cs="Arial" w:eastAsia="Arial" w:hAnsi="Arial"/>
          <w:sz w:val="17"/>
          <w:szCs w:val="17"/>
          <w:color w:val="auto"/>
        </w:rPr>
        <w:t>”) to Dealer in connection with the Transaction.</w:t>
      </w:r>
    </w:p>
    <w:p>
      <w:pPr>
        <w:spacing w:after="0" w:line="125" w:lineRule="exact"/>
        <w:rPr>
          <w:rFonts w:ascii="Arial" w:cs="Arial" w:eastAsia="Arial" w:hAnsi="Arial"/>
          <w:sz w:val="17"/>
          <w:szCs w:val="17"/>
          <w:color w:val="auto"/>
        </w:rPr>
      </w:pPr>
    </w:p>
    <w:p>
      <w:pPr>
        <w:jc w:val="both"/>
        <w:ind w:left="1304" w:hanging="655"/>
        <w:spacing w:after="0" w:line="286" w:lineRule="auto"/>
        <w:tabs>
          <w:tab w:leader="none" w:pos="1304" w:val="left"/>
        </w:tabs>
        <w:numPr>
          <w:ilvl w:val="1"/>
          <w:numId w:val="207"/>
        </w:numPr>
        <w:rPr>
          <w:rFonts w:ascii="Arial" w:cs="Arial" w:eastAsia="Arial" w:hAnsi="Arial"/>
          <w:sz w:val="16"/>
          <w:szCs w:val="16"/>
          <w:color w:val="auto"/>
        </w:rPr>
      </w:pPr>
      <w:r>
        <w:rPr>
          <w:rFonts w:ascii="Arial" w:cs="Arial" w:eastAsia="Arial" w:hAnsi="Arial"/>
          <w:sz w:val="16"/>
          <w:szCs w:val="16"/>
          <w:color w:val="auto"/>
        </w:rPr>
        <w:t>In the event Company shall not have delivered to Dealer the full number of Shares or Restricted Shares otherwise deliverable by Company to Dealer pursuant to the terms of the Transaction because Company has insufficient authorized but unissued Shares that are not reserved for other transactions (such deficit, the “</w:t>
      </w:r>
      <w:r>
        <w:rPr>
          <w:rFonts w:ascii="Arial" w:cs="Arial" w:eastAsia="Arial" w:hAnsi="Arial"/>
          <w:sz w:val="16"/>
          <w:szCs w:val="16"/>
          <w:b w:val="1"/>
          <w:bCs w:val="1"/>
          <w:color w:val="auto"/>
        </w:rPr>
        <w:t>Deficit Shares</w:t>
      </w:r>
      <w:r>
        <w:rPr>
          <w:rFonts w:ascii="Arial" w:cs="Arial" w:eastAsia="Arial" w:hAnsi="Arial"/>
          <w:sz w:val="16"/>
          <w:szCs w:val="16"/>
          <w:color w:val="auto"/>
        </w:rPr>
        <w:t xml:space="preserve">”), Company shall be continually obligated to deliver, from time to time, Shares or Restricted Shares, as the case may be, to Dealer until the full number of Deficit Shares have been delivered pursuant to this Section 9(p)(ii), when, and to the extent that, (A) Shares are repurchased, acquired or otherwise received by Company or any of its subsidiaries after the Trade Date (whether or not in exchange for cash, fair value or any other consideration), (B) authorized and unissued Shares previously reserved for issuance in respect of other transactions become no longer so reserved or (C) Company additionally authorizes any unissued Shares that are not reserved for other transactions;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no event shall Company deliver any Shares or Restricted Shares to Dealer pursuant to this Section 9(p)(ii)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extent that such delivery would cause the aggregate number of Shares and Restricted Shares delivered to Dealer to exceed the Maximum Number of Shares. Company shall immediately notify Dealer of the occurrence of any of the foregoing events (including the number of Shares subject to clause (A), (B) or (C) and the corresponding number of Shares or Restricted Shares, as the case may be, to be delivered) and promptly deliver such Shares or Restricted Shares, as the case may be, thereafter.</w:t>
      </w:r>
    </w:p>
    <w:p>
      <w:pPr>
        <w:spacing w:after="0" w:line="134" w:lineRule="exact"/>
        <w:rPr>
          <w:rFonts w:ascii="Arial" w:cs="Arial" w:eastAsia="Arial" w:hAnsi="Arial"/>
          <w:sz w:val="16"/>
          <w:szCs w:val="16"/>
          <w:color w:val="auto"/>
        </w:rPr>
      </w:pPr>
    </w:p>
    <w:p>
      <w:pPr>
        <w:jc w:val="both"/>
        <w:ind w:left="1304" w:hanging="655"/>
        <w:spacing w:after="0" w:line="264" w:lineRule="auto"/>
        <w:tabs>
          <w:tab w:leader="none" w:pos="1304" w:val="left"/>
        </w:tabs>
        <w:numPr>
          <w:ilvl w:val="1"/>
          <w:numId w:val="207"/>
        </w:numPr>
        <w:rPr>
          <w:rFonts w:ascii="Arial" w:cs="Arial" w:eastAsia="Arial" w:hAnsi="Arial"/>
          <w:sz w:val="18"/>
          <w:szCs w:val="18"/>
          <w:color w:val="auto"/>
        </w:rPr>
      </w:pPr>
      <w:r>
        <w:rPr>
          <w:rFonts w:ascii="Arial" w:cs="Arial" w:eastAsia="Arial" w:hAnsi="Arial"/>
          <w:sz w:val="18"/>
          <w:szCs w:val="18"/>
          <w:color w:val="auto"/>
        </w:rPr>
        <w:t>Notwithstanding anything to the contrary in the Agreement, this Confirmation or the Equity Definitions, the Maximum Number of Shares shall not be adjusted on account of any event that (x) constitutes a Potential Adjustment Event solely on account of Section 11.2(e)(vii) of the Equity Definitions and (y) is not an event within Company’s control.</w:t>
      </w:r>
    </w:p>
    <w:p>
      <w:pPr>
        <w:spacing w:after="0" w:line="200" w:lineRule="exact"/>
        <w:rPr>
          <w:sz w:val="20"/>
          <w:szCs w:val="20"/>
          <w:color w:val="auto"/>
        </w:rPr>
      </w:pPr>
    </w:p>
    <w:p>
      <w:pPr>
        <w:spacing w:after="0" w:line="356" w:lineRule="exact"/>
        <w:rPr>
          <w:sz w:val="20"/>
          <w:szCs w:val="20"/>
          <w:color w:val="auto"/>
        </w:rPr>
      </w:pPr>
    </w:p>
    <w:p>
      <w:pPr>
        <w:ind w:left="4964"/>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764"/>
          </w:cols>
          <w:pgMar w:left="896" w:top="976" w:right="239" w:bottom="1440" w:gutter="0" w:footer="0" w:header="0"/>
        </w:sectPr>
      </w:pPr>
    </w:p>
    <w:bookmarkStart w:id="233" w:name="page234"/>
    <w:bookmarkEnd w:id="233"/>
    <w:p>
      <w:pPr>
        <w:jc w:val="both"/>
        <w:ind w:left="644" w:hanging="644"/>
        <w:spacing w:after="0" w:line="289" w:lineRule="auto"/>
        <w:tabs>
          <w:tab w:leader="none" w:pos="644" w:val="left"/>
        </w:tabs>
        <w:numPr>
          <w:ilvl w:val="0"/>
          <w:numId w:val="208"/>
        </w:numPr>
        <w:rPr>
          <w:rFonts w:ascii="Arial" w:cs="Arial" w:eastAsia="Arial" w:hAnsi="Arial"/>
          <w:sz w:val="16"/>
          <w:szCs w:val="16"/>
          <w:color w:val="auto"/>
        </w:rPr>
      </w:pPr>
      <w:r>
        <w:rPr>
          <w:rFonts w:ascii="Arial" w:cs="Arial" w:eastAsia="Arial" w:hAnsi="Arial"/>
          <w:sz w:val="16"/>
          <w:szCs w:val="16"/>
          <w:i w:val="1"/>
          <w:iCs w:val="1"/>
          <w:u w:val="single" w:color="auto"/>
          <w:color w:val="auto"/>
        </w:rPr>
        <w:t>Right to Extend.</w:t>
      </w:r>
      <w:r>
        <w:rPr>
          <w:rFonts w:ascii="Arial" w:cs="Arial" w:eastAsia="Arial" w:hAnsi="Arial"/>
          <w:sz w:val="16"/>
          <w:szCs w:val="16"/>
          <w:i w:val="1"/>
          <w:iCs w:val="1"/>
          <w:color w:val="auto"/>
        </w:rPr>
        <w:t xml:space="preserve"> </w:t>
      </w:r>
      <w:r>
        <w:rPr>
          <w:rFonts w:ascii="Arial" w:cs="Arial" w:eastAsia="Arial" w:hAnsi="Arial"/>
          <w:sz w:val="16"/>
          <w:szCs w:val="16"/>
          <w:color w:val="auto"/>
        </w:rPr>
        <w:t>Dealer may postpone or add, in whole or in part, any Expiration Date or any other date of valuation or delivery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some or all of the relevant Warrants (in which event the Calculation Agent shall make appropriate adjustments to the Daily Number of Warrants with respect to one or more Expiration Dates) to the extent Dealer reasonably determines, based on advice of counsel in the case of the immediately following clause (ii), and in its commercially reasonable judgment, that such extension is reasonably necessary or appropriate to (i) preserve Dealer’s commercially reasonable hedging or hedge unwind activity hereunder in light of existing liquidity conditions (but only in the case of a material decrease in liquidity relative to Dealer’s expectations as of the Trade Date) or (ii) to enable Dealer to effect purchases of Shares in connection with its commercially reasonable hedging, hedge unwind or settlement activity hereunder in a manner that would, if Dealer were Issuer or an affiliated purchaser of Issuer, be in compliance with applicable legal, regulatory or self-regulatory requirements, or with related policies and procedures applicable to Dealer.</w:t>
      </w:r>
    </w:p>
    <w:p>
      <w:pPr>
        <w:spacing w:after="0" w:line="126" w:lineRule="exact"/>
        <w:rPr>
          <w:rFonts w:ascii="Arial" w:cs="Arial" w:eastAsia="Arial" w:hAnsi="Arial"/>
          <w:sz w:val="16"/>
          <w:szCs w:val="16"/>
          <w:color w:val="auto"/>
        </w:rPr>
      </w:pPr>
    </w:p>
    <w:p>
      <w:pPr>
        <w:jc w:val="both"/>
        <w:ind w:left="644" w:hanging="644"/>
        <w:spacing w:after="0" w:line="276" w:lineRule="auto"/>
        <w:tabs>
          <w:tab w:leader="none" w:pos="644" w:val="left"/>
        </w:tabs>
        <w:numPr>
          <w:ilvl w:val="0"/>
          <w:numId w:val="208"/>
        </w:numPr>
        <w:rPr>
          <w:rFonts w:ascii="Arial" w:cs="Arial" w:eastAsia="Arial" w:hAnsi="Arial"/>
          <w:sz w:val="17"/>
          <w:szCs w:val="17"/>
          <w:color w:val="auto"/>
        </w:rPr>
      </w:pPr>
      <w:r>
        <w:rPr>
          <w:rFonts w:ascii="Arial" w:cs="Arial" w:eastAsia="Arial" w:hAnsi="Arial"/>
          <w:sz w:val="17"/>
          <w:szCs w:val="17"/>
          <w:i w:val="1"/>
          <w:iCs w:val="1"/>
          <w:u w:val="single" w:color="auto"/>
          <w:color w:val="auto"/>
        </w:rPr>
        <w:t>Status of Claims in Bankruptcy.</w:t>
      </w:r>
      <w:r>
        <w:rPr>
          <w:rFonts w:ascii="Arial" w:cs="Arial" w:eastAsia="Arial" w:hAnsi="Arial"/>
          <w:sz w:val="17"/>
          <w:szCs w:val="17"/>
          <w:i w:val="1"/>
          <w:iCs w:val="1"/>
          <w:color w:val="auto"/>
        </w:rPr>
        <w:t xml:space="preserve"> </w:t>
      </w:r>
      <w:r>
        <w:rPr>
          <w:rFonts w:ascii="Arial" w:cs="Arial" w:eastAsia="Arial" w:hAnsi="Arial"/>
          <w:sz w:val="17"/>
          <w:szCs w:val="17"/>
          <w:color w:val="auto"/>
        </w:rPr>
        <w:t>Dealer acknowledges and agrees that this Confirmation is not intended to convey to Dealer rights against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Company with respect to the Transaction that are senior to the claims of common stockholders of Company in any United States bankruptcy proceedings of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herein shall limit or shall be deemed to limit Dealer’s right to pursue remedies in the event of a breach by Company of its obligations and agreements with respect to the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nothing herein shall limit or shall be deemed to limit Dealer’s rights in respect of any transactions other than the Transaction.</w:t>
      </w:r>
    </w:p>
    <w:p>
      <w:pPr>
        <w:spacing w:after="0" w:line="132" w:lineRule="exact"/>
        <w:rPr>
          <w:rFonts w:ascii="Arial" w:cs="Arial" w:eastAsia="Arial" w:hAnsi="Arial"/>
          <w:sz w:val="17"/>
          <w:szCs w:val="17"/>
          <w:color w:val="auto"/>
        </w:rPr>
      </w:pPr>
    </w:p>
    <w:p>
      <w:pPr>
        <w:jc w:val="both"/>
        <w:ind w:left="644" w:hanging="644"/>
        <w:spacing w:after="0" w:line="255" w:lineRule="auto"/>
        <w:tabs>
          <w:tab w:leader="none" w:pos="644" w:val="left"/>
        </w:tabs>
        <w:numPr>
          <w:ilvl w:val="0"/>
          <w:numId w:val="208"/>
        </w:numPr>
        <w:rPr>
          <w:rFonts w:ascii="Arial" w:cs="Arial" w:eastAsia="Arial" w:hAnsi="Arial"/>
          <w:sz w:val="18"/>
          <w:szCs w:val="18"/>
          <w:color w:val="auto"/>
        </w:rPr>
      </w:pPr>
      <w:r>
        <w:rPr>
          <w:rFonts w:ascii="Arial" w:cs="Arial" w:eastAsia="Arial" w:hAnsi="Arial"/>
          <w:sz w:val="18"/>
          <w:szCs w:val="18"/>
          <w:i w:val="1"/>
          <w:iCs w:val="1"/>
          <w:u w:val="single" w:color="auto"/>
          <w:color w:val="auto"/>
        </w:rPr>
        <w:t>Securities Contract; Swap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parties hereto intend for (i) the Transaction to be a “securities contract” and a “swap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as defined in the Bankruptcy Code (Title 11 of the United States Code) (the “</w:t>
      </w:r>
      <w:r>
        <w:rPr>
          <w:rFonts w:ascii="Arial" w:cs="Arial" w:eastAsia="Arial" w:hAnsi="Arial"/>
          <w:sz w:val="18"/>
          <w:szCs w:val="18"/>
          <w:b w:val="1"/>
          <w:bCs w:val="1"/>
          <w:color w:val="auto"/>
        </w:rPr>
        <w:t>Bankruptcy Code</w:t>
      </w:r>
      <w:r>
        <w:rPr>
          <w:rFonts w:ascii="Arial" w:cs="Arial" w:eastAsia="Arial" w:hAnsi="Arial"/>
          <w:sz w:val="18"/>
          <w:szCs w:val="18"/>
          <w:color w:val="auto"/>
        </w:rPr>
        <w:t>”),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148" w:lineRule="exact"/>
        <w:rPr>
          <w:rFonts w:ascii="Arial" w:cs="Arial" w:eastAsia="Arial" w:hAnsi="Arial"/>
          <w:sz w:val="18"/>
          <w:szCs w:val="18"/>
          <w:color w:val="auto"/>
        </w:rPr>
      </w:pPr>
    </w:p>
    <w:p>
      <w:pPr>
        <w:jc w:val="both"/>
        <w:ind w:left="644" w:hanging="644"/>
        <w:spacing w:after="0" w:line="272" w:lineRule="auto"/>
        <w:tabs>
          <w:tab w:leader="none" w:pos="644" w:val="left"/>
        </w:tabs>
        <w:numPr>
          <w:ilvl w:val="0"/>
          <w:numId w:val="208"/>
        </w:numPr>
        <w:rPr>
          <w:rFonts w:ascii="Arial" w:cs="Arial" w:eastAsia="Arial" w:hAnsi="Arial"/>
          <w:sz w:val="17"/>
          <w:szCs w:val="17"/>
          <w:color w:val="auto"/>
        </w:rPr>
      </w:pPr>
      <w:r>
        <w:rPr>
          <w:rFonts w:ascii="Arial" w:cs="Arial" w:eastAsia="Arial" w:hAnsi="Arial"/>
          <w:sz w:val="17"/>
          <w:szCs w:val="17"/>
          <w:i w:val="1"/>
          <w:iCs w:val="1"/>
          <w:u w:val="single" w:color="auto"/>
          <w:color w:val="auto"/>
        </w:rPr>
        <w:t>Wall Street Transparency and Accountability Act</w:t>
      </w:r>
      <w:r>
        <w:rPr>
          <w:rFonts w:ascii="Arial" w:cs="Arial" w:eastAsia="Arial" w:hAnsi="Arial"/>
          <w:sz w:val="17"/>
          <w:szCs w:val="17"/>
          <w:color w:val="auto"/>
        </w:rPr>
        <w:t>. In connection with Section 739 of the Wall Street Transparency and Accountability Act of</w:t>
      </w:r>
      <w:r>
        <w:rPr>
          <w:rFonts w:ascii="Arial" w:cs="Arial" w:eastAsia="Arial" w:hAnsi="Arial"/>
          <w:sz w:val="17"/>
          <w:szCs w:val="17"/>
          <w:i w:val="1"/>
          <w:iCs w:val="1"/>
          <w:color w:val="auto"/>
        </w:rPr>
        <w:t xml:space="preserve"> </w:t>
      </w:r>
      <w:r>
        <w:rPr>
          <w:rFonts w:ascii="Arial" w:cs="Arial" w:eastAsia="Arial" w:hAnsi="Arial"/>
          <w:sz w:val="17"/>
          <w:szCs w:val="17"/>
          <w:color w:val="auto"/>
        </w:rPr>
        <w:t>2010 (“</w:t>
      </w:r>
      <w:r>
        <w:rPr>
          <w:rFonts w:ascii="Arial" w:cs="Arial" w:eastAsia="Arial" w:hAnsi="Arial"/>
          <w:sz w:val="17"/>
          <w:szCs w:val="17"/>
          <w:b w:val="1"/>
          <w:bCs w:val="1"/>
          <w:color w:val="auto"/>
        </w:rPr>
        <w:t>WSTAA</w:t>
      </w:r>
      <w:r>
        <w:rPr>
          <w:rFonts w:ascii="Arial" w:cs="Arial" w:eastAsia="Arial" w:hAnsi="Arial"/>
          <w:sz w:val="17"/>
          <w:szCs w:val="17"/>
          <w:color w:val="auto"/>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137" w:lineRule="exact"/>
        <w:rPr>
          <w:rFonts w:ascii="Arial" w:cs="Arial" w:eastAsia="Arial" w:hAnsi="Arial"/>
          <w:sz w:val="17"/>
          <w:szCs w:val="17"/>
          <w:color w:val="auto"/>
        </w:rPr>
      </w:pPr>
    </w:p>
    <w:p>
      <w:pPr>
        <w:jc w:val="both"/>
        <w:ind w:left="644" w:hanging="644"/>
        <w:spacing w:after="0" w:line="271" w:lineRule="auto"/>
        <w:tabs>
          <w:tab w:leader="none" w:pos="644" w:val="left"/>
        </w:tabs>
        <w:numPr>
          <w:ilvl w:val="0"/>
          <w:numId w:val="208"/>
        </w:numPr>
        <w:rPr>
          <w:rFonts w:ascii="Arial" w:cs="Arial" w:eastAsia="Arial" w:hAnsi="Arial"/>
          <w:sz w:val="17"/>
          <w:szCs w:val="17"/>
          <w:color w:val="auto"/>
        </w:rPr>
      </w:pPr>
      <w:r>
        <w:rPr>
          <w:rFonts w:ascii="Arial" w:cs="Arial" w:eastAsia="Arial" w:hAnsi="Arial"/>
          <w:sz w:val="17"/>
          <w:szCs w:val="17"/>
          <w:i w:val="1"/>
          <w:iCs w:val="1"/>
          <w:u w:val="single" w:color="auto"/>
          <w:color w:val="auto"/>
        </w:rPr>
        <w:t>Agreements and Acknowledgements Regarding Hedging</w:t>
      </w:r>
      <w:r>
        <w:rPr>
          <w:rFonts w:ascii="Arial" w:cs="Arial" w:eastAsia="Arial" w:hAnsi="Arial"/>
          <w:sz w:val="17"/>
          <w:szCs w:val="17"/>
          <w:color w:val="auto"/>
        </w:rPr>
        <w:t>. Company understands, acknowledges and agrees that: (A) at any time on and prior</w:t>
      </w:r>
      <w:r>
        <w:rPr>
          <w:rFonts w:ascii="Arial" w:cs="Arial" w:eastAsia="Arial" w:hAnsi="Arial"/>
          <w:sz w:val="17"/>
          <w:szCs w:val="17"/>
          <w:i w:val="1"/>
          <w:iCs w:val="1"/>
          <w:color w:val="auto"/>
        </w:rPr>
        <w:t xml:space="preserve"> </w:t>
      </w:r>
      <w:r>
        <w:rPr>
          <w:rFonts w:ascii="Arial" w:cs="Arial" w:eastAsia="Arial" w:hAnsi="Arial"/>
          <w:sz w:val="17"/>
          <w:szCs w:val="17"/>
          <w:color w:val="auto"/>
        </w:rPr>
        <w:t>to the last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Settlement Prices; and (D) any market activities of Dealer and its affiliates with respect to Shares may affect the market price and volatility of Shares, as well as the Settlement Prices, each in a manner that may be adverse to Company.</w:t>
      </w:r>
    </w:p>
    <w:p>
      <w:pPr>
        <w:spacing w:after="0" w:line="200" w:lineRule="exact"/>
        <w:rPr>
          <w:sz w:val="20"/>
          <w:szCs w:val="20"/>
          <w:color w:val="auto"/>
        </w:rPr>
      </w:pPr>
    </w:p>
    <w:p>
      <w:pPr>
        <w:spacing w:after="0" w:line="354" w:lineRule="exact"/>
        <w:rPr>
          <w:sz w:val="20"/>
          <w:szCs w:val="20"/>
          <w:color w:val="auto"/>
        </w:rPr>
      </w:pPr>
    </w:p>
    <w:p>
      <w:pPr>
        <w:ind w:left="4964"/>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764"/>
          </w:cols>
          <w:pgMar w:left="896" w:top="976" w:right="239" w:bottom="1440" w:gutter="0" w:footer="0" w:header="0"/>
        </w:sectPr>
      </w:pPr>
    </w:p>
    <w:bookmarkStart w:id="234" w:name="page235"/>
    <w:bookmarkEnd w:id="234"/>
    <w:p>
      <w:pPr>
        <w:jc w:val="both"/>
        <w:ind w:left="1300" w:hanging="644"/>
        <w:spacing w:after="0" w:line="243" w:lineRule="auto"/>
        <w:tabs>
          <w:tab w:leader="none" w:pos="1300" w:val="left"/>
        </w:tabs>
        <w:numPr>
          <w:ilvl w:val="0"/>
          <w:numId w:val="209"/>
        </w:numPr>
        <w:rPr>
          <w:rFonts w:ascii="Arial" w:cs="Arial" w:eastAsia="Arial" w:hAnsi="Arial"/>
          <w:sz w:val="18"/>
          <w:szCs w:val="18"/>
          <w:color w:val="auto"/>
        </w:rPr>
      </w:pPr>
      <w:r>
        <w:rPr>
          <w:rFonts w:ascii="Arial" w:cs="Arial" w:eastAsia="Arial" w:hAnsi="Arial"/>
          <w:sz w:val="18"/>
          <w:szCs w:val="18"/>
          <w:i w:val="1"/>
          <w:iCs w:val="1"/>
          <w:u w:val="single" w:color="auto"/>
          <w:color w:val="auto"/>
        </w:rPr>
        <w:t>Early Unwind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event the sale of the [“Underwritten Securities”]</w:t>
      </w:r>
      <w:r>
        <w:rPr>
          <w:rFonts w:ascii="Arial" w:cs="Arial" w:eastAsia="Arial" w:hAnsi="Arial"/>
          <w:sz w:val="25"/>
          <w:szCs w:val="25"/>
          <w:color w:val="auto"/>
          <w:vertAlign w:val="superscript"/>
        </w:rPr>
        <w:t>7</w:t>
      </w:r>
      <w:r>
        <w:rPr>
          <w:rFonts w:ascii="Arial" w:cs="Arial" w:eastAsia="Arial" w:hAnsi="Arial"/>
          <w:sz w:val="18"/>
          <w:szCs w:val="18"/>
          <w:color w:val="auto"/>
        </w:rPr>
        <w:t>[“Option Securities”]</w:t>
      </w:r>
      <w:r>
        <w:rPr>
          <w:rFonts w:ascii="Arial" w:cs="Arial" w:eastAsia="Arial" w:hAnsi="Arial"/>
          <w:sz w:val="25"/>
          <w:szCs w:val="25"/>
          <w:color w:val="auto"/>
          <w:vertAlign w:val="superscript"/>
        </w:rPr>
        <w:t>8</w:t>
      </w:r>
      <w:r>
        <w:rPr>
          <w:rFonts w:ascii="Arial" w:cs="Arial" w:eastAsia="Arial" w:hAnsi="Arial"/>
          <w:sz w:val="18"/>
          <w:szCs w:val="18"/>
          <w:i w:val="1"/>
          <w:iCs w:val="1"/>
          <w:color w:val="auto"/>
        </w:rPr>
        <w:t xml:space="preserve"> </w:t>
      </w:r>
      <w:r>
        <w:rPr>
          <w:rFonts w:ascii="Arial" w:cs="Arial" w:eastAsia="Arial" w:hAnsi="Arial"/>
          <w:sz w:val="18"/>
          <w:szCs w:val="18"/>
          <w:color w:val="auto"/>
        </w:rPr>
        <w:t>(as defined in the Purchase Agreement) is not</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consummated with the Initial Purchasers for any reason, or Company fails to deliver to Dealer opinions of counsel as required pursuant to Section 9(a), in each case by 5:00 p.m. (New York City time) on the Premium Payment Date, or such later date as agreed upon by the parties (the Premium Payment Date or such later date the “</w:t>
      </w:r>
      <w:r>
        <w:rPr>
          <w:rFonts w:ascii="Arial" w:cs="Arial" w:eastAsia="Arial" w:hAnsi="Arial"/>
          <w:sz w:val="18"/>
          <w:szCs w:val="18"/>
          <w:b w:val="1"/>
          <w:bCs w:val="1"/>
          <w:color w:val="auto"/>
        </w:rPr>
        <w:t>Early Unwind Date</w:t>
      </w:r>
      <w:r>
        <w:rPr>
          <w:rFonts w:ascii="Arial" w:cs="Arial" w:eastAsia="Arial" w:hAnsi="Arial"/>
          <w:sz w:val="18"/>
          <w:szCs w:val="18"/>
          <w:color w:val="auto"/>
        </w:rPr>
        <w:t>”), the Transaction shall automatically terminate (the “</w:t>
      </w:r>
      <w:r>
        <w:rPr>
          <w:rFonts w:ascii="Arial" w:cs="Arial" w:eastAsia="Arial" w:hAnsi="Arial"/>
          <w:sz w:val="18"/>
          <w:szCs w:val="18"/>
          <w:b w:val="1"/>
          <w:bCs w:val="1"/>
          <w:color w:val="auto"/>
        </w:rPr>
        <w:t>Early</w:t>
      </w:r>
      <w:r>
        <w:rPr>
          <w:rFonts w:ascii="Arial" w:cs="Arial" w:eastAsia="Arial" w:hAnsi="Arial"/>
          <w:sz w:val="18"/>
          <w:szCs w:val="18"/>
          <w:color w:val="auto"/>
        </w:rPr>
        <w:t xml:space="preserve"> </w:t>
      </w:r>
      <w:r>
        <w:rPr>
          <w:rFonts w:ascii="Arial" w:cs="Arial" w:eastAsia="Arial" w:hAnsi="Arial"/>
          <w:sz w:val="18"/>
          <w:szCs w:val="18"/>
          <w:b w:val="1"/>
          <w:bCs w:val="1"/>
          <w:color w:val="auto"/>
        </w:rPr>
        <w:t>Unwind</w:t>
      </w:r>
      <w:r>
        <w:rPr>
          <w:rFonts w:ascii="Arial" w:cs="Arial" w:eastAsia="Arial" w:hAnsi="Arial"/>
          <w:sz w:val="18"/>
          <w:szCs w:val="18"/>
          <w:color w:val="auto"/>
        </w:rPr>
        <w:t>”), on the Early Unwind Date and (i) the Transaction and all of the respective rights and obligations of Dealer and Company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Company represents and acknowledges to the other that upon an Early Unwind, all obligations with respect to the Transaction shall be deemed fully and finally discharged.</w:t>
      </w:r>
    </w:p>
    <w:p>
      <w:pPr>
        <w:spacing w:after="0" w:line="159"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209"/>
        </w:numPr>
        <w:rPr>
          <w:rFonts w:ascii="Arial" w:cs="Arial" w:eastAsia="Arial" w:hAnsi="Arial"/>
          <w:sz w:val="18"/>
          <w:szCs w:val="18"/>
          <w:color w:val="auto"/>
        </w:rPr>
      </w:pPr>
      <w:r>
        <w:rPr>
          <w:rFonts w:ascii="Arial" w:cs="Arial" w:eastAsia="Arial" w:hAnsi="Arial"/>
          <w:sz w:val="18"/>
          <w:szCs w:val="18"/>
          <w:i w:val="1"/>
          <w:iCs w:val="1"/>
          <w:u w:val="single" w:color="auto"/>
          <w:color w:val="auto"/>
        </w:rPr>
        <w:t>Payment by Dealer</w:t>
      </w:r>
      <w:r>
        <w:rPr>
          <w:rFonts w:ascii="Arial" w:cs="Arial" w:eastAsia="Arial" w:hAnsi="Arial"/>
          <w:sz w:val="18"/>
          <w:szCs w:val="18"/>
          <w:color w:val="auto"/>
        </w:rPr>
        <w:t>. In the event that (i) an Early Termination Date occurs or is designated with respect to the Transaction as a result of a</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Event or an Event of Default (other than an Event of Default arising under Section 5(a)(ii) or 5(a)(iv) of the Agreement) and, as a result, Dealer owes to Company an amount calculated under Section 6(e) of the Agreement, or (ii) Dealer owes to Company, pursuant to Section 12.7 or Section 12.9 of the Equity Definitions, an amount calculated under Section 12.8 of the Equity Definitions, such amount shall be deemed to be zero.</w:t>
      </w:r>
    </w:p>
    <w:p>
      <w:pPr>
        <w:spacing w:after="0" w:line="147" w:lineRule="exact"/>
        <w:rPr>
          <w:rFonts w:ascii="Arial" w:cs="Arial" w:eastAsia="Arial" w:hAnsi="Arial"/>
          <w:sz w:val="18"/>
          <w:szCs w:val="18"/>
          <w:color w:val="auto"/>
        </w:rPr>
      </w:pPr>
    </w:p>
    <w:p>
      <w:pPr>
        <w:jc w:val="both"/>
        <w:ind w:left="1300" w:hanging="644"/>
        <w:spacing w:after="0" w:line="302" w:lineRule="auto"/>
        <w:tabs>
          <w:tab w:leader="none" w:pos="1300" w:val="left"/>
        </w:tabs>
        <w:numPr>
          <w:ilvl w:val="0"/>
          <w:numId w:val="209"/>
        </w:numPr>
        <w:rPr>
          <w:rFonts w:ascii="Arial" w:cs="Arial" w:eastAsia="Arial" w:hAnsi="Arial"/>
          <w:sz w:val="16"/>
          <w:szCs w:val="16"/>
          <w:color w:val="auto"/>
        </w:rPr>
      </w:pPr>
      <w:r>
        <w:rPr>
          <w:rFonts w:ascii="Arial" w:cs="Arial" w:eastAsia="Arial" w:hAnsi="Arial"/>
          <w:sz w:val="16"/>
          <w:szCs w:val="16"/>
          <w:i w:val="1"/>
          <w:iCs w:val="1"/>
          <w:u w:val="single" w:color="auto"/>
          <w:color w:val="auto"/>
        </w:rPr>
        <w:t>Listing of Warrant Shares</w:t>
      </w:r>
      <w:r>
        <w:rPr>
          <w:rFonts w:ascii="Arial" w:cs="Arial" w:eastAsia="Arial" w:hAnsi="Arial"/>
          <w:sz w:val="16"/>
          <w:szCs w:val="16"/>
          <w:color w:val="auto"/>
        </w:rPr>
        <w:t>. Company shall have submitted an application for the listing of the Warrant Shares on the Exchange, and such</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 and listing shall have been approved by the Exchange, subject only to official notice of issuance, in each case, on or prior to the Premium Payment Date. Company agrees and acknowledges that such submission and approval shall be a condition precedent for the purpose of Section 2(a)(iii) of the Agreement with respect to each obligation of Dealer under Section 2(a)(i) of the Agreement.</w:t>
      </w:r>
    </w:p>
    <w:p>
      <w:pPr>
        <w:spacing w:after="0" w:line="113" w:lineRule="exact"/>
        <w:rPr>
          <w:rFonts w:ascii="Arial" w:cs="Arial" w:eastAsia="Arial" w:hAnsi="Arial"/>
          <w:sz w:val="16"/>
          <w:szCs w:val="16"/>
          <w:color w:val="auto"/>
        </w:rPr>
      </w:pPr>
    </w:p>
    <w:p>
      <w:pPr>
        <w:jc w:val="both"/>
        <w:ind w:left="1300" w:hanging="644"/>
        <w:spacing w:after="0" w:line="259" w:lineRule="auto"/>
        <w:tabs>
          <w:tab w:leader="none" w:pos="1300" w:val="left"/>
        </w:tabs>
        <w:numPr>
          <w:ilvl w:val="0"/>
          <w:numId w:val="209"/>
        </w:numPr>
        <w:rPr>
          <w:rFonts w:ascii="Arial" w:cs="Arial" w:eastAsia="Arial" w:hAnsi="Arial"/>
          <w:sz w:val="18"/>
          <w:szCs w:val="18"/>
          <w:color w:val="auto"/>
        </w:rPr>
      </w:pPr>
      <w:r>
        <w:rPr>
          <w:rFonts w:ascii="Arial" w:cs="Arial" w:eastAsia="Arial" w:hAnsi="Arial"/>
          <w:sz w:val="18"/>
          <w:szCs w:val="18"/>
          <w:i w:val="1"/>
          <w:iCs w:val="1"/>
          <w:u w:val="single" w:color="auto"/>
          <w:color w:val="auto"/>
        </w:rPr>
        <w:t>Adjustments</w:t>
      </w:r>
      <w:r>
        <w:rPr>
          <w:rFonts w:ascii="Arial" w:cs="Arial" w:eastAsia="Arial" w:hAnsi="Arial"/>
          <w:sz w:val="18"/>
          <w:szCs w:val="18"/>
          <w:color w:val="auto"/>
        </w:rPr>
        <w:t>. For the avoidance of doubt, whenever the Calculation Agent or Determining Party is called upon to make an adjustment</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terms of this Confirmation or the Equity Definitions to take into account the effect of an event, the Calculation Agent or Determining Party shall make such adjustment by reference to the effect of such event on the Hedging Party, assuming that the Hedging Party maintains a commercially reasonable hedge position.</w:t>
      </w:r>
    </w:p>
    <w:p>
      <w:pPr>
        <w:spacing w:after="0" w:line="146"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209"/>
        </w:numPr>
        <w:rPr>
          <w:rFonts w:ascii="Arial" w:cs="Arial" w:eastAsia="Arial" w:hAnsi="Arial"/>
          <w:sz w:val="18"/>
          <w:szCs w:val="18"/>
          <w:color w:val="auto"/>
        </w:rPr>
      </w:pPr>
      <w:r>
        <w:rPr>
          <w:rFonts w:ascii="Arial" w:cs="Arial" w:eastAsia="Arial" w:hAnsi="Arial"/>
          <w:sz w:val="18"/>
          <w:szCs w:val="18"/>
          <w:i w:val="1"/>
          <w:iCs w:val="1"/>
          <w:u w:val="single" w:color="auto"/>
          <w:color w:val="auto"/>
        </w:rPr>
        <w:t>Delivery or Receipt of Cash</w:t>
      </w:r>
      <w:r>
        <w:rPr>
          <w:rFonts w:ascii="Arial" w:cs="Arial" w:eastAsia="Arial" w:hAnsi="Arial"/>
          <w:sz w:val="18"/>
          <w:szCs w:val="18"/>
          <w:color w:val="auto"/>
        </w:rPr>
        <w:t>. For the avoidance of doubt, other than receipt of the Premium by Company, nothing in this Confirmation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interpreted as requiring Company to cash settle the Transaction, except in circumstances where cash settlement is within Company’s control (including, without limitation, where Company elects to deliver or receive cash, or where Company has made Private Placement Settlement unavailable due to the occurrence of events within its control) or in those circumstances in which all holders of Shares would also receive cash.</w:t>
      </w:r>
    </w:p>
    <w:p>
      <w:pPr>
        <w:spacing w:after="0" w:line="148" w:lineRule="exact"/>
        <w:rPr>
          <w:sz w:val="20"/>
          <w:szCs w:val="20"/>
          <w:color w:val="auto"/>
        </w:rPr>
      </w:pPr>
    </w:p>
    <w:p>
      <w:pPr>
        <w:ind w:left="1300" w:hanging="644"/>
        <w:spacing w:after="0"/>
        <w:tabs>
          <w:tab w:leader="none" w:pos="1300" w:val="left"/>
        </w:tabs>
        <w:numPr>
          <w:ilvl w:val="0"/>
          <w:numId w:val="210"/>
        </w:numPr>
        <w:rPr>
          <w:rFonts w:ascii="Arial" w:cs="Arial" w:eastAsia="Arial" w:hAnsi="Arial"/>
          <w:sz w:val="18"/>
          <w:szCs w:val="18"/>
          <w:color w:val="auto"/>
        </w:rPr>
      </w:pPr>
      <w:r>
        <w:rPr>
          <w:rFonts w:ascii="Arial" w:cs="Arial" w:eastAsia="Arial" w:hAnsi="Arial"/>
          <w:sz w:val="18"/>
          <w:szCs w:val="18"/>
          <w:i w:val="1"/>
          <w:iCs w:val="1"/>
          <w:u w:val="single" w:color="auto"/>
          <w:color w:val="auto"/>
        </w:rPr>
        <w:t>Tax Matters.</w:t>
      </w:r>
    </w:p>
    <w:p>
      <w:pPr>
        <w:spacing w:after="0" w:line="184" w:lineRule="exact"/>
        <w:rPr>
          <w:rFonts w:ascii="Arial" w:cs="Arial" w:eastAsia="Arial" w:hAnsi="Arial"/>
          <w:sz w:val="18"/>
          <w:szCs w:val="18"/>
          <w:color w:val="auto"/>
        </w:rPr>
      </w:pPr>
    </w:p>
    <w:p>
      <w:pPr>
        <w:jc w:val="both"/>
        <w:ind w:left="1960" w:hanging="655"/>
        <w:spacing w:after="0" w:line="271" w:lineRule="auto"/>
        <w:tabs>
          <w:tab w:leader="none" w:pos="1960" w:val="left"/>
        </w:tabs>
        <w:numPr>
          <w:ilvl w:val="1"/>
          <w:numId w:val="210"/>
        </w:numPr>
        <w:rPr>
          <w:rFonts w:ascii="Arial" w:cs="Arial" w:eastAsia="Arial" w:hAnsi="Arial"/>
          <w:sz w:val="17"/>
          <w:szCs w:val="17"/>
          <w:color w:val="auto"/>
        </w:rPr>
      </w:pPr>
      <w:r>
        <w:rPr>
          <w:rFonts w:ascii="Arial" w:cs="Arial" w:eastAsia="Arial" w:hAnsi="Arial"/>
          <w:sz w:val="17"/>
          <w:szCs w:val="17"/>
          <w:i w:val="1"/>
          <w:iCs w:val="1"/>
          <w:color w:val="auto"/>
        </w:rPr>
        <w:t xml:space="preserve">Withholding Tax imposed on payments to non-US counterparties under the United States Foreign Account Tax Compliance provisions of the HIRE Act. </w:t>
      </w:r>
      <w:r>
        <w:rPr>
          <w:rFonts w:ascii="Arial" w:cs="Arial" w:eastAsia="Arial" w:hAnsi="Arial"/>
          <w:sz w:val="17"/>
          <w:szCs w:val="17"/>
          <w:color w:val="auto"/>
        </w:rPr>
        <w:t>The terms “Tax” and “Indemnifiable Tax,” as defined in Section 14 of the Agreement, shall not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any U.S. federal withholding tax imposed or collected pursuant to Sections 1471 through 1474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Arial" w:cs="Arial" w:eastAsia="Arial" w:hAnsi="Arial"/>
          <w:sz w:val="17"/>
          <w:szCs w:val="17"/>
          <w:b w:val="1"/>
          <w:bCs w:val="1"/>
          <w:color w:val="auto"/>
        </w:rPr>
        <w:t>FATCA</w:t>
      </w:r>
      <w:r>
        <w:rPr>
          <w:rFonts w:ascii="Arial" w:cs="Arial" w:eastAsia="Arial" w:hAnsi="Arial"/>
          <w:sz w:val="17"/>
          <w:szCs w:val="17"/>
          <w:color w:val="auto"/>
        </w:rPr>
        <w:t xml:space="preserve"> </w:t>
      </w:r>
      <w:r>
        <w:rPr>
          <w:rFonts w:ascii="Arial" w:cs="Arial" w:eastAsia="Arial" w:hAnsi="Arial"/>
          <w:sz w:val="17"/>
          <w:szCs w:val="17"/>
          <w:b w:val="1"/>
          <w:bCs w:val="1"/>
          <w:color w:val="auto"/>
        </w:rPr>
        <w:t>Withholding Tax</w:t>
      </w:r>
      <w:r>
        <w:rPr>
          <w:rFonts w:ascii="Arial" w:cs="Arial" w:eastAsia="Arial" w:hAnsi="Arial"/>
          <w:sz w:val="17"/>
          <w:szCs w:val="17"/>
          <w:color w:val="auto"/>
        </w:rPr>
        <w:t>”). For the avoidance of doubt, a FATCA Withholding Tax is a Tax the deduction or withholding of which is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by applicable law for the purposes of Section 2(d) of the Agreement.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w:t>
      </w:r>
    </w:p>
    <w:p>
      <w:pPr>
        <w:spacing w:after="0" w:line="38" w:lineRule="exact"/>
        <w:rPr>
          <w:sz w:val="20"/>
          <w:szCs w:val="20"/>
          <w:color w:val="auto"/>
        </w:rPr>
      </w:pPr>
    </w:p>
    <w:p>
      <w:pPr>
        <w:ind w:left="80" w:hanging="72"/>
        <w:spacing w:after="0"/>
        <w:tabs>
          <w:tab w:leader="none" w:pos="80" w:val="left"/>
        </w:tabs>
        <w:numPr>
          <w:ilvl w:val="0"/>
          <w:numId w:val="211"/>
        </w:numPr>
        <w:rPr>
          <w:rFonts w:ascii="Arial" w:cs="Arial" w:eastAsia="Arial" w:hAnsi="Arial"/>
          <w:sz w:val="19"/>
          <w:szCs w:val="19"/>
          <w:color w:val="auto"/>
          <w:vertAlign w:val="superscript"/>
        </w:rPr>
      </w:pPr>
      <w:r>
        <w:rPr>
          <w:rFonts w:ascii="Arial" w:cs="Arial" w:eastAsia="Arial" w:hAnsi="Arial"/>
          <w:sz w:val="15"/>
          <w:szCs w:val="15"/>
          <w:color w:val="auto"/>
        </w:rPr>
        <w:t>Insert for Base Warrant Confirmation.</w:t>
      </w:r>
    </w:p>
    <w:p>
      <w:pPr>
        <w:ind w:left="80" w:hanging="72"/>
        <w:spacing w:after="0" w:line="217" w:lineRule="auto"/>
        <w:tabs>
          <w:tab w:leader="none" w:pos="80" w:val="left"/>
        </w:tabs>
        <w:numPr>
          <w:ilvl w:val="0"/>
          <w:numId w:val="212"/>
        </w:numPr>
        <w:rPr>
          <w:rFonts w:ascii="Arial" w:cs="Arial" w:eastAsia="Arial" w:hAnsi="Arial"/>
          <w:sz w:val="19"/>
          <w:szCs w:val="19"/>
          <w:color w:val="auto"/>
          <w:vertAlign w:val="superscript"/>
        </w:rPr>
      </w:pPr>
      <w:r>
        <w:rPr>
          <w:rFonts w:ascii="Arial" w:cs="Arial" w:eastAsia="Arial" w:hAnsi="Arial"/>
          <w:sz w:val="15"/>
          <w:szCs w:val="15"/>
          <w:color w:val="auto"/>
        </w:rPr>
        <w:t>Insert for Additional Warrant Confirmation.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976" w:right="239" w:bottom="1440" w:gutter="0" w:footer="0" w:header="0"/>
        </w:sectPr>
      </w:pPr>
    </w:p>
    <w:bookmarkStart w:id="235" w:name="page236"/>
    <w:bookmarkEnd w:id="235"/>
    <w:p>
      <w:pPr>
        <w:jc w:val="both"/>
        <w:ind w:left="760" w:hanging="655"/>
        <w:spacing w:after="0" w:line="259" w:lineRule="auto"/>
        <w:tabs>
          <w:tab w:leader="none" w:pos="760" w:val="left"/>
        </w:tabs>
        <w:numPr>
          <w:ilvl w:val="0"/>
          <w:numId w:val="213"/>
        </w:numPr>
        <w:rPr>
          <w:rFonts w:ascii="Arial" w:cs="Arial" w:eastAsia="Arial" w:hAnsi="Arial"/>
          <w:sz w:val="18"/>
          <w:szCs w:val="18"/>
          <w:color w:val="auto"/>
        </w:rPr>
      </w:pPr>
      <w:r>
        <w:rPr>
          <w:rFonts w:ascii="Arial" w:cs="Arial" w:eastAsia="Arial" w:hAnsi="Arial"/>
          <w:sz w:val="18"/>
          <w:szCs w:val="18"/>
          <w:i w:val="1"/>
          <w:iCs w:val="1"/>
          <w:color w:val="auto"/>
        </w:rPr>
        <w:t>Tax Documentation</w:t>
      </w:r>
      <w:r>
        <w:rPr>
          <w:rFonts w:ascii="Arial" w:cs="Arial" w:eastAsia="Arial" w:hAnsi="Arial"/>
          <w:sz w:val="18"/>
          <w:szCs w:val="18"/>
          <w:color w:val="auto"/>
        </w:rPr>
        <w:t>. Each party shall provide to the other party a valid U.S. Internal Revenue Service Form W-9 or any successor</w:t>
      </w:r>
      <w:r>
        <w:rPr>
          <w:rFonts w:ascii="Arial" w:cs="Arial" w:eastAsia="Arial" w:hAnsi="Arial"/>
          <w:sz w:val="18"/>
          <w:szCs w:val="18"/>
          <w:i w:val="1"/>
          <w:iCs w:val="1"/>
          <w:color w:val="auto"/>
        </w:rPr>
        <w:t xml:space="preserve"> </w:t>
      </w:r>
      <w:r>
        <w:rPr>
          <w:rFonts w:ascii="Arial" w:cs="Arial" w:eastAsia="Arial" w:hAnsi="Arial"/>
          <w:sz w:val="18"/>
          <w:szCs w:val="18"/>
          <w:color w:val="auto"/>
        </w:rPr>
        <w:t>thereto, (i) on or before the date of execution of this Confirmation and (ii) promptly upon learning that any such tax form previously provided by it has become obsolete or incorrect. Additionally, each party shall, promptly upon request by the other party, provide such other tax forms and documents reasonably requested by the other party.</w:t>
      </w:r>
    </w:p>
    <w:p>
      <w:pPr>
        <w:spacing w:after="0" w:line="146" w:lineRule="exact"/>
        <w:rPr>
          <w:rFonts w:ascii="Arial" w:cs="Arial" w:eastAsia="Arial" w:hAnsi="Arial"/>
          <w:sz w:val="18"/>
          <w:szCs w:val="18"/>
          <w:color w:val="auto"/>
        </w:rPr>
      </w:pPr>
    </w:p>
    <w:p>
      <w:pPr>
        <w:jc w:val="both"/>
        <w:ind w:left="760" w:hanging="655"/>
        <w:spacing w:after="0" w:line="293" w:lineRule="auto"/>
        <w:tabs>
          <w:tab w:leader="none" w:pos="760" w:val="left"/>
        </w:tabs>
        <w:numPr>
          <w:ilvl w:val="0"/>
          <w:numId w:val="213"/>
        </w:numPr>
        <w:rPr>
          <w:rFonts w:ascii="Arial" w:cs="Arial" w:eastAsia="Arial" w:hAnsi="Arial"/>
          <w:sz w:val="16"/>
          <w:szCs w:val="16"/>
          <w:color w:val="auto"/>
        </w:rPr>
      </w:pPr>
      <w:r>
        <w:rPr>
          <w:rFonts w:ascii="Arial" w:cs="Arial" w:eastAsia="Arial" w:hAnsi="Arial"/>
          <w:sz w:val="16"/>
          <w:szCs w:val="16"/>
          <w:i w:val="1"/>
          <w:iCs w:val="1"/>
          <w:color w:val="auto"/>
        </w:rPr>
        <w:t>Payee Tax Representations</w:t>
      </w:r>
      <w:r>
        <w:rPr>
          <w:rFonts w:ascii="Arial" w:cs="Arial" w:eastAsia="Arial" w:hAnsi="Arial"/>
          <w:sz w:val="16"/>
          <w:szCs w:val="16"/>
          <w:color w:val="auto"/>
        </w:rPr>
        <w:t>. Company is a corporation for U.S. federal income tax purposes and is organized under the laws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 of Delaware. Company is a “U.S. person” (as that term is used in section 1.1441-4(a)(3)(ii) of United States Treasury Regulations) for U.S. federal income tax purposes and an exempt recipient under Treasury Regulation Section 1.6049-4(c)(1)(ii). [</w:t>
      </w:r>
      <w:r>
        <w:rPr>
          <w:rFonts w:ascii="Arial" w:cs="Arial" w:eastAsia="Arial" w:hAnsi="Arial"/>
          <w:sz w:val="16"/>
          <w:szCs w:val="16"/>
          <w:i w:val="1"/>
          <w:iCs w:val="1"/>
          <w:color w:val="auto"/>
        </w:rPr>
        <w:t>Insert Dealer tax representation</w:t>
      </w:r>
      <w:r>
        <w:rPr>
          <w:rFonts w:ascii="Arial" w:cs="Arial" w:eastAsia="Arial" w:hAnsi="Arial"/>
          <w:sz w:val="16"/>
          <w:szCs w:val="16"/>
          <w:color w:val="auto"/>
        </w:rPr>
        <w:t>]. Dealer is a “U.S. person” (as that term is used in section 1.1441-4(a)(3)(ii) of United States Treasury Regulations) for U.S. federal income tax purposes. Each party agrees to give notice of any failure of a representation made by it under this Section 9(aa)(iii) to be accurate and true promptly upon learning of such failure.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220"/>
          </w:cols>
          <w:pgMar w:left="1440" w:top="976" w:right="239" w:bottom="1440" w:gutter="0" w:footer="0" w:header="0"/>
        </w:sectPr>
      </w:pPr>
    </w:p>
    <w:bookmarkStart w:id="236" w:name="page237"/>
    <w:bookmarkEnd w:id="236"/>
    <w:p>
      <w:pPr>
        <w:ind w:left="660"/>
        <w:spacing w:after="0"/>
        <w:rPr>
          <w:sz w:val="20"/>
          <w:szCs w:val="20"/>
          <w:color w:val="auto"/>
        </w:rPr>
      </w:pPr>
      <w:r>
        <w:rPr>
          <w:rFonts w:ascii="Arial" w:cs="Arial" w:eastAsia="Arial" w:hAnsi="Arial"/>
          <w:sz w:val="16"/>
          <w:szCs w:val="16"/>
          <w:color w:val="auto"/>
        </w:rPr>
        <w:t>Please confirm that the foregoing correctly sets forth the terms of our agreement by executing this Confirmation and returning it to Dealer.</w:t>
      </w:r>
    </w:p>
    <w:p>
      <w:pPr>
        <w:spacing w:after="0" w:line="20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318" w:lineRule="exact"/>
        <w:rPr>
          <w:sz w:val="20"/>
          <w:szCs w:val="20"/>
          <w:color w:val="auto"/>
        </w:rPr>
      </w:pPr>
    </w:p>
    <w:p>
      <w:pPr>
        <w:ind w:left="8640"/>
        <w:spacing w:after="0"/>
        <w:rPr>
          <w:sz w:val="20"/>
          <w:szCs w:val="20"/>
          <w:color w:val="auto"/>
        </w:rPr>
      </w:pPr>
      <w:r>
        <w:rPr>
          <w:rFonts w:ascii="Arial" w:cs="Arial" w:eastAsia="Arial" w:hAnsi="Arial"/>
          <w:sz w:val="18"/>
          <w:szCs w:val="18"/>
          <w:b w:val="1"/>
          <w:bCs w:val="1"/>
          <w:color w:val="auto"/>
        </w:rPr>
        <w:t>[Dealer]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5673725</wp:posOffset>
            </wp:positionH>
            <wp:positionV relativeFrom="paragraph">
              <wp:posOffset>31750</wp:posOffset>
            </wp:positionV>
            <wp:extent cx="15779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43"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Authorized Signatory</w:t>
      </w:r>
    </w:p>
    <w:p>
      <w:pPr>
        <w:spacing w:after="0" w:line="63"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Accepted and confirmed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Trade Date:</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31750</wp:posOffset>
            </wp:positionV>
            <wp:extent cx="26327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Authorized Signatory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91"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the [Base][Additional] Warrants</w:t>
      </w:r>
      <w:r>
        <w:rPr>
          <w:rFonts w:ascii="Arial" w:cs="Arial" w:eastAsia="Arial" w:hAnsi="Arial"/>
          <w:sz w:val="14"/>
          <w:szCs w:val="14"/>
          <w:color w:val="auto"/>
        </w:rPr>
        <w:t>]</w:t>
      </w:r>
    </w:p>
    <w:p>
      <w:pPr>
        <w:sectPr>
          <w:pgSz w:w="11900" w:h="16838" w:orient="portrait"/>
          <w:cols w:equalWidth="0" w:num="1">
            <w:col w:w="10620"/>
          </w:cols>
          <w:pgMar w:left="240" w:top="976" w:right="10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117" w:lineRule="exact"/>
        <w:rPr>
          <w:sz w:val="20"/>
          <w:szCs w:val="20"/>
          <w:color w:val="auto"/>
        </w:rPr>
      </w:pPr>
    </w:p>
    <w:p>
      <w:pPr>
        <w:ind w:left="660" w:hanging="652"/>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pacing w:after="0" w:line="200" w:lineRule="exact"/>
        <w:rPr>
          <w:sz w:val="20"/>
          <w:szCs w:val="20"/>
          <w:color w:val="auto"/>
        </w:rPr>
      </w:pPr>
    </w:p>
    <w:p>
      <w:pPr>
        <w:spacing w:after="0" w:line="295"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31750</wp:posOffset>
            </wp:positionV>
            <wp:extent cx="25298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1" w:right="2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117" w:lineRule="exact"/>
        <w:rPr>
          <w:sz w:val="20"/>
          <w:szCs w:val="20"/>
          <w:color w:val="auto"/>
        </w:rPr>
      </w:pPr>
    </w:p>
    <w:p>
      <w:pPr>
        <w:ind w:left="660" w:hanging="652"/>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2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2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pacing w:after="0" w:line="200" w:lineRule="exact"/>
        <w:rPr>
          <w:sz w:val="20"/>
          <w:szCs w:val="20"/>
          <w:color w:val="auto"/>
        </w:rPr>
      </w:pPr>
    </w:p>
    <w:p>
      <w:pPr>
        <w:spacing w:after="0" w:line="26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1642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John E. Geller, Jr.</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1" w:right="2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President and Chief Executive Officer of Marriott Vacations Worldwide Corporation (the “Company”) certify that:</w:t>
      </w:r>
    </w:p>
    <w:p>
      <w:pPr>
        <w:spacing w:after="0" w:line="117" w:lineRule="exact"/>
        <w:rPr>
          <w:sz w:val="20"/>
          <w:szCs w:val="20"/>
          <w:color w:val="auto"/>
        </w:rPr>
      </w:pPr>
    </w:p>
    <w:p>
      <w:pPr>
        <w:ind w:left="660" w:right="440" w:hanging="652"/>
        <w:spacing w:after="0" w:line="277" w:lineRule="auto"/>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2017 (the “Quarterly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660" w:right="420" w:hanging="652"/>
        <w:spacing w:after="0" w:line="277" w:lineRule="auto"/>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November 2,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31750</wp:posOffset>
            </wp:positionV>
            <wp:extent cx="20669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57"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John E. Geller, Jr., Executive Vice President and Chief Financial Officer of Marriott Vacations Worldwide Corporation (the “Company”) certify that:</w:t>
      </w:r>
    </w:p>
    <w:p>
      <w:pPr>
        <w:spacing w:after="0" w:line="129" w:lineRule="exact"/>
        <w:rPr>
          <w:sz w:val="20"/>
          <w:szCs w:val="20"/>
          <w:color w:val="auto"/>
        </w:rPr>
      </w:pPr>
    </w:p>
    <w:p>
      <w:pPr>
        <w:ind w:left="660" w:right="440" w:hanging="652"/>
        <w:spacing w:after="0" w:line="277" w:lineRule="auto"/>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2017 (the “Quarterly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660" w:right="420" w:hanging="652"/>
        <w:spacing w:after="0" w:line="277" w:lineRule="auto"/>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2,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31750</wp:posOffset>
            </wp:positionV>
            <wp:extent cx="2684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John E. Geller, Jr.</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9F6E5F"/>
    <w:multiLevelType w:val="hybridMultilevel"/>
    <w:lvl w:ilvl="0">
      <w:lvlJc w:val="left"/>
      <w:lvlText w:val="x"/>
      <w:numFmt w:val="bullet"/>
      <w:start w:val="1"/>
    </w:lvl>
  </w:abstractNum>
  <w:abstractNum w:abstractNumId="1">
    <w:nsid w:val="97E1B4E"/>
    <w:multiLevelType w:val="hybridMultilevel"/>
    <w:lvl w:ilvl="0">
      <w:lvlJc w:val="left"/>
      <w:lvlText w:val="☐"/>
      <w:numFmt w:val="bullet"/>
      <w:start w:val="1"/>
    </w:lvl>
  </w:abstractNum>
  <w:abstractNum w:abstractNumId="2">
    <w:nsid w:val="51088277"/>
    <w:multiLevelType w:val="hybridMultilevel"/>
    <w:lvl w:ilvl="0">
      <w:lvlJc w:val="left"/>
      <w:lvlText w:val="(%1)"/>
      <w:numFmt w:val="lowerRoman"/>
      <w:start w:val="2"/>
    </w:lvl>
  </w:abstractNum>
  <w:abstractNum w:abstractNumId="3">
    <w:nsid w:val="1CA0C5FA"/>
    <w:multiLevelType w:val="hybridMultilevel"/>
    <w:lvl w:ilvl="0">
      <w:lvlJc w:val="left"/>
      <w:lvlText w:val="•"/>
      <w:numFmt w:val="bullet"/>
      <w:start w:val="1"/>
    </w:lvl>
  </w:abstractNum>
  <w:abstractNum w:abstractNumId="4">
    <w:nsid w:val="53584BCB"/>
    <w:multiLevelType w:val="hybridMultilevel"/>
    <w:lvl w:ilvl="0">
      <w:lvlJc w:val="left"/>
      <w:lvlText w:val="(%1)"/>
      <w:numFmt w:val="decimal"/>
      <w:start w:val="1"/>
    </w:lvl>
  </w:abstractNum>
  <w:abstractNum w:abstractNumId="5">
    <w:nsid w:val="415E286C"/>
    <w:multiLevelType w:val="hybridMultilevel"/>
    <w:lvl w:ilvl="0">
      <w:lvlJc w:val="left"/>
      <w:lvlText w:val="(%1)"/>
      <w:numFmt w:val="decimal"/>
      <w:start w:val="1"/>
    </w:lvl>
  </w:abstractNum>
  <w:abstractNum w:abstractNumId="6">
    <w:nsid w:val="7C58FD05"/>
    <w:multiLevelType w:val="hybridMultilevel"/>
    <w:lvl w:ilvl="0">
      <w:lvlJc w:val="left"/>
      <w:lvlText w:val="(%1)"/>
      <w:numFmt w:val="decimal"/>
      <w:start w:val="1"/>
    </w:lvl>
  </w:abstractNum>
  <w:abstractNum w:abstractNumId="7">
    <w:nsid w:val="23D86AAC"/>
    <w:multiLevelType w:val="hybridMultilevel"/>
    <w:lvl w:ilvl="0">
      <w:lvlJc w:val="left"/>
      <w:lvlText w:val="(%1)"/>
      <w:numFmt w:val="decimal"/>
      <w:start w:val="1"/>
    </w:lvl>
  </w:abstractNum>
  <w:abstractNum w:abstractNumId="8">
    <w:nsid w:val="45E6D486"/>
    <w:multiLevelType w:val="hybridMultilevel"/>
    <w:lvl w:ilvl="0">
      <w:lvlJc w:val="left"/>
      <w:lvlText w:val="(%1)"/>
      <w:numFmt w:val="decimal"/>
      <w:start w:val="1"/>
    </w:lvl>
  </w:abstractNum>
  <w:abstractNum w:abstractNumId="9">
    <w:nsid w:val="5C10FE21"/>
    <w:multiLevelType w:val="hybridMultilevel"/>
    <w:lvl w:ilvl="0">
      <w:lvlJc w:val="left"/>
      <w:lvlText w:val="•"/>
      <w:numFmt w:val="bullet"/>
      <w:start w:val="1"/>
    </w:lvl>
  </w:abstractNum>
  <w:abstractNum w:abstractNumId="10">
    <w:nsid w:val="E7FFA2B"/>
    <w:multiLevelType w:val="hybridMultilevel"/>
    <w:lvl w:ilvl="0">
      <w:lvlJc w:val="left"/>
      <w:lvlText w:val="(%1)"/>
      <w:numFmt w:val="decimal"/>
      <w:start w:val="1"/>
    </w:lvl>
  </w:abstractNum>
  <w:abstractNum w:abstractNumId="11">
    <w:nsid w:val="3C5991AA"/>
    <w:multiLevelType w:val="hybridMultilevel"/>
    <w:lvl w:ilvl="0">
      <w:lvlJc w:val="left"/>
      <w:lvlText w:val="(%1)"/>
      <w:numFmt w:val="decimal"/>
      <w:start w:val="1"/>
    </w:lvl>
  </w:abstractNum>
  <w:abstractNum w:abstractNumId="12">
    <w:nsid w:val="4BD8591A"/>
    <w:multiLevelType w:val="hybridMultilevel"/>
    <w:lvl w:ilvl="0">
      <w:lvlJc w:val="left"/>
      <w:lvlText w:val="•"/>
      <w:numFmt w:val="bullet"/>
      <w:start w:val="1"/>
    </w:lvl>
  </w:abstractNum>
  <w:abstractNum w:abstractNumId="13">
    <w:nsid w:val="78DF6A55"/>
    <w:multiLevelType w:val="hybridMultilevel"/>
    <w:lvl w:ilvl="0">
      <w:lvlJc w:val="left"/>
      <w:lvlText w:val="(%1)"/>
      <w:numFmt w:val="decimal"/>
      <w:start w:val="1"/>
    </w:lvl>
  </w:abstractNum>
  <w:abstractNum w:abstractNumId="14">
    <w:nsid w:val="39B7AAA2"/>
    <w:multiLevelType w:val="hybridMultilevel"/>
    <w:lvl w:ilvl="0">
      <w:lvlJc w:val="left"/>
      <w:lvlText w:val="•"/>
      <w:numFmt w:val="bullet"/>
      <w:start w:val="1"/>
    </w:lvl>
  </w:abstractNum>
  <w:abstractNum w:abstractNumId="15">
    <w:nsid w:val="2B0D8DBE"/>
    <w:multiLevelType w:val="hybridMultilevel"/>
    <w:lvl w:ilvl="0">
      <w:lvlJc w:val="left"/>
      <w:lvlText w:val="(%1)"/>
      <w:numFmt w:val="decimal"/>
      <w:start w:val="1"/>
    </w:lvl>
  </w:abstractNum>
  <w:abstractNum w:abstractNumId="16">
    <w:nsid w:val="6C80EC70"/>
    <w:multiLevelType w:val="hybridMultilevel"/>
    <w:lvl w:ilvl="0">
      <w:lvlJc w:val="left"/>
      <w:lvlText w:val="(%1)"/>
      <w:numFmt w:val="decimal"/>
      <w:start w:val="1"/>
    </w:lvl>
  </w:abstractNum>
  <w:abstractNum w:abstractNumId="17">
    <w:nsid w:val="379E21B5"/>
    <w:multiLevelType w:val="hybridMultilevel"/>
    <w:lvl w:ilvl="0">
      <w:lvlJc w:val="left"/>
      <w:lvlText w:val="•"/>
      <w:numFmt w:val="bullet"/>
      <w:start w:val="1"/>
    </w:lvl>
  </w:abstractNum>
  <w:abstractNum w:abstractNumId="18">
    <w:nsid w:val="69E373"/>
    <w:multiLevelType w:val="hybridMultilevel"/>
    <w:lvl w:ilvl="0">
      <w:lvlJc w:val="left"/>
      <w:lvlText w:val="•"/>
      <w:numFmt w:val="bullet"/>
      <w:start w:val="1"/>
    </w:lvl>
  </w:abstractNum>
  <w:abstractNum w:abstractNumId="19">
    <w:nsid w:val="2C27173B"/>
    <w:multiLevelType w:val="hybridMultilevel"/>
    <w:lvl w:ilvl="0">
      <w:lvlJc w:val="left"/>
      <w:lvlText w:val="(%1)"/>
      <w:numFmt w:val="decimal"/>
      <w:start w:val="1"/>
    </w:lvl>
  </w:abstractNum>
  <w:abstractNum w:abstractNumId="20">
    <w:nsid w:val="4C9B0904"/>
    <w:multiLevelType w:val="hybridMultilevel"/>
    <w:lvl w:ilvl="0">
      <w:lvlJc w:val="left"/>
      <w:lvlText w:val="(%1)"/>
      <w:numFmt w:val="decimal"/>
      <w:start w:val="1"/>
    </w:lvl>
  </w:abstractNum>
  <w:abstractNum w:abstractNumId="21">
    <w:nsid w:val="6AA7B75C"/>
    <w:multiLevelType w:val="hybridMultilevel"/>
    <w:lvl w:ilvl="0">
      <w:lvlJc w:val="left"/>
      <w:lvlText w:val="•"/>
      <w:numFmt w:val="bullet"/>
      <w:start w:val="1"/>
    </w:lvl>
  </w:abstractNum>
  <w:abstractNum w:abstractNumId="22">
    <w:nsid w:val="1DF029D3"/>
    <w:multiLevelType w:val="hybridMultilevel"/>
    <w:lvl w:ilvl="0">
      <w:lvlJc w:val="left"/>
      <w:lvlText w:val="•"/>
      <w:numFmt w:val="bullet"/>
      <w:start w:val="1"/>
    </w:lvl>
  </w:abstractNum>
  <w:abstractNum w:abstractNumId="23">
    <w:nsid w:val="5675FF36"/>
    <w:multiLevelType w:val="hybridMultilevel"/>
    <w:lvl w:ilvl="0">
      <w:lvlJc w:val="left"/>
      <w:lvlText w:val="•"/>
      <w:numFmt w:val="bullet"/>
      <w:start w:val="1"/>
    </w:lvl>
  </w:abstractNum>
  <w:abstractNum w:abstractNumId="24">
    <w:nsid w:val="3DD15094"/>
    <w:multiLevelType w:val="hybridMultilevel"/>
    <w:lvl w:ilvl="0">
      <w:lvlJc w:val="left"/>
      <w:lvlText w:val="(%1)"/>
      <w:numFmt w:val="decimal"/>
      <w:start w:val="1"/>
    </w:lvl>
  </w:abstractNum>
  <w:abstractNum w:abstractNumId="25">
    <w:nsid w:val="3DB012B3"/>
    <w:multiLevelType w:val="hybridMultilevel"/>
    <w:lvl w:ilvl="0">
      <w:lvlJc w:val="left"/>
      <w:lvlText w:val="(%1)"/>
      <w:numFmt w:val="decimal"/>
      <w:start w:val="1"/>
    </w:lvl>
  </w:abstractNum>
  <w:abstractNum w:abstractNumId="26">
    <w:nsid w:val="2708C9AF"/>
    <w:multiLevelType w:val="hybridMultilevel"/>
    <w:lvl w:ilvl="0">
      <w:lvlJc w:val="left"/>
      <w:lvlText w:val="(%1)"/>
      <w:numFmt w:val="decimal"/>
      <w:start w:val="1"/>
    </w:lvl>
  </w:abstractNum>
  <w:abstractNum w:abstractNumId="27">
    <w:nsid w:val="5B25ACE2"/>
    <w:multiLevelType w:val="hybridMultilevel"/>
    <w:lvl w:ilvl="0">
      <w:lvlJc w:val="left"/>
      <w:lvlText w:val="(%1)"/>
      <w:numFmt w:val="decimal"/>
      <w:start w:val="1"/>
    </w:lvl>
  </w:abstractNum>
  <w:abstractNum w:abstractNumId="28">
    <w:nsid w:val="175DFCF0"/>
    <w:multiLevelType w:val="hybridMultilevel"/>
    <w:lvl w:ilvl="0">
      <w:lvlJc w:val="left"/>
      <w:lvlText w:val="•"/>
      <w:numFmt w:val="bullet"/>
      <w:start w:val="1"/>
    </w:lvl>
  </w:abstractNum>
  <w:abstractNum w:abstractNumId="29">
    <w:nsid w:val="4F97E3E4"/>
    <w:multiLevelType w:val="hybridMultilevel"/>
    <w:lvl w:ilvl="0">
      <w:lvlJc w:val="left"/>
      <w:lvlText w:val="•"/>
      <w:numFmt w:val="bullet"/>
      <w:start w:val="1"/>
    </w:lvl>
  </w:abstractNum>
  <w:abstractNum w:abstractNumId="30">
    <w:nsid w:val="53B0A9E"/>
    <w:multiLevelType w:val="hybridMultilevel"/>
    <w:lvl w:ilvl="0">
      <w:lvlJc w:val="left"/>
      <w:lvlText w:val="•"/>
      <w:numFmt w:val="bullet"/>
      <w:start w:val="1"/>
    </w:lvl>
  </w:abstractNum>
  <w:abstractNum w:abstractNumId="31">
    <w:nsid w:val="34FD6B4F"/>
    <w:multiLevelType w:val="hybridMultilevel"/>
    <w:lvl w:ilvl="0">
      <w:lvlJc w:val="left"/>
      <w:lvlText w:val="(%1)"/>
      <w:numFmt w:val="decimal"/>
      <w:start w:val="1"/>
    </w:lvl>
  </w:abstractNum>
  <w:abstractNum w:abstractNumId="32">
    <w:nsid w:val="5915FF32"/>
    <w:multiLevelType w:val="hybridMultilevel"/>
    <w:lvl w:ilvl="0">
      <w:lvlJc w:val="left"/>
      <w:lvlText w:val="(%1)"/>
      <w:numFmt w:val="decimal"/>
      <w:start w:val="1"/>
    </w:lvl>
  </w:abstractNum>
  <w:abstractNum w:abstractNumId="33">
    <w:nsid w:val="56438D15"/>
    <w:multiLevelType w:val="hybridMultilevel"/>
    <w:lvl w:ilvl="0">
      <w:lvlJc w:val="left"/>
      <w:lvlText w:val="(%1)"/>
      <w:numFmt w:val="decimal"/>
      <w:start w:val="1"/>
    </w:lvl>
  </w:abstractNum>
  <w:abstractNum w:abstractNumId="34">
    <w:nsid w:val="519E3149"/>
    <w:multiLevelType w:val="hybridMultilevel"/>
    <w:lvl w:ilvl="0">
      <w:lvlJc w:val="left"/>
      <w:lvlText w:val="(%1)"/>
      <w:numFmt w:val="decimal"/>
      <w:start w:val="1"/>
    </w:lvl>
  </w:abstractNum>
  <w:abstractNum w:abstractNumId="35">
    <w:nsid w:val="2C6E4AFD"/>
    <w:multiLevelType w:val="hybridMultilevel"/>
    <w:lvl w:ilvl="0">
      <w:lvlJc w:val="left"/>
      <w:lvlText w:val="(%1)"/>
      <w:numFmt w:val="decimal"/>
      <w:start w:val="1"/>
    </w:lvl>
  </w:abstractNum>
  <w:abstractNum w:abstractNumId="36">
    <w:nsid w:val="17A1B582"/>
    <w:multiLevelType w:val="hybridMultilevel"/>
    <w:lvl w:ilvl="0">
      <w:lvlJc w:val="left"/>
      <w:lvlText w:val="(%1)"/>
      <w:numFmt w:val="decimal"/>
      <w:start w:val="1"/>
    </w:lvl>
  </w:abstractNum>
  <w:abstractNum w:abstractNumId="37">
    <w:nsid w:val="4DF72E4E"/>
    <w:multiLevelType w:val="hybridMultilevel"/>
    <w:lvl w:ilvl="0">
      <w:lvlJc w:val="left"/>
      <w:lvlText w:val="(%1)"/>
      <w:numFmt w:val="decimal"/>
      <w:start w:val="1"/>
    </w:lvl>
  </w:abstractNum>
  <w:abstractNum w:abstractNumId="38">
    <w:nsid w:val="5046B5A9"/>
    <w:multiLevelType w:val="hybridMultilevel"/>
    <w:lvl w:ilvl="0">
      <w:lvlJc w:val="left"/>
      <w:lvlText w:val="(%1)"/>
      <w:numFmt w:val="decimal"/>
      <w:start w:val="1"/>
    </w:lvl>
  </w:abstractNum>
  <w:abstractNum w:abstractNumId="39">
    <w:nsid w:val="5D888A08"/>
    <w:multiLevelType w:val="hybridMultilevel"/>
    <w:lvl w:ilvl="0">
      <w:lvlJc w:val="left"/>
      <w:lvlText w:val="(%1)"/>
      <w:numFmt w:val="lowerLetter"/>
      <w:start w:val="1"/>
    </w:lvl>
  </w:abstractNum>
  <w:abstractNum w:abstractNumId="40">
    <w:nsid w:val="2A082C70"/>
    <w:multiLevelType w:val="hybridMultilevel"/>
    <w:lvl w:ilvl="0">
      <w:lvlJc w:val="left"/>
      <w:lvlText w:val="(%1)"/>
      <w:numFmt w:val="lowerLetter"/>
      <w:start w:val="1"/>
    </w:lvl>
  </w:abstractNum>
  <w:abstractNum w:abstractNumId="41">
    <w:nsid w:val="5EC6AFD4"/>
    <w:multiLevelType w:val="hybridMultilevel"/>
    <w:lvl w:ilvl="0">
      <w:lvlJc w:val="left"/>
      <w:lvlText w:val="(%1)"/>
      <w:numFmt w:val="lowerLetter"/>
      <w:start w:val="2"/>
    </w:lvl>
  </w:abstractNum>
  <w:abstractNum w:abstractNumId="42">
    <w:nsid w:val="19E21BB2"/>
    <w:multiLevelType w:val="hybridMultilevel"/>
    <w:lvl w:ilvl="0">
      <w:lvlJc w:val="left"/>
      <w:lvlText w:val="(%1)"/>
      <w:numFmt w:val="lowerLetter"/>
      <w:start w:val="1"/>
    </w:lvl>
  </w:abstractNum>
  <w:abstractNum w:abstractNumId="43">
    <w:nsid w:val="75E0858A"/>
    <w:multiLevelType w:val="hybridMultilevel"/>
    <w:lvl w:ilvl="0">
      <w:lvlJc w:val="left"/>
      <w:lvlText w:val="(%1)"/>
      <w:numFmt w:val="lowerLetter"/>
      <w:start w:val="1"/>
    </w:lvl>
  </w:abstractNum>
  <w:abstractNum w:abstractNumId="44">
    <w:nsid w:val="57A61A29"/>
    <w:multiLevelType w:val="hybridMultilevel"/>
    <w:lvl w:ilvl="0">
      <w:lvlJc w:val="left"/>
      <w:lvlText w:val="(%1)"/>
      <w:numFmt w:val="lowerLetter"/>
      <w:start w:val="1"/>
    </w:lvl>
  </w:abstractNum>
  <w:abstractNum w:abstractNumId="45">
    <w:nsid w:val="5399C654"/>
    <w:multiLevelType w:val="hybridMultilevel"/>
    <w:lvl w:ilvl="0">
      <w:lvlJc w:val="left"/>
      <w:lvlText w:val="(%1)"/>
      <w:numFmt w:val="lowerLetter"/>
      <w:start w:val="1"/>
    </w:lvl>
  </w:abstractNum>
  <w:abstractNum w:abstractNumId="46">
    <w:nsid w:val="20EE1348"/>
    <w:multiLevelType w:val="hybridMultilevel"/>
    <w:lvl w:ilvl="0">
      <w:lvlJc w:val="left"/>
      <w:lvlText w:val="(%1)"/>
      <w:numFmt w:val="lowerLetter"/>
      <w:start w:val="1"/>
    </w:lvl>
  </w:abstractNum>
  <w:abstractNum w:abstractNumId="47">
    <w:nsid w:val="4427069A"/>
    <w:multiLevelType w:val="hybridMultilevel"/>
    <w:lvl w:ilvl="0">
      <w:lvlJc w:val="left"/>
      <w:lvlText w:val="(%1)"/>
      <w:numFmt w:val="lowerLetter"/>
      <w:start w:val="1"/>
    </w:lvl>
  </w:abstractNum>
  <w:abstractNum w:abstractNumId="48">
    <w:nsid w:val="B37E80A"/>
    <w:multiLevelType w:val="hybridMultilevel"/>
    <w:lvl w:ilvl="0">
      <w:lvlJc w:val="left"/>
      <w:lvlText w:val="(%1)"/>
      <w:numFmt w:val="lowerLetter"/>
      <w:start w:val="2"/>
    </w:lvl>
  </w:abstractNum>
  <w:abstractNum w:abstractNumId="49">
    <w:nsid w:val="2157F6BC"/>
    <w:multiLevelType w:val="hybridMultilevel"/>
    <w:lvl w:ilvl="0">
      <w:lvlJc w:val="left"/>
      <w:lvlText w:val="(%1)"/>
      <w:numFmt w:val="lowerLetter"/>
      <w:start w:val="2"/>
    </w:lvl>
  </w:abstractNum>
  <w:abstractNum w:abstractNumId="50">
    <w:nsid w:val="704E1DD5"/>
    <w:multiLevelType w:val="hybridMultilevel"/>
    <w:lvl w:ilvl="0">
      <w:lvlJc w:val="left"/>
      <w:lvlText w:val="(%1)"/>
      <w:numFmt w:val="lowerLetter"/>
      <w:start w:val="1"/>
    </w:lvl>
    <w:lvl w:ilvl="1">
      <w:lvlJc w:val="left"/>
      <w:lvlText w:val="(%2)"/>
      <w:numFmt w:val="lowerRoman"/>
      <w:start w:val="1"/>
    </w:lvl>
  </w:abstractNum>
  <w:abstractNum w:abstractNumId="51">
    <w:nsid w:val="57D2F10E"/>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52">
    <w:nsid w:val="BFFAE18"/>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53">
    <w:nsid w:val="E3E47A8"/>
    <w:multiLevelType w:val="hybridMultilevel"/>
    <w:lvl w:ilvl="0">
      <w:lvlJc w:val="left"/>
      <w:lvlText w:val="(%1)"/>
      <w:numFmt w:val="lowerLetter"/>
      <w:start w:val="1"/>
    </w:lvl>
  </w:abstractNum>
  <w:abstractNum w:abstractNumId="54">
    <w:nsid w:val="2E48F044"/>
    <w:multiLevelType w:val="hybridMultilevel"/>
    <w:lvl w:ilvl="0">
      <w:lvlJc w:val="left"/>
      <w:lvlText w:val="(%1)"/>
      <w:numFmt w:val="decimal"/>
      <w:start w:val="1"/>
    </w:lvl>
  </w:abstractNum>
  <w:abstractNum w:abstractNumId="55">
    <w:nsid w:val="49D0FEAC"/>
    <w:multiLevelType w:val="hybridMultilevel"/>
    <w:lvl w:ilvl="0">
      <w:lvlJc w:val="left"/>
      <w:lvlText w:val="(%1)"/>
      <w:numFmt w:val="upperLetter"/>
      <w:start w:val="1"/>
    </w:lvl>
  </w:abstractNum>
  <w:abstractNum w:abstractNumId="56">
    <w:nsid w:val="4BEE5A5B"/>
    <w:multiLevelType w:val="hybridMultilevel"/>
    <w:lvl w:ilvl="0">
      <w:lvlJc w:val="left"/>
      <w:lvlText w:val="(%1)"/>
      <w:numFmt w:val="lowerLetter"/>
      <w:start w:val="1"/>
    </w:lvl>
  </w:abstractNum>
  <w:abstractNum w:abstractNumId="57">
    <w:nsid w:val="5551B9F3"/>
    <w:multiLevelType w:val="hybridMultilevel"/>
    <w:lvl w:ilvl="0">
      <w:lvlJc w:val="left"/>
      <w:lvlText w:val="(%1)"/>
      <w:numFmt w:val="lowerLetter"/>
      <w:start w:val="3"/>
    </w:lvl>
  </w:abstractNum>
  <w:abstractNum w:abstractNumId="58">
    <w:nsid w:val="24F6AB8E"/>
    <w:multiLevelType w:val="hybridMultilevel"/>
    <w:lvl w:ilvl="0">
      <w:lvlJc w:val="left"/>
      <w:lvlText w:val="(%1)"/>
      <w:numFmt w:val="decimal"/>
      <w:start w:val="1"/>
    </w:lvl>
  </w:abstractNum>
  <w:abstractNum w:abstractNumId="59">
    <w:nsid w:val="634C574C"/>
    <w:multiLevelType w:val="hybridMultilevel"/>
    <w:lvl w:ilvl="0">
      <w:lvlJc w:val="left"/>
      <w:lvlText w:val="(%1)"/>
      <w:numFmt w:val="upperLetter"/>
      <w:start w:val="1"/>
    </w:lvl>
  </w:abstractNum>
  <w:abstractNum w:abstractNumId="60">
    <w:nsid w:val="24E99DD7"/>
    <w:multiLevelType w:val="hybridMultilevel"/>
    <w:lvl w:ilvl="0">
      <w:lvlJc w:val="left"/>
      <w:lvlText w:val="(%1)"/>
      <w:numFmt w:val="upperLetter"/>
      <w:start w:val="3"/>
    </w:lvl>
  </w:abstractNum>
  <w:abstractNum w:abstractNumId="61">
    <w:nsid w:val="2A31B62D"/>
    <w:multiLevelType w:val="hybridMultilevel"/>
    <w:lvl w:ilvl="0">
      <w:lvlJc w:val="left"/>
      <w:lvlText w:val="(%1)"/>
      <w:numFmt w:val="lowerLetter"/>
      <w:start w:val="4"/>
    </w:lvl>
  </w:abstractNum>
  <w:abstractNum w:abstractNumId="62">
    <w:nsid w:val="1849C29B"/>
    <w:multiLevelType w:val="hybridMultilevel"/>
    <w:lvl w:ilvl="0">
      <w:lvlJc w:val="left"/>
      <w:lvlText w:val="(%1)"/>
      <w:numFmt w:val="lowerLetter"/>
      <w:start w:val="2"/>
    </w:lvl>
  </w:abstractNum>
  <w:abstractNum w:abstractNumId="63">
    <w:nsid w:val="7DFF9D09"/>
    <w:multiLevelType w:val="hybridMultilevel"/>
    <w:lvl w:ilvl="0">
      <w:lvlJc w:val="left"/>
      <w:lvlText w:val="(%1)"/>
      <w:numFmt w:val="lowerRoman"/>
      <w:start w:val="1"/>
    </w:lvl>
    <w:lvl w:ilvl="1">
      <w:lvlJc w:val="left"/>
      <w:lvlText w:val="(%2)"/>
      <w:numFmt w:val="upperLetter"/>
      <w:start w:val="1"/>
    </w:lvl>
  </w:abstractNum>
  <w:abstractNum w:abstractNumId="64">
    <w:nsid w:val="754342"/>
    <w:multiLevelType w:val="hybridMultilevel"/>
    <w:lvl w:ilvl="0">
      <w:lvlJc w:val="left"/>
      <w:lvlText w:val="(%1)"/>
      <w:numFmt w:val="lowerRoman"/>
      <w:start w:val="2"/>
    </w:lvl>
  </w:abstractNum>
  <w:abstractNum w:abstractNumId="65">
    <w:nsid w:val="69E7F3E5"/>
    <w:multiLevelType w:val="hybridMultilevel"/>
    <w:lvl w:ilvl="0">
      <w:lvlJc w:val="left"/>
      <w:lvlText w:val="%1"/>
      <w:numFmt w:val="lowerLetter"/>
      <w:start w:val="1"/>
    </w:lvl>
    <w:lvl w:ilvl="1">
      <w:lvlJc w:val="left"/>
      <w:lvlText w:val="(%2)"/>
      <w:numFmt w:val="lowerRoman"/>
      <w:start w:val="1"/>
    </w:lvl>
  </w:abstractNum>
  <w:abstractNum w:abstractNumId="66">
    <w:nsid w:val="2A6DE806"/>
    <w:multiLevelType w:val="hybridMultilevel"/>
    <w:lvl w:ilvl="0">
      <w:lvlJc w:val="left"/>
      <w:lvlText w:val="(%1)"/>
      <w:numFmt w:val="lowerLetter"/>
      <w:start w:val="2"/>
    </w:lvl>
    <w:lvl w:ilvl="1">
      <w:lvlJc w:val="left"/>
      <w:lvlText w:val="%2"/>
      <w:numFmt w:val="lowerRoman"/>
      <w:start w:val="1"/>
    </w:lvl>
  </w:abstractNum>
  <w:abstractNum w:abstractNumId="67">
    <w:nsid w:val="1816F8C4"/>
    <w:multiLevelType w:val="hybridMultilevel"/>
    <w:lvl w:ilvl="0">
      <w:lvlJc w:val="left"/>
      <w:lvlText w:val="(%1)"/>
      <w:numFmt w:val="lowerLetter"/>
      <w:start w:val="3"/>
    </w:lvl>
  </w:abstractNum>
  <w:abstractNum w:abstractNumId="68">
    <w:nsid w:val="37DF2233"/>
    <w:multiLevelType w:val="hybridMultilevel"/>
    <w:lvl w:ilvl="0">
      <w:lvlJc w:val="left"/>
      <w:lvlText w:val="(%1)"/>
      <w:numFmt w:val="lowerLetter"/>
      <w:start w:val="2"/>
    </w:lvl>
  </w:abstractNum>
  <w:abstractNum w:abstractNumId="69">
    <w:nsid w:val="7AB49DAF"/>
    <w:multiLevelType w:val="hybridMultilevel"/>
    <w:lvl w:ilvl="0">
      <w:lvlJc w:val="left"/>
      <w:lvlText w:val="(%1)"/>
      <w:numFmt w:val="lowerLetter"/>
      <w:start w:val="3"/>
    </w:lvl>
  </w:abstractNum>
  <w:abstractNum w:abstractNumId="70">
    <w:nsid w:val="759F82CD"/>
    <w:multiLevelType w:val="hybridMultilevel"/>
    <w:lvl w:ilvl="0">
      <w:lvlJc w:val="left"/>
      <w:lvlText w:val="(%1)"/>
      <w:numFmt w:val="lowerLetter"/>
      <w:start w:val="6"/>
    </w:lvl>
  </w:abstractNum>
  <w:abstractNum w:abstractNumId="71">
    <w:nsid w:val="61E74EA3"/>
    <w:multiLevelType w:val="hybridMultilevel"/>
    <w:lvl w:ilvl="0">
      <w:lvlJc w:val="left"/>
      <w:lvlText w:val="(%1)"/>
      <w:numFmt w:val="lowerLetter"/>
      <w:start w:val="1"/>
    </w:lvl>
  </w:abstractNum>
  <w:abstractNum w:abstractNumId="72">
    <w:nsid w:val="597B4D84"/>
    <w:multiLevelType w:val="hybridMultilevel"/>
    <w:lvl w:ilvl="0">
      <w:lvlJc w:val="left"/>
      <w:lvlText w:val="%1"/>
      <w:numFmt w:val="lowerLetter"/>
      <w:start w:val="1"/>
    </w:lvl>
    <w:lvl w:ilvl="1">
      <w:lvlJc w:val="left"/>
      <w:lvlText w:val="(%2)"/>
      <w:numFmt w:val="lowerLetter"/>
      <w:start w:val="2"/>
    </w:lvl>
  </w:abstractNum>
  <w:abstractNum w:abstractNumId="73">
    <w:nsid w:val="F819E7F"/>
    <w:multiLevelType w:val="hybridMultilevel"/>
    <w:lvl w:ilvl="0">
      <w:lvlJc w:val="left"/>
      <w:lvlText w:val="(%1)"/>
      <w:numFmt w:val="lowerLetter"/>
      <w:start w:val="9"/>
    </w:lvl>
    <w:lvl w:ilvl="1">
      <w:lvlJc w:val="left"/>
      <w:lvlText w:val="%2"/>
      <w:numFmt w:val="lowerLetter"/>
      <w:start w:val="1"/>
    </w:lvl>
  </w:abstractNum>
  <w:abstractNum w:abstractNumId="74">
    <w:nsid w:val="57C7D42D"/>
    <w:multiLevelType w:val="hybridMultilevel"/>
    <w:lvl w:ilvl="0">
      <w:lvlJc w:val="left"/>
      <w:lvlText w:val="(%1)"/>
      <w:numFmt w:val="lowerLetter"/>
      <w:start w:val="8"/>
    </w:lvl>
    <w:lvl w:ilvl="1">
      <w:lvlJc w:val="left"/>
      <w:lvlText w:val="(%2)"/>
      <w:numFmt w:val="lowerRoman"/>
      <w:start w:val="1"/>
    </w:lvl>
  </w:abstractNum>
  <w:abstractNum w:abstractNumId="75">
    <w:nsid w:val="312167AD"/>
    <w:multiLevelType w:val="hybridMultilevel"/>
    <w:lvl w:ilvl="0">
      <w:lvlJc w:val="left"/>
      <w:lvlText w:val="(%1)"/>
      <w:numFmt w:val="lowerLetter"/>
      <w:start w:val="10"/>
    </w:lvl>
  </w:abstractNum>
  <w:abstractNum w:abstractNumId="76">
    <w:nsid w:val="631B64D4"/>
    <w:multiLevelType w:val="hybridMultilevel"/>
    <w:lvl w:ilvl="0">
      <w:lvlJc w:val="left"/>
      <w:lvlText w:val="(%1)"/>
      <w:numFmt w:val="lowerLetter"/>
      <w:start w:val="1"/>
    </w:lvl>
  </w:abstractNum>
  <w:abstractNum w:abstractNumId="77">
    <w:nsid w:val="78B5E776"/>
    <w:multiLevelType w:val="hybridMultilevel"/>
    <w:lvl w:ilvl="0">
      <w:lvlJc w:val="left"/>
      <w:lvlText w:val="(%1)"/>
      <w:numFmt w:val="lowerLetter"/>
      <w:start w:val="2"/>
    </w:lvl>
  </w:abstractNum>
  <w:abstractNum w:abstractNumId="78">
    <w:nsid w:val="75486E47"/>
    <w:multiLevelType w:val="hybridMultilevel"/>
    <w:lvl w:ilvl="0">
      <w:lvlJc w:val="left"/>
      <w:lvlText w:val="(%1)"/>
      <w:numFmt w:val="lowerLetter"/>
      <w:start w:val="1"/>
    </w:lvl>
  </w:abstractNum>
  <w:abstractNum w:abstractNumId="79">
    <w:nsid w:val="6E534CDE"/>
    <w:multiLevelType w:val="hybridMultilevel"/>
    <w:lvl w:ilvl="0">
      <w:lvlJc w:val="left"/>
      <w:lvlText w:val="(%1)"/>
      <w:numFmt w:val="lowerLetter"/>
      <w:start w:val="4"/>
    </w:lvl>
  </w:abstractNum>
  <w:abstractNum w:abstractNumId="80">
    <w:nsid w:val="1A0DDE32"/>
    <w:multiLevelType w:val="hybridMultilevel"/>
    <w:lvl w:ilvl="0">
      <w:lvlJc w:val="left"/>
      <w:lvlText w:val="(%1)"/>
      <w:numFmt w:val="lowerLetter"/>
      <w:start w:val="1"/>
    </w:lvl>
  </w:abstractNum>
  <w:abstractNum w:abstractNumId="81">
    <w:nsid w:val="65968C1C"/>
    <w:multiLevelType w:val="hybridMultilevel"/>
    <w:lvl w:ilvl="0">
      <w:lvlJc w:val="left"/>
      <w:lvlText w:val="(%1)"/>
      <w:numFmt w:val="lowerLetter"/>
      <w:start w:val="2"/>
    </w:lvl>
    <w:lvl w:ilvl="1">
      <w:lvlJc w:val="left"/>
      <w:lvlText w:val="(%2)"/>
      <w:numFmt w:val="lowerRoman"/>
      <w:start w:val="1"/>
    </w:lvl>
  </w:abstractNum>
  <w:abstractNum w:abstractNumId="82">
    <w:nsid w:val="46263DEC"/>
    <w:multiLevelType w:val="hybridMultilevel"/>
    <w:lvl w:ilvl="0">
      <w:lvlJc w:val="left"/>
      <w:lvlText w:val="%1"/>
      <w:numFmt w:val="lowerLetter"/>
      <w:start w:val="1"/>
    </w:lvl>
    <w:lvl w:ilvl="1">
      <w:lvlJc w:val="left"/>
      <w:lvlText w:val="(%2)"/>
      <w:numFmt w:val="lowerRoman"/>
      <w:start w:val="1"/>
    </w:lvl>
  </w:abstractNum>
  <w:abstractNum w:abstractNumId="83">
    <w:nsid w:val="260D8C4A"/>
    <w:multiLevelType w:val="hybridMultilevel"/>
    <w:lvl w:ilvl="0">
      <w:lvlJc w:val="left"/>
      <w:lvlText w:val="(%1)"/>
      <w:numFmt w:val="lowerLetter"/>
      <w:start w:val="2"/>
    </w:lvl>
    <w:lvl w:ilvl="1">
      <w:lvlJc w:val="left"/>
      <w:lvlText w:val="%2"/>
      <w:numFmt w:val="lowerRoman"/>
      <w:start w:val="1"/>
    </w:lvl>
  </w:abstractNum>
  <w:abstractNum w:abstractNumId="84">
    <w:nsid w:val="73D4D3C4"/>
    <w:multiLevelType w:val="hybridMultilevel"/>
    <w:lvl w:ilvl="0">
      <w:lvlJc w:val="left"/>
      <w:lvlText w:val="%1"/>
      <w:numFmt w:val="lowerLetter"/>
      <w:start w:val="1"/>
    </w:lvl>
    <w:lvl w:ilvl="1">
      <w:lvlJc w:val="left"/>
      <w:lvlText w:val="(%2)"/>
      <w:numFmt w:val="lowerRoman"/>
      <w:start w:val="1"/>
    </w:lvl>
  </w:abstractNum>
  <w:abstractNum w:abstractNumId="85">
    <w:nsid w:val="746F2E30"/>
    <w:multiLevelType w:val="hybridMultilevel"/>
    <w:lvl w:ilvl="0">
      <w:lvlJc w:val="left"/>
      <w:lvlText w:val="(%1)"/>
      <w:numFmt w:val="lowerLetter"/>
      <w:start w:val="4"/>
    </w:lvl>
    <w:lvl w:ilvl="1">
      <w:lvlJc w:val="left"/>
      <w:lvlText w:val="%2"/>
      <w:numFmt w:val="lowerRoman"/>
      <w:start w:val="1"/>
    </w:lvl>
  </w:abstractNum>
  <w:abstractNum w:abstractNumId="86">
    <w:nsid w:val="6FDE8AF6"/>
    <w:multiLevelType w:val="hybridMultilevel"/>
    <w:lvl w:ilvl="0">
      <w:lvlJc w:val="left"/>
      <w:lvlText w:val="(%1)"/>
      <w:numFmt w:val="lowerLetter"/>
      <w:start w:val="1"/>
    </w:lvl>
  </w:abstractNum>
  <w:abstractNum w:abstractNumId="87">
    <w:nsid w:val="3FC32E20"/>
    <w:multiLevelType w:val="hybridMultilevel"/>
    <w:lvl w:ilvl="0">
      <w:lvlJc w:val="left"/>
      <w:lvlText w:val="(%1)"/>
      <w:numFmt w:val="lowerLetter"/>
      <w:start w:val="5"/>
    </w:lvl>
  </w:abstractNum>
  <w:abstractNum w:abstractNumId="88">
    <w:nsid w:val="49C0E823"/>
    <w:multiLevelType w:val="hybridMultilevel"/>
    <w:lvl w:ilvl="0">
      <w:lvlJc w:val="left"/>
      <w:lvlText w:val="(%1)"/>
      <w:numFmt w:val="lowerLetter"/>
      <w:start w:val="15"/>
    </w:lvl>
  </w:abstractNum>
  <w:abstractNum w:abstractNumId="89">
    <w:nsid w:val="14D53685"/>
    <w:multiLevelType w:val="hybridMultilevel"/>
    <w:lvl w:ilvl="0">
      <w:lvlJc w:val="left"/>
      <w:lvlText w:val="(%1)"/>
      <w:numFmt w:val="lowerLetter"/>
      <w:start w:val="1"/>
    </w:lvl>
    <w:lvl w:ilvl="1">
      <w:lvlJc w:val="left"/>
      <w:lvlText w:val="(%2)"/>
      <w:numFmt w:val="lowerRoman"/>
      <w:start w:val="1"/>
    </w:lvl>
  </w:abstractNum>
  <w:abstractNum w:abstractNumId="90">
    <w:nsid w:val="230F856C"/>
    <w:multiLevelType w:val="hybridMultilevel"/>
    <w:lvl w:ilvl="0">
      <w:lvlJc w:val="left"/>
      <w:lvlText w:val="(%1)"/>
      <w:numFmt w:val="lowerLetter"/>
      <w:start w:val="2"/>
    </w:lvl>
  </w:abstractNum>
  <w:abstractNum w:abstractNumId="91">
    <w:nsid w:val="6EAA85FB"/>
    <w:multiLevelType w:val="hybridMultilevel"/>
    <w:lvl w:ilvl="0">
      <w:lvlJc w:val="left"/>
      <w:lvlText w:val="(%1)"/>
      <w:numFmt w:val="lowerLetter"/>
      <w:start w:val="1"/>
    </w:lvl>
  </w:abstractNum>
  <w:abstractNum w:abstractNumId="92">
    <w:nsid w:val="3F06ECB2"/>
    <w:multiLevelType w:val="hybridMultilevel"/>
    <w:lvl w:ilvl="0">
      <w:lvlJc w:val="left"/>
      <w:lvlText w:val="(%1)"/>
      <w:numFmt w:val="lowerLetter"/>
      <w:start w:val="1"/>
    </w:lvl>
  </w:abstractNum>
  <w:abstractNum w:abstractNumId="93">
    <w:nsid w:val="3B594807"/>
    <w:multiLevelType w:val="hybridMultilevel"/>
    <w:lvl w:ilvl="0">
      <w:lvlJc w:val="left"/>
      <w:lvlText w:val="(%1)"/>
      <w:numFmt w:val="lowerLetter"/>
      <w:start w:val="1"/>
    </w:lvl>
  </w:abstractNum>
  <w:abstractNum w:abstractNumId="94">
    <w:nsid w:val="6CAA2304"/>
    <w:multiLevelType w:val="hybridMultilevel"/>
    <w:lvl w:ilvl="0">
      <w:lvlJc w:val="left"/>
      <w:lvlText w:val="(%1)"/>
      <w:numFmt w:val="lowerRoman"/>
      <w:start w:val="1"/>
    </w:lvl>
  </w:abstractNum>
  <w:abstractNum w:abstractNumId="95">
    <w:nsid w:val="3F7C2FF4"/>
    <w:multiLevelType w:val="hybridMultilevel"/>
    <w:lvl w:ilvl="0">
      <w:lvlJc w:val="left"/>
      <w:lvlText w:val="(%1)"/>
      <w:numFmt w:val="lowerLetter"/>
      <w:start w:val="2"/>
    </w:lvl>
  </w:abstractNum>
  <w:abstractNum w:abstractNumId="96">
    <w:nsid w:val="25413BEC"/>
    <w:multiLevelType w:val="hybridMultilevel"/>
    <w:lvl w:ilvl="0">
      <w:lvlJc w:val="left"/>
      <w:lvlText w:val="(%1)"/>
      <w:numFmt w:val="lowerLetter"/>
      <w:start w:val="1"/>
    </w:lvl>
    <w:lvl w:ilvl="1">
      <w:lvlJc w:val="left"/>
      <w:lvlText w:val="(%2)"/>
      <w:numFmt w:val="lowerRoman"/>
      <w:start w:val="1"/>
    </w:lvl>
  </w:abstractNum>
  <w:abstractNum w:abstractNumId="97">
    <w:nsid w:val="17180B0B"/>
    <w:multiLevelType w:val="hybridMultilevel"/>
    <w:lvl w:ilvl="0">
      <w:lvlJc w:val="left"/>
      <w:lvlText w:val="(%1)"/>
      <w:numFmt w:val="lowerLetter"/>
      <w:start w:val="2"/>
    </w:lvl>
    <w:lvl w:ilvl="1">
      <w:lvlJc w:val="left"/>
      <w:lvlText w:val="(%2)"/>
      <w:numFmt w:val="upperLetter"/>
      <w:start w:val="1"/>
    </w:lvl>
  </w:abstractNum>
  <w:abstractNum w:abstractNumId="98">
    <w:nsid w:val="579328B9"/>
    <w:multiLevelType w:val="hybridMultilevel"/>
    <w:lvl w:ilvl="0">
      <w:lvlJc w:val="left"/>
      <w:lvlText w:val="(%1)"/>
      <w:numFmt w:val="upperLetter"/>
      <w:start w:val="1"/>
    </w:lvl>
  </w:abstractNum>
  <w:abstractNum w:abstractNumId="99">
    <w:nsid w:val="5D205E20"/>
    <w:multiLevelType w:val="hybridMultilevel"/>
    <w:lvl w:ilvl="0">
      <w:lvlJc w:val="left"/>
      <w:lvlText w:val="(%1)"/>
      <w:numFmt w:val="lowerRoman"/>
      <w:start w:val="3"/>
    </w:lvl>
  </w:abstractNum>
  <w:abstractNum w:abstractNumId="100">
    <w:nsid w:val="11CCA8BA"/>
    <w:multiLevelType w:val="hybridMultilevel"/>
    <w:lvl w:ilvl="0">
      <w:lvlJc w:val="left"/>
      <w:lvlText w:val="(%1)"/>
      <w:numFmt w:val="upperLetter"/>
      <w:start w:val="1"/>
    </w:lvl>
  </w:abstractNum>
  <w:abstractNum w:abstractNumId="101">
    <w:nsid w:val="4D32AB86"/>
    <w:multiLevelType w:val="hybridMultilevel"/>
    <w:lvl w:ilvl="0">
      <w:lvlJc w:val="left"/>
      <w:lvlText w:val="•"/>
      <w:numFmt w:val="bullet"/>
      <w:start w:val="1"/>
    </w:lvl>
  </w:abstractNum>
  <w:abstractNum w:abstractNumId="102">
    <w:nsid w:val="3F07ACC3"/>
    <w:multiLevelType w:val="hybridMultilevel"/>
    <w:lvl w:ilvl="0">
      <w:lvlJc w:val="left"/>
      <w:lvlText w:val="(%1)"/>
      <w:numFmt w:val="lowerRoman"/>
      <w:start w:val="4"/>
    </w:lvl>
  </w:abstractNum>
  <w:abstractNum w:abstractNumId="103">
    <w:nsid w:val="6B47F63E"/>
    <w:multiLevelType w:val="hybridMultilevel"/>
    <w:lvl w:ilvl="0">
      <w:lvlJc w:val="left"/>
      <w:lvlText w:val="(%1)"/>
      <w:numFmt w:val="lowerLetter"/>
      <w:start w:val="1"/>
    </w:lvl>
    <w:lvl w:ilvl="1">
      <w:lvlJc w:val="left"/>
      <w:lvlText w:val="(%2)"/>
      <w:numFmt w:val="lowerRoman"/>
      <w:start w:val="1"/>
    </w:lvl>
  </w:abstractNum>
  <w:abstractNum w:abstractNumId="104">
    <w:nsid w:val="5CB44A05"/>
    <w:multiLevelType w:val="hybridMultilevel"/>
    <w:lvl w:ilvl="0">
      <w:lvlJc w:val="left"/>
      <w:lvlText w:val="(%1)"/>
      <w:numFmt w:val="lowerRoman"/>
      <w:start w:val="3"/>
    </w:lvl>
    <w:lvl w:ilvl="1">
      <w:lvlJc w:val="left"/>
      <w:lvlText w:val="(%2)"/>
      <w:numFmt w:val="upperLetter"/>
      <w:start w:val="1"/>
    </w:lvl>
  </w:abstractNum>
  <w:abstractNum w:abstractNumId="105">
    <w:nsid w:val="16CF80F1"/>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06">
    <w:nsid w:val="1C695DE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7">
    <w:nsid w:val="3FCFAED9"/>
    <w:multiLevelType w:val="hybridMultilevel"/>
    <w:lvl w:ilvl="0">
      <w:lvlJc w:val="left"/>
      <w:lvlText w:val="%1"/>
      <w:numFmt w:val="lowerRoman"/>
      <w:start w:val="1"/>
    </w:lvl>
    <w:lvl w:ilvl="1">
      <w:lvlJc w:val="left"/>
      <w:lvlText w:val="(%2)"/>
      <w:numFmt w:val="upperLetter"/>
      <w:start w:val="2"/>
    </w:lvl>
  </w:abstractNum>
  <w:abstractNum w:abstractNumId="108">
    <w:nsid w:val="F856867"/>
    <w:multiLevelType w:val="hybridMultilevel"/>
    <w:lvl w:ilvl="0">
      <w:lvlJc w:val="left"/>
      <w:lvlText w:val="(%1)"/>
      <w:numFmt w:val="lowerRoman"/>
      <w:start w:val="2"/>
    </w:lvl>
    <w:lvl w:ilvl="1">
      <w:lvlJc w:val="left"/>
      <w:lvlText w:val="(%2)"/>
      <w:numFmt w:val="upperLetter"/>
      <w:start w:val="1"/>
    </w:lvl>
  </w:abstractNum>
  <w:abstractNum w:abstractNumId="109">
    <w:nsid w:val="11B1CC33"/>
    <w:multiLevelType w:val="hybridMultilevel"/>
    <w:lvl w:ilvl="0">
      <w:lvlJc w:val="left"/>
      <w:lvlText w:val="(%1)"/>
      <w:numFmt w:val="lowerLetter"/>
      <w:start w:val="3"/>
    </w:lvl>
  </w:abstractNum>
  <w:abstractNum w:abstractNumId="110">
    <w:nsid w:val="2E22FBB7"/>
    <w:multiLevelType w:val="hybridMultilevel"/>
    <w:lvl w:ilvl="0">
      <w:lvlJc w:val="left"/>
      <w:lvlText w:val="(%1)"/>
      <w:numFmt w:val="lowerRoman"/>
      <w:start w:val="1"/>
    </w:lvl>
  </w:abstractNum>
  <w:abstractNum w:abstractNumId="111">
    <w:nsid w:val="29934699"/>
    <w:multiLevelType w:val="hybridMultilevel"/>
    <w:lvl w:ilvl="0">
      <w:lvlJc w:val="left"/>
      <w:lvlText w:val="(%1)"/>
      <w:numFmt w:val="lowerLetter"/>
      <w:start w:val="4"/>
    </w:lvl>
  </w:abstractNum>
  <w:abstractNum w:abstractNumId="112">
    <w:nsid w:val="77485850"/>
    <w:multiLevelType w:val="hybridMultilevel"/>
    <w:lvl w:ilvl="0">
      <w:lvlJc w:val="left"/>
      <w:lvlText w:val="(%1)"/>
      <w:numFmt w:val="lowerRoman"/>
      <w:start w:val="1"/>
    </w:lvl>
  </w:abstractNum>
  <w:abstractNum w:abstractNumId="113">
    <w:nsid w:val="744939A3"/>
    <w:multiLevelType w:val="hybridMultilevel"/>
    <w:lvl w:ilvl="0">
      <w:lvlJc w:val="left"/>
      <w:lvlText w:val="(%1)"/>
      <w:numFmt w:val="lowerLetter"/>
      <w:start w:val="8"/>
    </w:lvl>
  </w:abstractNum>
  <w:abstractNum w:abstractNumId="114">
    <w:nsid w:val="4FA0D2E3"/>
    <w:multiLevelType w:val="hybridMultilevel"/>
    <w:lvl w:ilvl="0">
      <w:lvlJc w:val="left"/>
      <w:lvlText w:val="(%1)"/>
      <w:numFmt w:val="lowerLetter"/>
      <w:start w:val="9"/>
    </w:lvl>
    <w:lvl w:ilvl="1">
      <w:lvlJc w:val="left"/>
      <w:lvlText w:val="(%2)"/>
      <w:numFmt w:val="lowerLetter"/>
      <w:start w:val="10"/>
    </w:lvl>
  </w:abstractNum>
  <w:abstractNum w:abstractNumId="115">
    <w:nsid w:val="6B1D2C14"/>
    <w:multiLevelType w:val="hybridMultilevel"/>
    <w:lvl w:ilvl="0">
      <w:lvlJc w:val="left"/>
      <w:lvlText w:val="(%1)"/>
      <w:numFmt w:val="lowerLetter"/>
      <w:start w:val="2"/>
    </w:lvl>
  </w:abstractNum>
  <w:abstractNum w:abstractNumId="116">
    <w:nsid w:val="68B867D3"/>
    <w:multiLevelType w:val="hybridMultilevel"/>
    <w:lvl w:ilvl="0">
      <w:lvlJc w:val="left"/>
      <w:lvlText w:val="(%1)"/>
      <w:numFmt w:val="lowerLetter"/>
      <w:start w:val="5"/>
    </w:lvl>
  </w:abstractNum>
  <w:abstractNum w:abstractNumId="117">
    <w:nsid w:val="3F7F5DD9"/>
    <w:multiLevelType w:val="hybridMultilevel"/>
    <w:lvl w:ilvl="0">
      <w:lvlJc w:val="left"/>
      <w:lvlText w:val="(%1)"/>
      <w:numFmt w:val="lowerRoman"/>
      <w:start w:val="1"/>
    </w:lvl>
  </w:abstractNum>
  <w:abstractNum w:abstractNumId="118">
    <w:nsid w:val="2AE05A34"/>
    <w:multiLevelType w:val="hybridMultilevel"/>
    <w:lvl w:ilvl="0">
      <w:lvlJc w:val="left"/>
      <w:lvlText w:val="(%1)"/>
      <w:numFmt w:val="lowerLetter"/>
      <w:start w:val="6"/>
    </w:lvl>
  </w:abstractNum>
  <w:abstractNum w:abstractNumId="119">
    <w:nsid w:val="32794FF7"/>
    <w:multiLevelType w:val="hybridMultilevel"/>
    <w:lvl w:ilvl="0">
      <w:lvlJc w:val="left"/>
      <w:lvlText w:val="(%1)"/>
      <w:numFmt w:val="lowerLetter"/>
      <w:start w:val="35"/>
    </w:lvl>
    <w:lvl w:ilvl="1">
      <w:lvlJc w:val="left"/>
      <w:lvlText w:val="(%2)"/>
      <w:numFmt w:val="lowerLetter"/>
      <w:start w:val="1"/>
    </w:lvl>
  </w:abstractNum>
  <w:abstractNum w:abstractNumId="120">
    <w:nsid w:val="5454945E"/>
    <w:multiLevelType w:val="hybridMultilevel"/>
    <w:lvl w:ilvl="0">
      <w:lvlJc w:val="left"/>
      <w:lvlText w:val="(%1)"/>
      <w:numFmt w:val="lowerLetter"/>
      <w:start w:val="2"/>
    </w:lvl>
  </w:abstractNum>
  <w:abstractNum w:abstractNumId="121">
    <w:nsid w:val="4DEFDFA0"/>
    <w:multiLevelType w:val="hybridMultilevel"/>
    <w:lvl w:ilvl="0">
      <w:lvlJc w:val="left"/>
      <w:lvlText w:val="X"/>
      <w:numFmt w:val="bullet"/>
      <w:start w:val="1"/>
    </w:lvl>
  </w:abstractNum>
  <w:abstractNum w:abstractNumId="122">
    <w:nsid w:val="2123D5F2"/>
    <w:multiLevelType w:val="hybridMultilevel"/>
    <w:lvl w:ilvl="0">
      <w:lvlJc w:val="left"/>
      <w:lvlText w:val="Y"/>
      <w:numFmt w:val="bullet"/>
      <w:start w:val="1"/>
    </w:lvl>
  </w:abstractNum>
  <w:abstractNum w:abstractNumId="123">
    <w:nsid w:val="135B8110"/>
    <w:multiLevelType w:val="hybridMultilevel"/>
    <w:lvl w:ilvl="0">
      <w:lvlJc w:val="left"/>
      <w:lvlText w:val="(%1)"/>
      <w:numFmt w:val="lowerLetter"/>
      <w:start w:val="3"/>
    </w:lvl>
    <w:lvl w:ilvl="1">
      <w:lvlJc w:val="left"/>
      <w:lvlText w:val="(%2)"/>
      <w:numFmt w:val="lowerRoman"/>
      <w:start w:val="1"/>
    </w:lvl>
  </w:abstractNum>
  <w:abstractNum w:abstractNumId="124">
    <w:nsid w:val="94927A8"/>
    <w:multiLevelType w:val="hybridMultilevel"/>
    <w:lvl w:ilvl="0">
      <w:lvlJc w:val="left"/>
      <w:lvlText w:val="(%1)"/>
      <w:numFmt w:val="lowerRoman"/>
      <w:start w:val="1"/>
    </w:lvl>
  </w:abstractNum>
  <w:abstractNum w:abstractNumId="125">
    <w:nsid w:val="DCDF8F6"/>
    <w:multiLevelType w:val="hybridMultilevel"/>
    <w:lvl w:ilvl="0">
      <w:lvlJc w:val="left"/>
      <w:lvlText w:val="(%1)"/>
      <w:numFmt w:val="upperLetter"/>
      <w:start w:val="1"/>
    </w:lvl>
  </w:abstractNum>
  <w:abstractNum w:abstractNumId="126">
    <w:nsid w:val="52D7B105"/>
    <w:multiLevelType w:val="hybridMultilevel"/>
    <w:lvl w:ilvl="0">
      <w:lvlJc w:val="left"/>
      <w:lvlText w:val="(%1)"/>
      <w:numFmt w:val="upperLetter"/>
      <w:start w:val="2"/>
    </w:lvl>
  </w:abstractNum>
  <w:abstractNum w:abstractNumId="127">
    <w:nsid w:val="2E8A6394"/>
    <w:multiLevelType w:val="hybridMultilevel"/>
    <w:lvl w:ilvl="0">
      <w:lvlJc w:val="left"/>
      <w:lvlText w:val="(%1)"/>
      <w:numFmt w:val="lowerRoman"/>
      <w:start w:val="1"/>
    </w:lvl>
  </w:abstractNum>
  <w:abstractNum w:abstractNumId="128">
    <w:nsid w:val="24E60401"/>
    <w:multiLevelType w:val="hybridMultilevel"/>
    <w:lvl w:ilvl="0">
      <w:lvlJc w:val="left"/>
      <w:lvlText w:val="%1"/>
      <w:numFmt w:val="lowerLetter"/>
      <w:start w:val="1"/>
    </w:lvl>
    <w:lvl w:ilvl="1">
      <w:lvlJc w:val="left"/>
      <w:lvlText w:val="(%2)"/>
      <w:numFmt w:val="upperLetter"/>
      <w:start w:val="1"/>
    </w:lvl>
  </w:abstractNum>
  <w:abstractNum w:abstractNumId="129">
    <w:nsid w:val="2A6AD9BE"/>
    <w:multiLevelType w:val="hybridMultilevel"/>
    <w:lvl w:ilvl="0">
      <w:lvlJc w:val="left"/>
      <w:lvlText w:val="(%1)"/>
      <w:numFmt w:val="lowerLetter"/>
      <w:start w:val="4"/>
    </w:lvl>
    <w:lvl w:ilvl="1">
      <w:lvlJc w:val="left"/>
      <w:lvlText w:val="%2"/>
      <w:numFmt w:val="upperLetter"/>
      <w:start w:val="1"/>
    </w:lvl>
  </w:abstractNum>
  <w:abstractNum w:abstractNumId="130">
    <w:nsid w:val="BAAC1B4"/>
    <w:multiLevelType w:val="hybridMultilevel"/>
    <w:lvl w:ilvl="0">
      <w:lvlJc w:val="left"/>
      <w:lvlText w:val="T"/>
      <w:numFmt w:val="bullet"/>
      <w:start w:val="1"/>
    </w:lvl>
  </w:abstractNum>
  <w:abstractNum w:abstractNumId="131">
    <w:nsid w:val="36B2ACBC"/>
    <w:multiLevelType w:val="hybridMultilevel"/>
    <w:lvl w:ilvl="0">
      <w:lvlJc w:val="left"/>
      <w:lvlText w:val="C"/>
      <w:numFmt w:val="bullet"/>
      <w:start w:val="1"/>
    </w:lvl>
  </w:abstractNum>
  <w:abstractNum w:abstractNumId="132">
    <w:nsid w:val="779D8544"/>
    <w:multiLevelType w:val="hybridMultilevel"/>
    <w:lvl w:ilvl="0">
      <w:lvlJc w:val="left"/>
      <w:lvlText w:val="(%1)"/>
      <w:numFmt w:val="lowerLetter"/>
      <w:start w:val="5"/>
    </w:lvl>
  </w:abstractNum>
  <w:abstractNum w:abstractNumId="133">
    <w:nsid w:val="4AB26E78"/>
    <w:multiLevelType w:val="hybridMultilevel"/>
    <w:lvl w:ilvl="0">
      <w:lvlJc w:val="left"/>
      <w:lvlText w:val="(%1)"/>
      <w:numFmt w:val="lowerLetter"/>
      <w:start w:val="6"/>
    </w:lvl>
  </w:abstractNum>
  <w:abstractNum w:abstractNumId="134">
    <w:nsid w:val="21FAA2FA"/>
    <w:multiLevelType w:val="hybridMultilevel"/>
    <w:lvl w:ilvl="0">
      <w:lvlJc w:val="left"/>
      <w:lvlText w:val="(%1)"/>
      <w:numFmt w:val="lowerLetter"/>
      <w:start w:val="9"/>
    </w:lvl>
    <w:lvl w:ilvl="1">
      <w:lvlJc w:val="left"/>
      <w:lvlText w:val="(%2)"/>
      <w:numFmt w:val="lowerRoman"/>
      <w:start w:val="1"/>
    </w:lvl>
  </w:abstractNum>
  <w:abstractNum w:abstractNumId="135">
    <w:nsid w:val="5451CF49"/>
    <w:multiLevelType w:val="hybridMultilevel"/>
    <w:lvl w:ilvl="0">
      <w:lvlJc w:val="left"/>
      <w:lvlText w:val="(%1)"/>
      <w:numFmt w:val="lowerRoman"/>
      <w:start w:val="4"/>
    </w:lvl>
  </w:abstractNum>
  <w:abstractNum w:abstractNumId="136">
    <w:nsid w:val="6181EF69"/>
    <w:multiLevelType w:val="hybridMultilevel"/>
    <w:lvl w:ilvl="0">
      <w:lvlJc w:val="left"/>
      <w:lvlText w:val="(%1)"/>
      <w:numFmt w:val="lowerLetter"/>
      <w:start w:val="1"/>
    </w:lvl>
    <w:lvl w:ilvl="1">
      <w:lvlJc w:val="left"/>
      <w:lvlText w:val="(%2)"/>
      <w:numFmt w:val="lowerRoman"/>
      <w:start w:val="1"/>
    </w:lvl>
  </w:abstractNum>
  <w:abstractNum w:abstractNumId="137">
    <w:nsid w:val="3E6400E6"/>
    <w:multiLevelType w:val="hybridMultilevel"/>
    <w:lvl w:ilvl="0">
      <w:lvlJc w:val="left"/>
      <w:lvlText w:val="(%1)"/>
      <w:numFmt w:val="upperLetter"/>
      <w:start w:val="1"/>
    </w:lvl>
  </w:abstractNum>
  <w:abstractNum w:abstractNumId="138">
    <w:nsid w:val="14217E23"/>
    <w:multiLevelType w:val="hybridMultilevel"/>
    <w:lvl w:ilvl="0">
      <w:lvlJc w:val="left"/>
      <w:lvlText w:val="(%1)"/>
      <w:numFmt w:val="lowerLetter"/>
      <w:start w:val="2"/>
    </w:lvl>
  </w:abstractNum>
  <w:abstractNum w:abstractNumId="139">
    <w:nsid w:val="710757D0"/>
    <w:multiLevelType w:val="hybridMultilevel"/>
    <w:lvl w:ilvl="0">
      <w:lvlJc w:val="left"/>
      <w:lvlText w:val="(%1)"/>
      <w:numFmt w:val="lowerLetter"/>
      <w:start w:val="1"/>
    </w:lvl>
  </w:abstractNum>
  <w:abstractNum w:abstractNumId="140">
    <w:nsid w:val="5015CD1A"/>
    <w:multiLevelType w:val="hybridMultilevel"/>
    <w:lvl w:ilvl="0">
      <w:lvlJc w:val="left"/>
      <w:lvlText w:val="(%1)"/>
      <w:numFmt w:val="lowerLetter"/>
      <w:start w:val="2"/>
    </w:lvl>
  </w:abstractNum>
  <w:abstractNum w:abstractNumId="141">
    <w:nsid w:val="424479DA"/>
    <w:multiLevelType w:val="hybridMultilevel"/>
    <w:lvl w:ilvl="0">
      <w:lvlJc w:val="left"/>
      <w:lvlText w:val="(%1)"/>
      <w:numFmt w:val="lowerLetter"/>
      <w:start w:val="1"/>
    </w:lvl>
  </w:abstractNum>
  <w:abstractNum w:abstractNumId="142">
    <w:nsid w:val="1A9A9E69"/>
    <w:multiLevelType w:val="hybridMultilevel"/>
    <w:lvl w:ilvl="0">
      <w:lvlJc w:val="left"/>
      <w:lvlText w:val="(%1)"/>
      <w:numFmt w:val="lowerLetter"/>
      <w:start w:val="2"/>
    </w:lvl>
    <w:lvl w:ilvl="1">
      <w:lvlJc w:val="left"/>
      <w:lvlText w:val="(%2)"/>
      <w:numFmt w:val="lowerRoman"/>
      <w:start w:val="1"/>
    </w:lvl>
  </w:abstractNum>
  <w:abstractNum w:abstractNumId="143">
    <w:nsid w:val="475E256A"/>
    <w:multiLevelType w:val="hybridMultilevel"/>
    <w:lvl w:ilvl="0">
      <w:lvlJc w:val="left"/>
      <w:lvlText w:val="%1."/>
      <w:numFmt w:val="upperLetter"/>
      <w:start w:val="1"/>
    </w:lvl>
  </w:abstractNum>
  <w:abstractNum w:abstractNumId="144">
    <w:nsid w:val="368DB37E"/>
    <w:multiLevelType w:val="hybridMultilevel"/>
    <w:lvl w:ilvl="0">
      <w:lvlJc w:val="left"/>
      <w:lvlText w:val="%1."/>
      <w:numFmt w:val="upperLetter"/>
      <w:start w:val="3"/>
    </w:lvl>
  </w:abstractNum>
  <w:abstractNum w:abstractNumId="145">
    <w:nsid w:val="6A3B714C"/>
    <w:multiLevelType w:val="hybridMultilevel"/>
    <w:lvl w:ilvl="0">
      <w:lvlJc w:val="left"/>
      <w:lvlText w:val="(%1)"/>
      <w:numFmt w:val="lowerLetter"/>
      <w:start w:val="3"/>
    </w:lvl>
    <w:lvl w:ilvl="1">
      <w:lvlJc w:val="left"/>
      <w:lvlText w:val="(%2)"/>
      <w:numFmt w:val="lowerRoman"/>
      <w:start w:val="1"/>
    </w:lvl>
  </w:abstractNum>
  <w:abstractNum w:abstractNumId="146">
    <w:nsid w:val="327B517E"/>
    <w:multiLevelType w:val="hybridMultilevel"/>
    <w:lvl w:ilvl="0">
      <w:lvlJc w:val="left"/>
      <w:lvlText w:val="(%1)"/>
      <w:numFmt w:val="lowerRoman"/>
      <w:start w:val="9"/>
    </w:lvl>
  </w:abstractNum>
  <w:abstractNum w:abstractNumId="147">
    <w:nsid w:val="1F461B51"/>
    <w:multiLevelType w:val="hybridMultilevel"/>
    <w:lvl w:ilvl="0">
      <w:lvlJc w:val="left"/>
      <w:lvlText w:val="(%1)"/>
      <w:numFmt w:val="lowerLetter"/>
      <w:start w:val="4"/>
    </w:lvl>
  </w:abstractNum>
  <w:abstractNum w:abstractNumId="148">
    <w:nsid w:val="29BACF25"/>
    <w:multiLevelType w:val="hybridMultilevel"/>
    <w:lvl w:ilvl="0">
      <w:lvlJc w:val="left"/>
      <w:lvlText w:val="(%1)"/>
      <w:numFmt w:val="lowerLetter"/>
      <w:start w:val="1"/>
    </w:lvl>
  </w:abstractNum>
  <w:abstractNum w:abstractNumId="149">
    <w:nsid w:val="5D5BABB3"/>
    <w:multiLevelType w:val="hybridMultilevel"/>
    <w:lvl w:ilvl="0">
      <w:lvlJc w:val="left"/>
      <w:lvlText w:val="(%1)"/>
      <w:numFmt w:val="lowerLetter"/>
      <w:start w:val="2"/>
    </w:lvl>
  </w:abstractNum>
  <w:abstractNum w:abstractNumId="150">
    <w:nsid w:val="51BF6B48"/>
    <w:multiLevelType w:val="hybridMultilevel"/>
    <w:lvl w:ilvl="0">
      <w:lvlJc w:val="left"/>
      <w:lvlText w:val="(%1)"/>
      <w:numFmt w:val="lowerLetter"/>
      <w:start w:val="2"/>
    </w:lvl>
    <w:lvl w:ilvl="1">
      <w:lvlJc w:val="left"/>
      <w:lvlText w:val="(%2)"/>
      <w:numFmt w:val="lowerRoman"/>
      <w:start w:val="1"/>
    </w:lvl>
  </w:abstractNum>
  <w:abstractNum w:abstractNumId="151">
    <w:nsid w:val="7E0F6384"/>
    <w:multiLevelType w:val="hybridMultilevel"/>
    <w:lvl w:ilvl="0">
      <w:lvlJc w:val="left"/>
      <w:lvlText w:val="(%1)"/>
      <w:numFmt w:val="lowerLetter"/>
      <w:start w:val="3"/>
    </w:lvl>
  </w:abstractNum>
  <w:abstractNum w:abstractNumId="152">
    <w:nsid w:val="2B4B8B53"/>
    <w:multiLevelType w:val="hybridMultilevel"/>
    <w:lvl w:ilvl="0">
      <w:lvlJc w:val="left"/>
      <w:lvlText w:val="(%1)"/>
      <w:numFmt w:val="lowerLetter"/>
      <w:start w:val="1"/>
    </w:lvl>
  </w:abstractNum>
  <w:abstractNum w:abstractNumId="153">
    <w:nsid w:val="72E3413A"/>
    <w:multiLevelType w:val="hybridMultilevel"/>
    <w:lvl w:ilvl="0">
      <w:lvlJc w:val="left"/>
      <w:lvlText w:val="(%1)"/>
      <w:numFmt w:val="decimal"/>
      <w:start w:val="1"/>
    </w:lvl>
  </w:abstractNum>
  <w:abstractNum w:abstractNumId="154">
    <w:nsid w:val="116AE494"/>
    <w:multiLevelType w:val="hybridMultilevel"/>
    <w:lvl w:ilvl="0">
      <w:lvlJc w:val="left"/>
      <w:lvlText w:val="(%1)"/>
      <w:numFmt w:val="upperLetter"/>
      <w:start w:val="1"/>
    </w:lvl>
  </w:abstractNum>
  <w:abstractNum w:abstractNumId="155">
    <w:nsid w:val="3494B2FB"/>
    <w:multiLevelType w:val="hybridMultilevel"/>
    <w:lvl w:ilvl="0">
      <w:lvlJc w:val="left"/>
      <w:lvlText w:val="(%1)"/>
      <w:numFmt w:val="upperLetter"/>
      <w:start w:val="3"/>
    </w:lvl>
  </w:abstractNum>
  <w:abstractNum w:abstractNumId="156">
    <w:nsid w:val="B13A31"/>
    <w:multiLevelType w:val="hybridMultilevel"/>
    <w:lvl w:ilvl="0">
      <w:lvlJc w:val="left"/>
      <w:lvlText w:val="1"/>
      <w:numFmt w:val="bullet"/>
      <w:start w:val="1"/>
    </w:lvl>
  </w:abstractNum>
  <w:abstractNum w:abstractNumId="157">
    <w:nsid w:val="64429599"/>
    <w:multiLevelType w:val="hybridMultilevel"/>
    <w:lvl w:ilvl="0">
      <w:lvlJc w:val="left"/>
      <w:lvlText w:val="2"/>
      <w:numFmt w:val="bullet"/>
      <w:start w:val="1"/>
    </w:lvl>
  </w:abstractNum>
  <w:abstractNum w:abstractNumId="158">
    <w:nsid w:val="631F1690"/>
    <w:multiLevelType w:val="hybridMultilevel"/>
    <w:lvl w:ilvl="0">
      <w:lvlJc w:val="left"/>
      <w:lvlText w:val="6"/>
      <w:numFmt w:val="bullet"/>
      <w:start w:val="1"/>
    </w:lvl>
  </w:abstractNum>
  <w:abstractNum w:abstractNumId="159">
    <w:nsid w:val="25973E32"/>
    <w:multiLevelType w:val="hybridMultilevel"/>
    <w:lvl w:ilvl="0">
      <w:lvlJc w:val="left"/>
      <w:lvlText w:val="□"/>
      <w:numFmt w:val="bullet"/>
      <w:start w:val="1"/>
    </w:lvl>
  </w:abstractNum>
  <w:abstractNum w:abstractNumId="160">
    <w:nsid w:val="EAD6F57"/>
    <w:multiLevelType w:val="hybridMultilevel"/>
    <w:lvl w:ilvl="0">
      <w:lvlJc w:val="left"/>
      <w:lvlText w:val="(%1)"/>
      <w:numFmt w:val="lowerRoman"/>
      <w:start w:val="1"/>
    </w:lvl>
  </w:abstractNum>
  <w:abstractNum w:abstractNumId="161">
    <w:nsid w:val="6EC9D844"/>
    <w:multiLevelType w:val="hybridMultilevel"/>
    <w:lvl w:ilvl="0">
      <w:lvlJc w:val="left"/>
      <w:lvlText w:val="1"/>
      <w:numFmt w:val="bullet"/>
      <w:start w:val="1"/>
    </w:lvl>
  </w:abstractNum>
  <w:abstractNum w:abstractNumId="162">
    <w:nsid w:val="5C49EAEE"/>
    <w:multiLevelType w:val="hybridMultilevel"/>
    <w:lvl w:ilvl="0">
      <w:lvlJc w:val="left"/>
      <w:lvlText w:val="%1."/>
      <w:numFmt w:val="decimal"/>
      <w:start w:val="1"/>
    </w:lvl>
  </w:abstractNum>
  <w:abstractNum w:abstractNumId="163">
    <w:nsid w:val="64AF49B"/>
    <w:multiLevelType w:val="hybridMultilevel"/>
    <w:lvl w:ilvl="0">
      <w:lvlJc w:val="left"/>
      <w:lvlText w:val="9"/>
      <w:numFmt w:val="bullet"/>
      <w:start w:val="1"/>
    </w:lvl>
  </w:abstractNum>
  <w:abstractNum w:abstractNumId="164">
    <w:nsid w:val="397C46BC"/>
    <w:multiLevelType w:val="hybridMultilevel"/>
    <w:lvl w:ilvl="0">
      <w:lvlJc w:val="left"/>
      <w:lvlText w:val="%1"/>
      <w:numFmt w:val="decimal"/>
      <w:start w:val="11"/>
    </w:lvl>
  </w:abstractNum>
  <w:abstractNum w:abstractNumId="165">
    <w:nsid w:val="7E448DE9"/>
    <w:multiLevelType w:val="hybridMultilevel"/>
    <w:lvl w:ilvl="0">
      <w:lvlJc w:val="left"/>
      <w:lvlText w:val="%1."/>
      <w:numFmt w:val="decimal"/>
      <w:start w:val="3"/>
    </w:lvl>
  </w:abstractNum>
  <w:abstractNum w:abstractNumId="166">
    <w:nsid w:val="5A9CC3E5"/>
    <w:multiLevelType w:val="hybridMultilevel"/>
    <w:lvl w:ilvl="0">
      <w:lvlJc w:val="left"/>
      <w:lvlText w:val="(%1)"/>
      <w:numFmt w:val="lowerLetter"/>
      <w:start w:val="25"/>
    </w:lvl>
  </w:abstractNum>
  <w:abstractNum w:abstractNumId="167">
    <w:nsid w:val="1AFE3625"/>
    <w:multiLevelType w:val="hybridMultilevel"/>
    <w:lvl w:ilvl="0">
      <w:lvlJc w:val="left"/>
      <w:lvlText w:val="%1."/>
      <w:numFmt w:val="decimal"/>
      <w:start w:val="4"/>
    </w:lvl>
    <w:lvl w:ilvl="1">
      <w:lvlJc w:val="left"/>
      <w:lvlText w:val="(%2)"/>
      <w:numFmt w:val="lowerLetter"/>
      <w:start w:val="1"/>
    </w:lvl>
  </w:abstractNum>
  <w:abstractNum w:abstractNumId="168">
    <w:nsid w:val="3CA88ECF"/>
    <w:multiLevelType w:val="hybridMultilevel"/>
    <w:lvl w:ilvl="0">
      <w:lvlJc w:val="left"/>
      <w:lvlText w:val="%1."/>
      <w:numFmt w:val="decimal"/>
      <w:start w:val="6"/>
    </w:lvl>
    <w:lvl w:ilvl="1">
      <w:lvlJc w:val="left"/>
      <w:lvlText w:val="(%2)"/>
      <w:numFmt w:val="lowerLetter"/>
      <w:start w:val="1"/>
    </w:lvl>
  </w:abstractNum>
  <w:abstractNum w:abstractNumId="169">
    <w:nsid w:val="6EBE4208"/>
    <w:multiLevelType w:val="hybridMultilevel"/>
    <w:lvl w:ilvl="0">
      <w:lvlJc w:val="left"/>
      <w:lvlText w:val="(%1)"/>
      <w:numFmt w:val="lowerLetter"/>
      <w:start w:val="1"/>
    </w:lvl>
  </w:abstractNum>
  <w:abstractNum w:abstractNumId="170">
    <w:nsid w:val="C058DF5"/>
    <w:multiLevelType w:val="hybridMultilevel"/>
    <w:lvl w:ilvl="0">
      <w:lvlJc w:val="left"/>
      <w:lvlText w:val="%1"/>
      <w:numFmt w:val="decimal"/>
      <w:start w:val="1"/>
    </w:lvl>
    <w:lvl w:ilvl="1">
      <w:lvlJc w:val="left"/>
      <w:lvlText w:val="(%2)"/>
      <w:numFmt w:val="lowerLetter"/>
      <w:start w:val="2"/>
    </w:lvl>
  </w:abstractNum>
  <w:abstractNum w:abstractNumId="171">
    <w:nsid w:val="CBE5BE9"/>
    <w:multiLevelType w:val="hybridMultilevel"/>
    <w:lvl w:ilvl="0">
      <w:lvlJc w:val="left"/>
      <w:lvlText w:val="%1."/>
      <w:numFmt w:val="decimal"/>
      <w:start w:val="9"/>
    </w:lvl>
    <w:lvl w:ilvl="1">
      <w:lvlJc w:val="left"/>
      <w:lvlText w:val="(%2)"/>
      <w:numFmt w:val="lowerLetter"/>
      <w:start w:val="1"/>
    </w:lvl>
  </w:abstractNum>
  <w:abstractNum w:abstractNumId="172">
    <w:nsid w:val="3102BBE2"/>
    <w:multiLevelType w:val="hybridMultilevel"/>
    <w:lvl w:ilvl="0">
      <w:lvlJc w:val="left"/>
      <w:lvlText w:val="%1"/>
      <w:numFmt w:val="decimal"/>
      <w:start w:val="12"/>
    </w:lvl>
  </w:abstractNum>
  <w:abstractNum w:abstractNumId="173">
    <w:nsid w:val="26A02C5E"/>
    <w:multiLevelType w:val="hybridMultilevel"/>
    <w:lvl w:ilvl="0">
      <w:lvlJc w:val="left"/>
      <w:lvlText w:val="%1"/>
      <w:numFmt w:val="decimal"/>
      <w:start w:val="13"/>
    </w:lvl>
    <w:lvl w:ilvl="1">
      <w:lvlJc w:val="left"/>
      <w:lvlText w:val="(%2)"/>
      <w:numFmt w:val="lowerLetter"/>
      <w:start w:val="3"/>
    </w:lvl>
  </w:abstractNum>
  <w:abstractNum w:abstractNumId="174">
    <w:nsid w:val="541C8153"/>
    <w:multiLevelType w:val="hybridMultilevel"/>
    <w:lvl w:ilvl="0">
      <w:lvlJc w:val="left"/>
      <w:lvlText w:val="(%1)"/>
      <w:numFmt w:val="lowerRoman"/>
      <w:start w:val="1"/>
    </w:lvl>
    <w:lvl w:ilvl="1">
      <w:lvlJc w:val="left"/>
      <w:lvlText w:val="(%2)"/>
      <w:numFmt w:val="upperLetter"/>
      <w:start w:val="1"/>
    </w:lvl>
  </w:abstractNum>
  <w:abstractNum w:abstractNumId="175">
    <w:nsid w:val="67906F60"/>
    <w:multiLevelType w:val="hybridMultilevel"/>
    <w:lvl w:ilvl="0">
      <w:lvlJc w:val="left"/>
      <w:lvlText w:val="(%1)"/>
      <w:numFmt w:val="lowerRoman"/>
      <w:start w:val="3"/>
    </w:lvl>
  </w:abstractNum>
  <w:abstractNum w:abstractNumId="176">
    <w:nsid w:val="10DB9DAA"/>
    <w:multiLevelType w:val="hybridMultilevel"/>
    <w:lvl w:ilvl="0">
      <w:lvlJc w:val="left"/>
      <w:lvlText w:val="(%1)"/>
      <w:numFmt w:val="lowerLetter"/>
      <w:start w:val="6"/>
    </w:lvl>
    <w:lvl w:ilvl="1">
      <w:lvlJc w:val="left"/>
      <w:lvlText w:val="(%2)"/>
      <w:numFmt w:val="lowerRoman"/>
      <w:start w:val="1"/>
    </w:lvl>
  </w:abstractNum>
  <w:abstractNum w:abstractNumId="177">
    <w:nsid w:val="697D2D2"/>
    <w:multiLevelType w:val="hybridMultilevel"/>
    <w:lvl w:ilvl="0">
      <w:lvlJc w:val="left"/>
      <w:lvlText w:val="(%1)"/>
      <w:numFmt w:val="lowerRoman"/>
      <w:start w:val="3"/>
    </w:lvl>
  </w:abstractNum>
  <w:abstractNum w:abstractNumId="178">
    <w:nsid w:val="6D68AB2"/>
    <w:multiLevelType w:val="hybridMultilevel"/>
    <w:lvl w:ilvl="0">
      <w:lvlJc w:val="left"/>
      <w:lvlText w:val="%1"/>
      <w:numFmt w:val="decimal"/>
      <w:start w:val="14"/>
    </w:lvl>
  </w:abstractNum>
  <w:abstractNum w:abstractNumId="179">
    <w:nsid w:val="3A966CD0"/>
    <w:multiLevelType w:val="hybridMultilevel"/>
    <w:lvl w:ilvl="0">
      <w:lvlJc w:val="left"/>
      <w:lvlText w:val="(%1)"/>
      <w:numFmt w:val="lowerLetter"/>
      <w:start w:val="10"/>
    </w:lvl>
    <w:lvl w:ilvl="1">
      <w:lvlJc w:val="left"/>
      <w:lvlText w:val="(%2)"/>
      <w:numFmt w:val="lowerRoman"/>
      <w:start w:val="1"/>
    </w:lvl>
  </w:abstractNum>
  <w:abstractNum w:abstractNumId="180">
    <w:nsid w:val="63F37E85"/>
    <w:multiLevelType w:val="hybridMultilevel"/>
    <w:lvl w:ilvl="0">
      <w:lvlJc w:val="left"/>
      <w:lvlText w:val="(%1)"/>
      <w:numFmt w:val="lowerLetter"/>
      <w:start w:val="13"/>
    </w:lvl>
  </w:abstractNum>
  <w:abstractNum w:abstractNumId="181">
    <w:nsid w:val="5895F5FA"/>
    <w:multiLevelType w:val="hybridMultilevel"/>
    <w:lvl w:ilvl="0">
      <w:lvlJc w:val="left"/>
      <w:lvlText w:val="(%1)"/>
      <w:numFmt w:val="lowerLetter"/>
      <w:start w:val="18"/>
    </w:lvl>
    <w:lvl w:ilvl="1">
      <w:lvlJc w:val="left"/>
      <w:lvlText w:val="(%2)"/>
      <w:numFmt w:val="lowerRoman"/>
      <w:start w:val="1"/>
    </w:lvl>
  </w:abstractNum>
  <w:abstractNum w:abstractNumId="182">
    <w:nsid w:val="38A5D054"/>
    <w:multiLevelType w:val="hybridMultilevel"/>
    <w:lvl w:ilvl="0">
      <w:lvlJc w:val="left"/>
      <w:lvlText w:val="%1"/>
      <w:numFmt w:val="decimal"/>
      <w:start w:val="15"/>
    </w:lvl>
  </w:abstractNum>
  <w:abstractNum w:abstractNumId="183">
    <w:nsid w:val="F3F09D8"/>
    <w:multiLevelType w:val="hybridMultilevel"/>
    <w:lvl w:ilvl="0">
      <w:lvlJc w:val="left"/>
      <w:lvlText w:val="(%1)"/>
      <w:numFmt w:val="lowerLetter"/>
      <w:start w:val="23"/>
    </w:lvl>
    <w:lvl w:ilvl="1">
      <w:lvlJc w:val="left"/>
      <w:lvlText w:val="(%2)"/>
      <w:numFmt w:val="lowerRoman"/>
      <w:start w:val="1"/>
    </w:lvl>
  </w:abstractNum>
  <w:abstractNum w:abstractNumId="184">
    <w:nsid w:val="4B793735"/>
    <w:multiLevelType w:val="hybridMultilevel"/>
    <w:lvl w:ilvl="0">
      <w:lvlJc w:val="left"/>
      <w:lvlText w:val="%1."/>
      <w:numFmt w:val="decimal"/>
      <w:start w:val="1"/>
    </w:lvl>
  </w:abstractNum>
  <w:abstractNum w:abstractNumId="185">
    <w:nsid w:val="4A10B4E8"/>
    <w:multiLevelType w:val="hybridMultilevel"/>
    <w:lvl w:ilvl="0">
      <w:lvlJc w:val="left"/>
      <w:lvlText w:val="1"/>
      <w:numFmt w:val="bullet"/>
      <w:start w:val="1"/>
    </w:lvl>
  </w:abstractNum>
  <w:abstractNum w:abstractNumId="186">
    <w:nsid w:val="43D3BCD4"/>
    <w:multiLevelType w:val="hybridMultilevel"/>
    <w:lvl w:ilvl="0">
      <w:lvlJc w:val="left"/>
      <w:lvlText w:val="%1."/>
      <w:numFmt w:val="decimal"/>
      <w:start w:val="3"/>
    </w:lvl>
  </w:abstractNum>
  <w:abstractNum w:abstractNumId="187">
    <w:nsid w:val="4C2A7166"/>
    <w:multiLevelType w:val="hybridMultilevel"/>
    <w:lvl w:ilvl="0">
      <w:lvlJc w:val="left"/>
      <w:lvlText w:val="%1."/>
      <w:numFmt w:val="decimal"/>
      <w:start w:val="4"/>
    </w:lvl>
    <w:lvl w:ilvl="1">
      <w:lvlJc w:val="left"/>
      <w:lvlText w:val="(%2)"/>
      <w:numFmt w:val="lowerLetter"/>
      <w:start w:val="1"/>
    </w:lvl>
  </w:abstractNum>
  <w:abstractNum w:abstractNumId="188">
    <w:nsid w:val="2E534A82"/>
    <w:multiLevelType w:val="hybridMultilevel"/>
    <w:lvl w:ilvl="0">
      <w:lvlJc w:val="left"/>
      <w:lvlText w:val="%1"/>
      <w:numFmt w:val="decimal"/>
      <w:start w:val="1"/>
    </w:lvl>
    <w:lvl w:ilvl="1">
      <w:lvlJc w:val="left"/>
      <w:lvlText w:val="(%2)"/>
      <w:numFmt w:val="lowerLetter"/>
      <w:start w:val="2"/>
    </w:lvl>
  </w:abstractNum>
  <w:abstractNum w:abstractNumId="189">
    <w:nsid w:val="26F2D364"/>
    <w:multiLevelType w:val="hybridMultilevel"/>
    <w:lvl w:ilvl="0">
      <w:lvlJc w:val="left"/>
      <w:lvlText w:val="%1."/>
      <w:numFmt w:val="decimal"/>
      <w:start w:val="8"/>
    </w:lvl>
    <w:lvl w:ilvl="1">
      <w:lvlJc w:val="left"/>
      <w:lvlText w:val="(%2)"/>
      <w:numFmt w:val="lowerLetter"/>
      <w:start w:val="2"/>
    </w:lvl>
  </w:abstractNum>
  <w:abstractNum w:abstractNumId="190">
    <w:nsid w:val="71C1AF98"/>
    <w:multiLevelType w:val="hybridMultilevel"/>
    <w:lvl w:ilvl="0">
      <w:lvlJc w:val="left"/>
      <w:lvlText w:val="%1"/>
      <w:numFmt w:val="decimal"/>
      <w:start w:val="1"/>
    </w:lvl>
    <w:lvl w:ilvl="1">
      <w:lvlJc w:val="left"/>
      <w:lvlText w:val="(%2)"/>
      <w:numFmt w:val="lowerLetter"/>
      <w:start w:val="5"/>
    </w:lvl>
  </w:abstractNum>
  <w:abstractNum w:abstractNumId="191">
    <w:nsid w:val="3D00B9D9"/>
    <w:multiLevelType w:val="hybridMultilevel"/>
    <w:lvl w:ilvl="0">
      <w:lvlJc w:val="left"/>
      <w:lvlText w:val="%1."/>
      <w:numFmt w:val="decimal"/>
      <w:start w:val="9"/>
    </w:lvl>
    <w:lvl w:ilvl="1">
      <w:lvlJc w:val="left"/>
      <w:lvlText w:val="(%2)"/>
      <w:numFmt w:val="lowerLetter"/>
      <w:start w:val="1"/>
    </w:lvl>
  </w:abstractNum>
  <w:abstractNum w:abstractNumId="192">
    <w:nsid w:val="15BCABA8"/>
    <w:multiLevelType w:val="hybridMultilevel"/>
    <w:lvl w:ilvl="0">
      <w:lvlJc w:val="left"/>
      <w:lvlText w:val="3"/>
      <w:numFmt w:val="bullet"/>
      <w:start w:val="1"/>
    </w:lvl>
  </w:abstractNum>
  <w:abstractNum w:abstractNumId="193">
    <w:nsid w:val="4E0B9A87"/>
    <w:multiLevelType w:val="hybridMultilevel"/>
    <w:lvl w:ilvl="0">
      <w:lvlJc w:val="left"/>
      <w:lvlText w:val="4"/>
      <w:numFmt w:val="bullet"/>
      <w:start w:val="1"/>
    </w:lvl>
  </w:abstractNum>
  <w:abstractNum w:abstractNumId="194">
    <w:nsid w:val="434BAE75"/>
    <w:multiLevelType w:val="hybridMultilevel"/>
    <w:lvl w:ilvl="0">
      <w:lvlJc w:val="left"/>
      <w:lvlText w:val="(%1)"/>
      <w:numFmt w:val="lowerLetter"/>
      <w:start w:val="3"/>
    </w:lvl>
  </w:abstractNum>
  <w:abstractNum w:abstractNumId="195">
    <w:nsid w:val="4F38F265"/>
    <w:multiLevelType w:val="hybridMultilevel"/>
    <w:lvl w:ilvl="0">
      <w:lvlJc w:val="left"/>
      <w:lvlText w:val="(%1)"/>
      <w:numFmt w:val="lowerLetter"/>
      <w:start w:val="6"/>
    </w:lvl>
  </w:abstractNum>
  <w:abstractNum w:abstractNumId="196">
    <w:nsid w:val="4C502870"/>
    <w:multiLevelType w:val="hybridMultilevel"/>
    <w:lvl w:ilvl="0">
      <w:lvlJc w:val="left"/>
      <w:lvlText w:val="(%1)"/>
      <w:numFmt w:val="lowerLetter"/>
      <w:start w:val="9"/>
    </w:lvl>
    <w:lvl w:ilvl="1">
      <w:lvlJc w:val="left"/>
      <w:lvlText w:val="(%2)"/>
      <w:numFmt w:val="upperLetter"/>
      <w:start w:val="1"/>
    </w:lvl>
    <w:lvl w:ilvl="2">
      <w:lvlJc w:val="left"/>
      <w:lvlText w:val="(%3)"/>
      <w:numFmt w:val="lowerLetter"/>
      <w:start w:val="24"/>
    </w:lvl>
  </w:abstractNum>
  <w:abstractNum w:abstractNumId="197">
    <w:nsid w:val="1DE8725A"/>
    <w:multiLevelType w:val="hybridMultilevel"/>
    <w:lvl w:ilvl="0">
      <w:lvlJc w:val="left"/>
      <w:lvlText w:val="(%1)"/>
      <w:numFmt w:val="lowerRoman"/>
      <w:start w:val="2"/>
    </w:lvl>
  </w:abstractNum>
  <w:abstractNum w:abstractNumId="198">
    <w:nsid w:val="6A37288A"/>
    <w:multiLevelType w:val="hybridMultilevel"/>
    <w:lvl w:ilvl="0">
      <w:lvlJc w:val="left"/>
      <w:lvlText w:val="(%1)"/>
      <w:numFmt w:val="upperLetter"/>
      <w:start w:val="1"/>
    </w:lvl>
  </w:abstractNum>
  <w:abstractNum w:abstractNumId="199">
    <w:nsid w:val="8F8B73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abstractNum>
  <w:abstractNum w:abstractNumId="200">
    <w:nsid w:val="CA6B462"/>
    <w:multiLevelType w:val="hybridMultilevel"/>
    <w:lvl w:ilvl="0">
      <w:lvlJc w:val="left"/>
      <w:lvlText w:val="(%1)"/>
      <w:numFmt w:val="lowerLetter"/>
      <w:start w:val="9"/>
    </w:lvl>
    <w:lvl w:ilvl="1">
      <w:lvlJc w:val="left"/>
      <w:lvlText w:val="(%2)"/>
      <w:numFmt w:val="lowerRoman"/>
      <w:start w:val="1"/>
    </w:lvl>
    <w:lvl w:ilvl="2">
      <w:lvlJc w:val="left"/>
      <w:lvlText w:val="%3"/>
      <w:numFmt w:val="upperLetter"/>
      <w:start w:val="1"/>
    </w:lvl>
  </w:abstractNum>
  <w:abstractNum w:abstractNumId="201">
    <w:nsid w:val="763CB680"/>
    <w:multiLevelType w:val="hybridMultilevel"/>
    <w:lvl w:ilvl="0">
      <w:lvlJc w:val="left"/>
      <w:lvlText w:val="(%1)"/>
      <w:numFmt w:val="lowerLetter"/>
      <w:start w:val="11"/>
    </w:lvl>
  </w:abstractNum>
  <w:abstractNum w:abstractNumId="202">
    <w:nsid w:val="15B71329"/>
    <w:multiLevelType w:val="hybridMultilevel"/>
    <w:lvl w:ilvl="0">
      <w:lvlJc w:val="left"/>
      <w:lvlText w:val="(%1)"/>
      <w:numFmt w:val="lowerRoman"/>
      <w:start w:val="1"/>
    </w:lvl>
  </w:abstractNum>
  <w:abstractNum w:abstractNumId="203">
    <w:nsid w:val="3DA97044"/>
    <w:multiLevelType w:val="hybridMultilevel"/>
    <w:lvl w:ilvl="0">
      <w:lvlJc w:val="left"/>
      <w:lvlText w:val="%1"/>
      <w:numFmt w:val="lowerLetter"/>
      <w:start w:val="1"/>
    </w:lvl>
    <w:lvl w:ilvl="1">
      <w:lvlJc w:val="left"/>
      <w:lvlText w:val="(%2)"/>
      <w:numFmt w:val="lowerRoman"/>
      <w:start w:val="3"/>
    </w:lvl>
  </w:abstractNum>
  <w:abstractNum w:abstractNumId="204">
    <w:nsid w:val="1CDCE2DE"/>
    <w:multiLevelType w:val="hybridMultilevel"/>
    <w:lvl w:ilvl="0">
      <w:lvlJc w:val="left"/>
      <w:lvlText w:val="(%1)"/>
      <w:numFmt w:val="lowerLetter"/>
      <w:start w:val="12"/>
    </w:lvl>
    <w:lvl w:ilvl="1">
      <w:lvlJc w:val="left"/>
      <w:lvlText w:val="%2"/>
      <w:numFmt w:val="lowerRoman"/>
      <w:start w:val="1"/>
    </w:lvl>
  </w:abstractNum>
  <w:abstractNum w:abstractNumId="205">
    <w:nsid w:val="69D3947C"/>
    <w:multiLevelType w:val="hybridMultilevel"/>
    <w:lvl w:ilvl="0">
      <w:lvlJc w:val="left"/>
      <w:lvlText w:val="5"/>
      <w:numFmt w:val="bullet"/>
      <w:start w:val="1"/>
    </w:lvl>
  </w:abstractNum>
  <w:abstractNum w:abstractNumId="206">
    <w:nsid w:val="2539DFA5"/>
    <w:multiLevelType w:val="hybridMultilevel"/>
    <w:lvl w:ilvl="0">
      <w:lvlJc w:val="left"/>
      <w:lvlText w:val="(%1)"/>
      <w:numFmt w:val="lowerLetter"/>
      <w:start w:val="13"/>
    </w:lvl>
    <w:lvl w:ilvl="1">
      <w:lvlJc w:val="left"/>
      <w:lvlText w:val="(%2)"/>
      <w:numFmt w:val="lowerRoman"/>
      <w:start w:val="1"/>
    </w:lvl>
  </w:abstractNum>
  <w:abstractNum w:abstractNumId="207">
    <w:nsid w:val="2DB88089"/>
    <w:multiLevelType w:val="hybridMultilevel"/>
    <w:lvl w:ilvl="0">
      <w:lvlJc w:val="left"/>
      <w:lvlText w:val="(%1)"/>
      <w:numFmt w:val="lowerLetter"/>
      <w:start w:val="17"/>
    </w:lvl>
  </w:abstractNum>
  <w:abstractNum w:abstractNumId="208">
    <w:nsid w:val="706B674E"/>
    <w:multiLevelType w:val="hybridMultilevel"/>
    <w:lvl w:ilvl="0">
      <w:lvlJc w:val="left"/>
      <w:lvlText w:val="(%1)"/>
      <w:numFmt w:val="lowerLetter"/>
      <w:start w:val="22"/>
    </w:lvl>
  </w:abstractNum>
  <w:abstractNum w:abstractNumId="209">
    <w:nsid w:val="2C106A57"/>
    <w:multiLevelType w:val="hybridMultilevel"/>
    <w:lvl w:ilvl="0">
      <w:lvlJc w:val="left"/>
      <w:lvlText w:val="(%1)"/>
      <w:numFmt w:val="lowerLetter"/>
      <w:start w:val="27"/>
    </w:lvl>
    <w:lvl w:ilvl="1">
      <w:lvlJc w:val="left"/>
      <w:lvlText w:val="(%2)"/>
      <w:numFmt w:val="lowerRoman"/>
      <w:start w:val="1"/>
    </w:lvl>
  </w:abstractNum>
  <w:abstractNum w:abstractNumId="210">
    <w:nsid w:val="684EED59"/>
    <w:multiLevelType w:val="hybridMultilevel"/>
    <w:lvl w:ilvl="0">
      <w:lvlJc w:val="left"/>
      <w:lvlText w:val="7"/>
      <w:numFmt w:val="bullet"/>
      <w:start w:val="1"/>
    </w:lvl>
  </w:abstractNum>
  <w:abstractNum w:abstractNumId="211">
    <w:nsid w:val="545EE5D3"/>
    <w:multiLevelType w:val="hybridMultilevel"/>
    <w:lvl w:ilvl="0">
      <w:lvlJc w:val="left"/>
      <w:lvlText w:val="8"/>
      <w:numFmt w:val="bullet"/>
      <w:start w:val="1"/>
    </w:lvl>
  </w:abstractNum>
  <w:abstractNum w:abstractNumId="212">
    <w:nsid w:val="4A66051"/>
    <w:multiLevelType w:val="hybridMultilevel"/>
    <w:lvl w:ilvl="0">
      <w:lvlJc w:val="left"/>
      <w:lvlText w:val="(%1)"/>
      <w:numFmt w:val="lowerRoman"/>
      <w:start w:val="2"/>
    </w:lvl>
  </w:abstractNum>
  <w:abstractNum w:abstractNumId="213">
    <w:nsid w:val="20F4BDAD"/>
    <w:multiLevelType w:val="hybridMultilevel"/>
    <w:lvl w:ilvl="0">
      <w:lvlJc w:val="left"/>
      <w:lvlText w:val="%1."/>
      <w:numFmt w:val="decimal"/>
      <w:start w:val="1"/>
    </w:lvl>
    <w:lvl w:ilvl="1">
      <w:lvlJc w:val="left"/>
      <w:lvlText w:val="(%2)"/>
      <w:numFmt w:val="lowerLetter"/>
      <w:start w:val="1"/>
    </w:lvl>
  </w:abstractNum>
  <w:abstractNum w:abstractNumId="214">
    <w:nsid w:val="639DEFAC"/>
    <w:multiLevelType w:val="hybridMultilevel"/>
    <w:lvl w:ilvl="0">
      <w:lvlJc w:val="left"/>
      <w:lvlText w:val="%1."/>
      <w:numFmt w:val="decimal"/>
      <w:start w:val="1"/>
    </w:lvl>
    <w:lvl w:ilvl="1">
      <w:lvlJc w:val="left"/>
      <w:lvlText w:val="(%2)"/>
      <w:numFmt w:val="lowerLetter"/>
      <w:start w:val="1"/>
    </w:lvl>
  </w:abstractNum>
  <w:abstractNum w:abstractNumId="215">
    <w:nsid w:val="501F9786"/>
    <w:multiLevelType w:val="hybridMultilevel"/>
    <w:lvl w:ilvl="0">
      <w:lvlJc w:val="left"/>
      <w:lvlText w:val="%1."/>
      <w:numFmt w:val="decimal"/>
      <w:start w:val="1"/>
    </w:lvl>
  </w:abstractNum>
  <w:abstractNum w:abstractNumId="216">
    <w:nsid w:val="6B0572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jpeg"/><Relationship Id="rId40" Type="http://schemas.openxmlformats.org/officeDocument/2006/relationships/image" Target="media/image28.jpeg"/><Relationship Id="rId41" Type="http://schemas.openxmlformats.org/officeDocument/2006/relationships/image" Target="media/image29.jpeg"/><Relationship Id="rId42" Type="http://schemas.openxmlformats.org/officeDocument/2006/relationships/image" Target="media/image30.jpeg"/><Relationship Id="rId43" Type="http://schemas.openxmlformats.org/officeDocument/2006/relationships/image" Target="media/image31.jpeg"/><Relationship Id="rId44" Type="http://schemas.openxmlformats.org/officeDocument/2006/relationships/image" Target="media/image32.jpe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30" Type="http://schemas.openxmlformats.org/officeDocument/2006/relationships/hyperlink" Target="http://www.sec.gov/Archives/edgar/data/1524358/000119312511320045/d256766dex31.htm" TargetMode="External"/><Relationship Id="rId31" Type="http://schemas.openxmlformats.org/officeDocument/2006/relationships/hyperlink" Target="http://www.sec.gov/Archives/edgar/data/1524358/000119312511320045/d256766dex32.htm" TargetMode="External"/><Relationship Id="rId32" Type="http://schemas.openxmlformats.org/officeDocument/2006/relationships/hyperlink" Target="http://www.sec.gov/Archives/edgar/data/1524358/000119312517263681/d440518dex101.htm" TargetMode="External"/><Relationship Id="rId33" Type="http://schemas.openxmlformats.org/officeDocument/2006/relationships/hyperlink" Target="http://www.sec.gov/Archives/edgar/data/1524358/000119312517263681/d440518dex102.htm" TargetMode="External"/><Relationship Id="rId34" Type="http://schemas.openxmlformats.org/officeDocument/2006/relationships/hyperlink" Target="http://www.sec.gov/Archives/edgar/data/1524358/000119312517263681/d440518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2019-12-29T03:27:53Z</dcterms:created>
  <dcterms:modified xsi:type="dcterms:W3CDTF">2019-12-29T03:27:53Z</dcterms:modified>
</cp:coreProperties>
</file>