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56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1522730</wp:posOffset>
            </wp:positionH>
            <wp:positionV relativeFrom="page">
              <wp:posOffset>705485</wp:posOffset>
            </wp:positionV>
            <wp:extent cx="48710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71085" cy="7620"/>
                    </a:xfrm>
                    <a:prstGeom prst="rect">
                      <a:avLst/>
                    </a:prstGeom>
                    <a:noFill/>
                  </pic:spPr>
                </pic:pic>
              </a:graphicData>
            </a:graphic>
          </wp:anchor>
        </w:drawing>
        <w:drawing>
          <wp:anchor simplePos="0" relativeHeight="251657728" behindDoc="1" locked="0" layoutInCell="0" allowOverlap="1">
            <wp:simplePos x="0" y="0"/>
            <wp:positionH relativeFrom="page">
              <wp:posOffset>1522730</wp:posOffset>
            </wp:positionH>
            <wp:positionV relativeFrom="page">
              <wp:posOffset>675005</wp:posOffset>
            </wp:positionV>
            <wp:extent cx="48710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71085" cy="7620"/>
                    </a:xfrm>
                    <a:prstGeom prst="rect">
                      <a:avLst/>
                    </a:prstGeom>
                    <a:noFill/>
                  </pic:spPr>
                </pic:pic>
              </a:graphicData>
            </a:graphic>
          </wp:anchor>
        </w:drawing>
        <w:t>UNITED STATES</w:t>
      </w:r>
    </w:p>
    <w:p>
      <w:pPr>
        <w:spacing w:after="0" w:line="48"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5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9"/>
          <w:szCs w:val="9"/>
          <w:color w:val="auto"/>
        </w:rPr>
        <w:t>___________________________________________</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5" w:lineRule="exact"/>
        <w:rPr>
          <w:sz w:val="24"/>
          <w:szCs w:val="24"/>
          <w:color w:val="auto"/>
        </w:rPr>
      </w:pPr>
    </w:p>
    <w:p>
      <w:pPr>
        <w:ind w:left="2180" w:hanging="376"/>
        <w:spacing w:after="0"/>
        <w:tabs>
          <w:tab w:leader="none" w:pos="2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6" w:lineRule="exact"/>
        <w:rPr>
          <w:sz w:val="24"/>
          <w:szCs w:val="24"/>
          <w:color w:val="auto"/>
        </w:rPr>
      </w:pPr>
    </w:p>
    <w:p>
      <w:pPr>
        <w:ind w:left="2180" w:hanging="376"/>
        <w:spacing w:after="0"/>
        <w:tabs>
          <w:tab w:leader="none" w:pos="21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7" w:lineRule="exact"/>
        <w:rPr>
          <w:sz w:val="24"/>
          <w:szCs w:val="24"/>
          <w:color w:val="auto"/>
        </w:rPr>
      </w:pPr>
    </w:p>
    <w:p>
      <w:pPr>
        <w:ind w:left="370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-6985</wp:posOffset>
            </wp:positionV>
            <wp:extent cx="11353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5380" cy="7620"/>
                    </a:xfrm>
                    <a:prstGeom prst="rect">
                      <a:avLst/>
                    </a:prstGeom>
                    <a:noFill/>
                  </pic:spPr>
                </pic:pic>
              </a:graphicData>
            </a:graphic>
          </wp:anchor>
        </w:drawing>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001-35219</w:t>
      </w:r>
    </w:p>
    <w:p>
      <w:pPr>
        <w:spacing w:after="0" w:line="2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Marriott Vacations Worldwide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69" w:lineRule="exact"/>
        <w:rPr>
          <w:sz w:val="24"/>
          <w:szCs w:val="24"/>
          <w:color w:val="auto"/>
        </w:rPr>
      </w:pPr>
    </w:p>
    <w:tbl>
      <w:tblPr>
        <w:tblLayout w:type="fixed"/>
        <w:tblInd w:w="2760" w:type="dxa"/>
        <w:tblCellMar>
          <w:top w:w="0" w:type="dxa"/>
          <w:left w:w="0" w:type="dxa"/>
          <w:bottom w:w="0" w:type="dxa"/>
          <w:right w:w="0" w:type="dxa"/>
        </w:tblCellMar>
      </w:tblPr>
      <w:tr>
        <w:trPr>
          <w:trHeight w:val="209"/>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20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45-2598330</w:t>
            </w:r>
          </w:p>
        </w:tc>
      </w:tr>
      <w:tr>
        <w:trPr>
          <w:trHeight w:val="179"/>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60" w:type="dxa"/>
            <w:vAlign w:val="bottom"/>
          </w:tcPr>
          <w:p>
            <w:pPr>
              <w:jc w:val="center"/>
              <w:ind w:left="991"/>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060" w:type="dxa"/>
            <w:vAlign w:val="bottom"/>
          </w:tcPr>
          <w:p>
            <w:pPr>
              <w:jc w:val="center"/>
              <w:ind w:left="101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24"/>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7812 Palm Parkway  Orlando FL</w:t>
            </w:r>
          </w:p>
        </w:tc>
        <w:tc>
          <w:tcPr>
            <w:tcW w:w="20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32836</w:t>
            </w:r>
          </w:p>
        </w:tc>
      </w:tr>
      <w:tr>
        <w:trPr>
          <w:trHeight w:val="166"/>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060" w:type="dxa"/>
            <w:vAlign w:val="bottom"/>
          </w:tcPr>
          <w:p>
            <w:pPr>
              <w:jc w:val="center"/>
              <w:ind w:left="1011"/>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45" w:lineRule="exact"/>
        <w:rPr>
          <w:sz w:val="24"/>
          <w:szCs w:val="24"/>
          <w:color w:val="auto"/>
        </w:rPr>
      </w:pPr>
    </w:p>
    <w:p>
      <w:pPr>
        <w:ind w:left="3400" w:right="3400" w:firstLine="287"/>
        <w:spacing w:after="0" w:line="281" w:lineRule="auto"/>
        <w:tabs>
          <w:tab w:leader="none" w:pos="4061"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206-6000 </w:t>
      </w:r>
      <w:r>
        <w:rPr>
          <w:rFonts w:ascii="Times New Roman" w:cs="Times New Roman" w:eastAsia="Times New Roman" w:hAnsi="Times New Roman"/>
          <w:sz w:val="12"/>
          <w:szCs w:val="12"/>
          <w:b w:val="1"/>
          <w:bCs w:val="1"/>
          <w:color w:val="auto"/>
        </w:rPr>
        <w:t>(Registrant’s telephone number, including area code)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2"/>
          <w:szCs w:val="12"/>
          <w:b w:val="1"/>
          <w:bCs w:val="1"/>
          <w:color w:val="auto"/>
        </w:rPr>
        <w:t>(Former name, former address and former fiscal year, if changed since last report)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64" w:lineRule="exact"/>
        <w:rPr>
          <w:sz w:val="24"/>
          <w:szCs w:val="24"/>
          <w:color w:val="auto"/>
        </w:rPr>
      </w:pPr>
    </w:p>
    <w:tbl>
      <w:tblPr>
        <w:tblLayout w:type="fixed"/>
        <w:tblInd w:w="1810" w:type="dxa"/>
        <w:tblCellMar>
          <w:top w:w="0" w:type="dxa"/>
          <w:left w:w="0" w:type="dxa"/>
          <w:bottom w:w="0" w:type="dxa"/>
          <w:right w:w="0" w:type="dxa"/>
        </w:tblCellMar>
      </w:tblPr>
      <w:tr>
        <w:trPr>
          <w:trHeight w:val="184"/>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02"/>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Common Stock, $0.01 Par Value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VAC</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New York Stock Exchange</w:t>
            </w:r>
          </w:p>
        </w:tc>
      </w:tr>
    </w:tbl>
    <w:p>
      <w:pPr>
        <w:spacing w:after="0" w:line="146" w:lineRule="exact"/>
        <w:rPr>
          <w:sz w:val="24"/>
          <w:szCs w:val="24"/>
          <w:color w:val="auto"/>
        </w:rPr>
      </w:pPr>
    </w:p>
    <w:p>
      <w:pPr>
        <w:ind w:right="200"/>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8" w:lineRule="exact"/>
        <w:rPr>
          <w:sz w:val="24"/>
          <w:szCs w:val="24"/>
          <w:color w:val="auto"/>
        </w:rPr>
      </w:pPr>
    </w:p>
    <w:p>
      <w:pPr>
        <w:ind w:right="160"/>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22" w:right="339" w:bottom="1440" w:gutter="0" w:footer="0" w:header="0"/>
        </w:sectPr>
      </w:pPr>
    </w:p>
    <w:p>
      <w:pPr>
        <w:spacing w:after="0" w:line="20" w:lineRule="exact"/>
        <w:rPr>
          <w:sz w:val="24"/>
          <w:szCs w:val="24"/>
          <w:color w:val="auto"/>
        </w:rPr>
      </w:pPr>
    </w:p>
    <w:p>
      <w:pPr>
        <w:ind w:left="60" w:right="420"/>
        <w:spacing w:after="0" w:line="348" w:lineRule="auto"/>
        <w:rPr>
          <w:sz w:val="20"/>
          <w:szCs w:val="20"/>
          <w:color w:val="auto"/>
        </w:rPr>
      </w:pPr>
      <w:r>
        <w:rPr>
          <w:rFonts w:ascii="Times New Roman" w:cs="Times New Roman" w:eastAsia="Times New Roman" w:hAnsi="Times New Roman"/>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400" w:lineRule="exact"/>
        <w:rPr>
          <w:sz w:val="24"/>
          <w:szCs w:val="24"/>
          <w:color w:val="auto"/>
        </w:rPr>
      </w:pPr>
    </w:p>
    <w:p>
      <w:pPr>
        <w:sectPr>
          <w:pgSz w:w="11900" w:h="16838" w:orient="portrait"/>
          <w:cols w:equalWidth="0" w:num="8">
            <w:col w:w="2120" w:space="720"/>
            <w:col w:w="140" w:space="360"/>
            <w:col w:w="1120" w:space="720"/>
            <w:col w:w="160" w:space="340"/>
            <w:col w:w="1340" w:space="720"/>
            <w:col w:w="140" w:space="340"/>
            <w:col w:w="1880" w:space="720"/>
            <w:col w:w="420"/>
          </w:cols>
          <w:pgMar w:left="320" w:top="1222" w:right="339" w:bottom="1440" w:gutter="0" w:footer="0" w:header="0"/>
          <w:type w:val="continuous"/>
        </w:sectPr>
      </w:pPr>
    </w:p>
    <w:p>
      <w:pPr>
        <w:ind w:right="140"/>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3360"/>
        <w:spacing w:after="0" w:line="21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4"/>
          <w:szCs w:val="14"/>
          <w:color w:val="auto"/>
        </w:rPr>
        <w:t xml:space="preserve"> The number of shares outstanding of the issuer’s common stock, par value $0.01 per share, as of October 31, 2025 was 34,613,991.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651510</wp:posOffset>
            </wp:positionV>
            <wp:extent cx="71748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92710</wp:posOffset>
            </wp:positionV>
            <wp:extent cx="48710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71085" cy="7620"/>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62230</wp:posOffset>
            </wp:positionV>
            <wp:extent cx="48710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71085" cy="762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type w:val="continuous"/>
        </w:sectPr>
      </w:pPr>
    </w:p>
    <w:bookmarkStart w:id="1" w:name="page2"/>
    <w:bookmarkEnd w:id="1"/>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FORM 10-Q TABLE OF CONTENTS</w:t>
      </w:r>
    </w:p>
    <w:p>
      <w:pPr>
        <w:spacing w:after="0" w:line="30" w:lineRule="exact"/>
        <w:rPr>
          <w:sz w:val="20"/>
          <w:szCs w:val="20"/>
          <w:color w:val="auto"/>
        </w:rPr>
      </w:pPr>
    </w:p>
    <w:tbl>
      <w:tblPr>
        <w:tblLayout w:type="fixed"/>
        <w:tblInd w:w="1800" w:type="dxa"/>
        <w:tblCellMar>
          <w:top w:w="0" w:type="dxa"/>
          <w:left w:w="0" w:type="dxa"/>
          <w:bottom w:w="0" w:type="dxa"/>
          <w:right w:w="0" w:type="dxa"/>
        </w:tblCellMar>
      </w:tblPr>
      <w:tr>
        <w:trPr>
          <w:trHeight w:val="166"/>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Part I.</w:t>
            </w:r>
          </w:p>
        </w:tc>
        <w:tc>
          <w:tcPr>
            <w:tcW w:w="5940" w:type="dxa"/>
            <w:vAlign w:val="bottom"/>
            <w:gridSpan w:val="32"/>
            <w:vMerge w:val="restart"/>
          </w:tcPr>
          <w:p>
            <w:pPr>
              <w:spacing w:after="0"/>
              <w:rPr>
                <w:sz w:val="20"/>
                <w:szCs w:val="20"/>
                <w:color w:val="auto"/>
              </w:rPr>
            </w:pPr>
            <w:r>
              <w:rPr>
                <w:rFonts w:ascii="Times New Roman" w:cs="Times New Roman" w:eastAsia="Times New Roman" w:hAnsi="Times New Roman"/>
                <w:sz w:val="15"/>
                <w:szCs w:val="15"/>
                <w:b w:val="1"/>
                <w:bCs w:val="1"/>
                <w:color w:val="0000FF"/>
              </w:rPr>
              <w:t>FINANCIAL INFORMATION</w:t>
            </w: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900" w:type="dxa"/>
            <w:vAlign w:val="bottom"/>
            <w:vMerge w:val="continue"/>
          </w:tcPr>
          <w:p>
            <w:pPr>
              <w:spacing w:after="0"/>
              <w:rPr>
                <w:sz w:val="12"/>
                <w:szCs w:val="12"/>
                <w:color w:val="auto"/>
              </w:rPr>
            </w:pPr>
          </w:p>
        </w:tc>
        <w:tc>
          <w:tcPr>
            <w:tcW w:w="5940" w:type="dxa"/>
            <w:vAlign w:val="bottom"/>
            <w:gridSpan w:val="32"/>
            <w:vMerge w:val="continue"/>
          </w:tcPr>
          <w:p>
            <w:pPr>
              <w:spacing w:after="0"/>
              <w:rPr>
                <w:sz w:val="12"/>
                <w:szCs w:val="12"/>
                <w:color w:val="auto"/>
              </w:rPr>
            </w:pPr>
          </w:p>
        </w:tc>
        <w:tc>
          <w:tcPr>
            <w:tcW w:w="480" w:type="dxa"/>
            <w:vAlign w:val="bottom"/>
          </w:tcPr>
          <w:p>
            <w:pPr>
              <w:jc w:val="center"/>
              <w:ind w:left="265"/>
              <w:spacing w:after="0" w:line="146" w:lineRule="exact"/>
              <w:rPr>
                <w:sz w:val="20"/>
                <w:szCs w:val="20"/>
                <w:color w:val="auto"/>
              </w:rPr>
            </w:pPr>
            <w:r>
              <w:rPr>
                <w:rFonts w:ascii="Times New Roman" w:cs="Times New Roman" w:eastAsia="Times New Roman" w:hAnsi="Times New Roman"/>
                <w:sz w:val="15"/>
                <w:szCs w:val="15"/>
                <w:color w:val="0000FF"/>
                <w:w w:val="79"/>
              </w:rPr>
              <w:t>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1.</w:t>
            </w:r>
          </w:p>
        </w:tc>
        <w:tc>
          <w:tcPr>
            <w:tcW w:w="160" w:type="dxa"/>
            <w:vAlign w:val="bottom"/>
          </w:tcPr>
          <w:p>
            <w:pPr>
              <w:spacing w:after="0"/>
              <w:rPr>
                <w:sz w:val="17"/>
                <w:szCs w:val="17"/>
                <w:color w:val="auto"/>
              </w:rPr>
            </w:pPr>
          </w:p>
        </w:tc>
        <w:tc>
          <w:tcPr>
            <w:tcW w:w="1800" w:type="dxa"/>
            <w:vAlign w:val="bottom"/>
            <w:gridSpan w:val="13"/>
          </w:tcPr>
          <w:p>
            <w:pPr>
              <w:spacing w:after="0"/>
              <w:rPr>
                <w:sz w:val="20"/>
                <w:szCs w:val="20"/>
                <w:color w:val="auto"/>
              </w:rPr>
            </w:pPr>
            <w:r>
              <w:rPr>
                <w:rFonts w:ascii="Times New Roman" w:cs="Times New Roman" w:eastAsia="Times New Roman" w:hAnsi="Times New Roman"/>
                <w:sz w:val="15"/>
                <w:szCs w:val="15"/>
                <w:color w:val="0000FF"/>
              </w:rPr>
              <w:t>Financial Statements</w:t>
            </w:r>
          </w:p>
        </w:tc>
        <w:tc>
          <w:tcPr>
            <w:tcW w:w="3980" w:type="dxa"/>
            <w:vAlign w:val="bottom"/>
            <w:gridSpan w:val="18"/>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22"/>
          </w:tcPr>
          <w:p>
            <w:pPr>
              <w:spacing w:after="0"/>
              <w:rPr>
                <w:sz w:val="20"/>
                <w:szCs w:val="20"/>
                <w:color w:val="auto"/>
              </w:rPr>
            </w:pPr>
            <w:r>
              <w:rPr>
                <w:rFonts w:ascii="Times New Roman" w:cs="Times New Roman" w:eastAsia="Times New Roman" w:hAnsi="Times New Roman"/>
                <w:sz w:val="15"/>
                <w:szCs w:val="15"/>
                <w:color w:val="0000FF"/>
                <w:w w:val="99"/>
              </w:rPr>
              <w:t>Interim Consolidated Statements of Income</w:t>
            </w:r>
          </w:p>
        </w:tc>
        <w:tc>
          <w:tcPr>
            <w:tcW w:w="2940" w:type="dxa"/>
            <w:vAlign w:val="bottom"/>
            <w:gridSpan w:val="8"/>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w w:val="99"/>
              </w:rPr>
              <w:t>Interim Consolidated Statements of Comprehensive Income</w:t>
            </w:r>
          </w:p>
        </w:tc>
        <w:tc>
          <w:tcPr>
            <w:tcW w:w="1960" w:type="dxa"/>
            <w:vAlign w:val="bottom"/>
            <w:gridSpan w:val="4"/>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rPr>
              <w:t>Interim Consolidated Balance Sheets</w:t>
            </w:r>
          </w:p>
        </w:tc>
        <w:tc>
          <w:tcPr>
            <w:tcW w:w="1960" w:type="dxa"/>
            <w:vAlign w:val="bottom"/>
            <w:gridSpan w:val="4"/>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5"/>
                <w:szCs w:val="15"/>
                <w:color w:val="0000FF"/>
                <w:w w:val="99"/>
              </w:rPr>
              <w:t>Interim Consolidated Statements of Cash Flows</w:t>
            </w:r>
          </w:p>
        </w:tc>
        <w:tc>
          <w:tcPr>
            <w:tcW w:w="2680" w:type="dxa"/>
            <w:vAlign w:val="bottom"/>
            <w:gridSpan w:val="6"/>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25"/>
          </w:tcPr>
          <w:p>
            <w:pPr>
              <w:spacing w:after="0"/>
              <w:rPr>
                <w:sz w:val="20"/>
                <w:szCs w:val="20"/>
                <w:color w:val="auto"/>
              </w:rPr>
            </w:pPr>
            <w:r>
              <w:rPr>
                <w:rFonts w:ascii="Times New Roman" w:cs="Times New Roman" w:eastAsia="Times New Roman" w:hAnsi="Times New Roman"/>
                <w:sz w:val="15"/>
                <w:szCs w:val="15"/>
                <w:color w:val="0000FF"/>
                <w:w w:val="97"/>
              </w:rPr>
              <w:t>Interim Consolidated Statements of Stockholders’ Equity</w:t>
            </w: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gridSpan w:val="27"/>
          </w:tcPr>
          <w:p>
            <w:pPr>
              <w:spacing w:after="0"/>
              <w:rPr>
                <w:sz w:val="20"/>
                <w:szCs w:val="20"/>
                <w:color w:val="auto"/>
              </w:rPr>
            </w:pPr>
            <w:r>
              <w:rPr>
                <w:rFonts w:ascii="Times New Roman" w:cs="Times New Roman" w:eastAsia="Times New Roman" w:hAnsi="Times New Roman"/>
                <w:sz w:val="15"/>
                <w:szCs w:val="15"/>
                <w:color w:val="0000FF"/>
                <w:w w:val="99"/>
              </w:rPr>
              <w:t>Interim Condensed Notes to Consolidated Financial Statements</w:t>
            </w:r>
          </w:p>
        </w:tc>
        <w:tc>
          <w:tcPr>
            <w:tcW w:w="1760" w:type="dxa"/>
            <w:vAlign w:val="bottom"/>
            <w:gridSpan w:val="3"/>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1.</w:t>
            </w:r>
          </w:p>
        </w:tc>
        <w:tc>
          <w:tcPr>
            <w:tcW w:w="3380" w:type="dxa"/>
            <w:vAlign w:val="bottom"/>
            <w:gridSpan w:val="25"/>
          </w:tcPr>
          <w:p>
            <w:pPr>
              <w:ind w:left="20"/>
              <w:spacing w:after="0"/>
              <w:rPr>
                <w:sz w:val="20"/>
                <w:szCs w:val="20"/>
                <w:color w:val="auto"/>
              </w:rPr>
            </w:pPr>
            <w:r>
              <w:rPr>
                <w:rFonts w:ascii="Times New Roman" w:cs="Times New Roman" w:eastAsia="Times New Roman" w:hAnsi="Times New Roman"/>
                <w:sz w:val="15"/>
                <w:szCs w:val="15"/>
                <w:color w:val="0000FF"/>
              </w:rPr>
              <w:t>Basis of Presentation</w:t>
            </w:r>
          </w:p>
        </w:tc>
        <w:tc>
          <w:tcPr>
            <w:tcW w:w="1760" w:type="dxa"/>
            <w:vAlign w:val="bottom"/>
            <w:gridSpan w:val="3"/>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2.</w:t>
            </w:r>
          </w:p>
        </w:tc>
        <w:tc>
          <w:tcPr>
            <w:tcW w:w="400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FF"/>
                <w:w w:val="99"/>
              </w:rPr>
              <w:t>Significant Accounting Policies and Recent Accounting Standards</w:t>
            </w:r>
          </w:p>
        </w:tc>
        <w:tc>
          <w:tcPr>
            <w:tcW w:w="1140" w:type="dxa"/>
            <w:vAlign w:val="bottom"/>
            <w:gridSpan w:val="2"/>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3.</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00FF"/>
                <w:w w:val="97"/>
              </w:rPr>
              <w:t>Acquisitions</w:t>
            </w:r>
          </w:p>
        </w:tc>
        <w:tc>
          <w:tcPr>
            <w:tcW w:w="3220" w:type="dxa"/>
            <w:vAlign w:val="bottom"/>
            <w:gridSpan w:val="21"/>
          </w:tcPr>
          <w:p>
            <w:pPr>
              <w:spacing w:after="0"/>
              <w:rPr>
                <w:sz w:val="17"/>
                <w:szCs w:val="17"/>
                <w:color w:val="auto"/>
              </w:rPr>
            </w:pPr>
          </w:p>
        </w:tc>
        <w:tc>
          <w:tcPr>
            <w:tcW w:w="1140" w:type="dxa"/>
            <w:vAlign w:val="bottom"/>
            <w:gridSpan w:val="2"/>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4.</w:t>
            </w:r>
          </w:p>
        </w:tc>
        <w:tc>
          <w:tcPr>
            <w:tcW w:w="1560" w:type="dxa"/>
            <w:vAlign w:val="bottom"/>
            <w:gridSpan w:val="15"/>
          </w:tcPr>
          <w:p>
            <w:pPr>
              <w:ind w:left="20"/>
              <w:spacing w:after="0"/>
              <w:rPr>
                <w:sz w:val="20"/>
                <w:szCs w:val="20"/>
                <w:color w:val="auto"/>
              </w:rPr>
            </w:pPr>
            <w:r>
              <w:rPr>
                <w:rFonts w:ascii="Times New Roman" w:cs="Times New Roman" w:eastAsia="Times New Roman" w:hAnsi="Times New Roman"/>
                <w:sz w:val="15"/>
                <w:szCs w:val="15"/>
                <w:color w:val="0000FF"/>
                <w:w w:val="98"/>
              </w:rPr>
              <w:t>Revenue and Receivables</w:t>
            </w:r>
          </w:p>
        </w:tc>
        <w:tc>
          <w:tcPr>
            <w:tcW w:w="3580" w:type="dxa"/>
            <w:vAlign w:val="bottom"/>
            <w:gridSpan w:val="13"/>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5.</w:t>
            </w:r>
          </w:p>
        </w:tc>
        <w:tc>
          <w:tcPr>
            <w:tcW w:w="8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0000FF"/>
                <w:w w:val="92"/>
              </w:rPr>
              <w:t>Income Taxes</w:t>
            </w:r>
          </w:p>
        </w:tc>
        <w:tc>
          <w:tcPr>
            <w:tcW w:w="720" w:type="dxa"/>
            <w:vAlign w:val="bottom"/>
            <w:gridSpan w:val="9"/>
          </w:tcPr>
          <w:p>
            <w:pPr>
              <w:spacing w:after="0"/>
              <w:rPr>
                <w:sz w:val="17"/>
                <w:szCs w:val="17"/>
                <w:color w:val="auto"/>
              </w:rPr>
            </w:pPr>
          </w:p>
        </w:tc>
        <w:tc>
          <w:tcPr>
            <w:tcW w:w="3580" w:type="dxa"/>
            <w:vAlign w:val="bottom"/>
            <w:gridSpan w:val="13"/>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6.</w:t>
            </w:r>
          </w:p>
        </w:tc>
        <w:tc>
          <w:tcPr>
            <w:tcW w:w="5140" w:type="dxa"/>
            <w:vAlign w:val="bottom"/>
            <w:gridSpan w:val="28"/>
          </w:tcPr>
          <w:p>
            <w:pPr>
              <w:ind w:left="20"/>
              <w:spacing w:after="0"/>
              <w:rPr>
                <w:sz w:val="20"/>
                <w:szCs w:val="20"/>
                <w:color w:val="auto"/>
              </w:rPr>
            </w:pPr>
            <w:r>
              <w:rPr>
                <w:rFonts w:ascii="Times New Roman" w:cs="Times New Roman" w:eastAsia="Times New Roman" w:hAnsi="Times New Roman"/>
                <w:sz w:val="15"/>
                <w:szCs w:val="15"/>
                <w:color w:val="0000FF"/>
              </w:rPr>
              <w:t>Vacation Ownership Notes Receivable</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7.</w:t>
            </w:r>
          </w:p>
        </w:tc>
        <w:tc>
          <w:tcPr>
            <w:tcW w:w="1320" w:type="dxa"/>
            <w:vAlign w:val="bottom"/>
            <w:gridSpan w:val="13"/>
          </w:tcPr>
          <w:p>
            <w:pPr>
              <w:ind w:left="20"/>
              <w:spacing w:after="0"/>
              <w:rPr>
                <w:sz w:val="20"/>
                <w:szCs w:val="20"/>
                <w:color w:val="auto"/>
              </w:rPr>
            </w:pPr>
            <w:r>
              <w:rPr>
                <w:rFonts w:ascii="Times New Roman" w:cs="Times New Roman" w:eastAsia="Times New Roman" w:hAnsi="Times New Roman"/>
                <w:sz w:val="15"/>
                <w:szCs w:val="15"/>
                <w:color w:val="0000FF"/>
                <w:w w:val="98"/>
              </w:rPr>
              <w:t>Financial Instruments</w:t>
            </w:r>
          </w:p>
        </w:tc>
        <w:tc>
          <w:tcPr>
            <w:tcW w:w="1000" w:type="dxa"/>
            <w:vAlign w:val="bottom"/>
            <w:gridSpan w:val="8"/>
          </w:tcPr>
          <w:p>
            <w:pPr>
              <w:spacing w:after="0"/>
              <w:rPr>
                <w:sz w:val="17"/>
                <w:szCs w:val="17"/>
                <w:color w:val="auto"/>
              </w:rPr>
            </w:pPr>
          </w:p>
        </w:tc>
        <w:tc>
          <w:tcPr>
            <w:tcW w:w="2820" w:type="dxa"/>
            <w:vAlign w:val="bottom"/>
            <w:gridSpan w:val="7"/>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8.</w:t>
            </w:r>
          </w:p>
        </w:tc>
        <w:tc>
          <w:tcPr>
            <w:tcW w:w="1320" w:type="dxa"/>
            <w:vAlign w:val="bottom"/>
            <w:gridSpan w:val="13"/>
          </w:tcPr>
          <w:p>
            <w:pPr>
              <w:ind w:left="20"/>
              <w:spacing w:after="0"/>
              <w:rPr>
                <w:sz w:val="20"/>
                <w:szCs w:val="20"/>
                <w:color w:val="auto"/>
              </w:rPr>
            </w:pPr>
            <w:r>
              <w:rPr>
                <w:rFonts w:ascii="Times New Roman" w:cs="Times New Roman" w:eastAsia="Times New Roman" w:hAnsi="Times New Roman"/>
                <w:sz w:val="15"/>
                <w:szCs w:val="15"/>
                <w:color w:val="0000FF"/>
              </w:rPr>
              <w:t>Earnings Per Share</w:t>
            </w:r>
          </w:p>
        </w:tc>
        <w:tc>
          <w:tcPr>
            <w:tcW w:w="3820" w:type="dxa"/>
            <w:vAlign w:val="bottom"/>
            <w:gridSpan w:val="1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9.</w:t>
            </w: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w w:val="92"/>
              </w:rPr>
              <w:t>Inventory</w:t>
            </w:r>
          </w:p>
        </w:tc>
        <w:tc>
          <w:tcPr>
            <w:tcW w:w="560" w:type="dxa"/>
            <w:vAlign w:val="bottom"/>
            <w:gridSpan w:val="6"/>
          </w:tcPr>
          <w:p>
            <w:pPr>
              <w:spacing w:after="0"/>
              <w:rPr>
                <w:sz w:val="17"/>
                <w:szCs w:val="17"/>
                <w:color w:val="auto"/>
              </w:rPr>
            </w:pPr>
          </w:p>
        </w:tc>
        <w:tc>
          <w:tcPr>
            <w:tcW w:w="3980" w:type="dxa"/>
            <w:vAlign w:val="bottom"/>
            <w:gridSpan w:val="18"/>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gridSpan w:val="29"/>
          </w:tcPr>
          <w:p>
            <w:pPr>
              <w:spacing w:after="0"/>
              <w:rPr>
                <w:sz w:val="20"/>
                <w:szCs w:val="20"/>
                <w:color w:val="auto"/>
              </w:rPr>
            </w:pPr>
            <w:r>
              <w:rPr>
                <w:rFonts w:ascii="Times New Roman" w:cs="Times New Roman" w:eastAsia="Times New Roman" w:hAnsi="Times New Roman"/>
                <w:sz w:val="15"/>
                <w:szCs w:val="15"/>
                <w:color w:val="0000FF"/>
              </w:rPr>
              <w:t>10. Contingencies and Commitments</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gridSpan w:val="20"/>
          </w:tcPr>
          <w:p>
            <w:pPr>
              <w:spacing w:after="0"/>
              <w:rPr>
                <w:sz w:val="20"/>
                <w:szCs w:val="20"/>
                <w:color w:val="auto"/>
              </w:rPr>
            </w:pPr>
            <w:r>
              <w:rPr>
                <w:rFonts w:ascii="Times New Roman" w:cs="Times New Roman" w:eastAsia="Times New Roman" w:hAnsi="Times New Roman"/>
                <w:sz w:val="15"/>
                <w:szCs w:val="15"/>
                <w:color w:val="0000FF"/>
              </w:rPr>
              <w:t>11. Securitized Debt</w:t>
            </w:r>
          </w:p>
        </w:tc>
        <w:tc>
          <w:tcPr>
            <w:tcW w:w="3060" w:type="dxa"/>
            <w:vAlign w:val="bottom"/>
            <w:gridSpan w:val="9"/>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10"/>
          </w:tcPr>
          <w:p>
            <w:pPr>
              <w:spacing w:after="0"/>
              <w:rPr>
                <w:sz w:val="20"/>
                <w:szCs w:val="20"/>
                <w:color w:val="auto"/>
              </w:rPr>
            </w:pPr>
            <w:r>
              <w:rPr>
                <w:rFonts w:ascii="Times New Roman" w:cs="Times New Roman" w:eastAsia="Times New Roman" w:hAnsi="Times New Roman"/>
                <w:sz w:val="15"/>
                <w:szCs w:val="15"/>
                <w:color w:val="0000FF"/>
              </w:rPr>
              <w:t>12. Debt</w:t>
            </w:r>
          </w:p>
        </w:tc>
        <w:tc>
          <w:tcPr>
            <w:tcW w:w="4060" w:type="dxa"/>
            <w:vAlign w:val="bottom"/>
            <w:gridSpan w:val="19"/>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gridSpan w:val="29"/>
          </w:tcPr>
          <w:p>
            <w:pPr>
              <w:spacing w:after="0"/>
              <w:rPr>
                <w:sz w:val="20"/>
                <w:szCs w:val="20"/>
                <w:color w:val="auto"/>
              </w:rPr>
            </w:pPr>
            <w:r>
              <w:rPr>
                <w:rFonts w:ascii="Times New Roman" w:cs="Times New Roman" w:eastAsia="Times New Roman" w:hAnsi="Times New Roman"/>
                <w:sz w:val="15"/>
                <w:szCs w:val="15"/>
                <w:color w:val="0000FF"/>
              </w:rPr>
              <w:t>13. Stockholders’ Equity</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18"/>
          </w:tcPr>
          <w:p>
            <w:pPr>
              <w:spacing w:after="0"/>
              <w:rPr>
                <w:sz w:val="20"/>
                <w:szCs w:val="20"/>
                <w:color w:val="auto"/>
              </w:rPr>
            </w:pPr>
            <w:r>
              <w:rPr>
                <w:rFonts w:ascii="Times New Roman" w:cs="Times New Roman" w:eastAsia="Times New Roman" w:hAnsi="Times New Roman"/>
                <w:sz w:val="15"/>
                <w:szCs w:val="15"/>
                <w:color w:val="0000FF"/>
                <w:w w:val="98"/>
              </w:rPr>
              <w:t>14. Share-Based Compensation</w:t>
            </w:r>
          </w:p>
        </w:tc>
        <w:tc>
          <w:tcPr>
            <w:tcW w:w="3380" w:type="dxa"/>
            <w:vAlign w:val="bottom"/>
            <w:gridSpan w:val="11"/>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w w:val="97"/>
              </w:rPr>
              <w:t>15. Variable Interest Entities</w:t>
            </w:r>
          </w:p>
        </w:tc>
        <w:tc>
          <w:tcPr>
            <w:tcW w:w="180" w:type="dxa"/>
            <w:vAlign w:val="bottom"/>
          </w:tcPr>
          <w:p>
            <w:pPr>
              <w:spacing w:after="0"/>
              <w:rPr>
                <w:sz w:val="17"/>
                <w:szCs w:val="17"/>
                <w:color w:val="auto"/>
              </w:rPr>
            </w:pPr>
          </w:p>
        </w:tc>
        <w:tc>
          <w:tcPr>
            <w:tcW w:w="3380" w:type="dxa"/>
            <w:vAlign w:val="bottom"/>
            <w:gridSpan w:val="11"/>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16. Business Segments</w:t>
            </w:r>
          </w:p>
        </w:tc>
        <w:tc>
          <w:tcPr>
            <w:tcW w:w="1400" w:type="dxa"/>
            <w:vAlign w:val="bottom"/>
            <w:gridSpan w:val="7"/>
          </w:tcPr>
          <w:p>
            <w:pPr>
              <w:spacing w:after="0"/>
              <w:rPr>
                <w:sz w:val="17"/>
                <w:szCs w:val="17"/>
                <w:color w:val="auto"/>
              </w:rPr>
            </w:pP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31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gridSpan w:val="15"/>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5"/>
                <w:szCs w:val="15"/>
                <w:color w:val="0000FF"/>
                <w:w w:val="97"/>
              </w:rPr>
              <w:t>17. Modernization</w:t>
            </w:r>
          </w:p>
        </w:tc>
        <w:tc>
          <w:tcPr>
            <w:tcW w:w="2000" w:type="dxa"/>
            <w:vAlign w:val="bottom"/>
            <w:gridSpan w:val="15"/>
          </w:tcPr>
          <w:p>
            <w:pPr>
              <w:spacing w:after="0"/>
              <w:rPr>
                <w:sz w:val="17"/>
                <w:szCs w:val="17"/>
                <w:color w:val="auto"/>
              </w:rPr>
            </w:pP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33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gridSpan w:val="15"/>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2.</w:t>
            </w:r>
          </w:p>
        </w:tc>
        <w:tc>
          <w:tcPr>
            <w:tcW w:w="160" w:type="dxa"/>
            <w:vAlign w:val="bottom"/>
          </w:tcPr>
          <w:p>
            <w:pPr>
              <w:spacing w:after="0"/>
              <w:rPr>
                <w:sz w:val="17"/>
                <w:szCs w:val="17"/>
                <w:color w:val="auto"/>
              </w:rPr>
            </w:pPr>
          </w:p>
        </w:tc>
        <w:tc>
          <w:tcPr>
            <w:tcW w:w="5780" w:type="dxa"/>
            <w:vAlign w:val="bottom"/>
            <w:gridSpan w:val="31"/>
          </w:tcPr>
          <w:p>
            <w:pPr>
              <w:spacing w:after="0"/>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34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16"/>
            <w:shd w:val="clear" w:color="auto" w:fill="0000FF"/>
          </w:tcPr>
          <w:p>
            <w:pPr>
              <w:spacing w:after="0" w:line="20" w:lineRule="exact"/>
              <w:rPr>
                <w:sz w:val="1"/>
                <w:szCs w:val="1"/>
                <w:color w:val="auto"/>
              </w:rPr>
            </w:pPr>
          </w:p>
        </w:tc>
        <w:tc>
          <w:tcPr>
            <w:tcW w:w="176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3.</w:t>
            </w:r>
          </w:p>
        </w:tc>
        <w:tc>
          <w:tcPr>
            <w:tcW w:w="160" w:type="dxa"/>
            <w:vAlign w:val="bottom"/>
          </w:tcPr>
          <w:p>
            <w:pPr>
              <w:spacing w:after="0"/>
              <w:rPr>
                <w:sz w:val="17"/>
                <w:szCs w:val="17"/>
                <w:color w:val="auto"/>
              </w:rPr>
            </w:pPr>
          </w:p>
        </w:tc>
        <w:tc>
          <w:tcPr>
            <w:tcW w:w="362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w w:val="98"/>
              </w:rPr>
              <w:t>Quantitative and Qualitative Disclosures About Market Risk</w:t>
            </w:r>
          </w:p>
        </w:tc>
        <w:tc>
          <w:tcPr>
            <w:tcW w:w="176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16"/>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4.</w:t>
            </w:r>
          </w:p>
        </w:tc>
        <w:tc>
          <w:tcPr>
            <w:tcW w:w="160" w:type="dxa"/>
            <w:vAlign w:val="bottom"/>
          </w:tcPr>
          <w:p>
            <w:pPr>
              <w:spacing w:after="0"/>
              <w:rPr>
                <w:sz w:val="17"/>
                <w:szCs w:val="17"/>
                <w:color w:val="auto"/>
              </w:rPr>
            </w:pPr>
          </w:p>
        </w:tc>
        <w:tc>
          <w:tcPr>
            <w:tcW w:w="362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rPr>
              <w:t>Controls and Procedures</w:t>
            </w: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16"/>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Part II.</w:t>
            </w:r>
          </w:p>
        </w:tc>
        <w:tc>
          <w:tcPr>
            <w:tcW w:w="1680" w:type="dxa"/>
            <w:vAlign w:val="bottom"/>
            <w:gridSpan w:val="11"/>
          </w:tcPr>
          <w:p>
            <w:pPr>
              <w:spacing w:after="0"/>
              <w:rPr>
                <w:sz w:val="20"/>
                <w:szCs w:val="20"/>
                <w:color w:val="auto"/>
              </w:rPr>
            </w:pPr>
            <w:r>
              <w:rPr>
                <w:rFonts w:ascii="Times New Roman" w:cs="Times New Roman" w:eastAsia="Times New Roman" w:hAnsi="Times New Roman"/>
                <w:sz w:val="15"/>
                <w:szCs w:val="15"/>
                <w:b w:val="1"/>
                <w:bCs w:val="1"/>
                <w:color w:val="0000FF"/>
                <w:w w:val="97"/>
              </w:rPr>
              <w:t>OTHER INFORMATION</w:t>
            </w:r>
          </w:p>
        </w:tc>
        <w:tc>
          <w:tcPr>
            <w:tcW w:w="4260" w:type="dxa"/>
            <w:vAlign w:val="bottom"/>
            <w:gridSpan w:val="21"/>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2100" w:type="dxa"/>
            <w:vAlign w:val="bottom"/>
            <w:gridSpan w:val="16"/>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1.</w:t>
            </w:r>
          </w:p>
        </w:tc>
        <w:tc>
          <w:tcPr>
            <w:tcW w:w="160" w:type="dxa"/>
            <w:vAlign w:val="bottom"/>
          </w:tcPr>
          <w:p>
            <w:pPr>
              <w:spacing w:after="0"/>
              <w:rPr>
                <w:sz w:val="17"/>
                <w:szCs w:val="17"/>
                <w:color w:val="auto"/>
              </w:rPr>
            </w:pPr>
          </w:p>
        </w:tc>
        <w:tc>
          <w:tcPr>
            <w:tcW w:w="1520" w:type="dxa"/>
            <w:vAlign w:val="bottom"/>
            <w:gridSpan w:val="10"/>
          </w:tcPr>
          <w:p>
            <w:pPr>
              <w:spacing w:after="0"/>
              <w:rPr>
                <w:sz w:val="20"/>
                <w:szCs w:val="20"/>
                <w:color w:val="auto"/>
              </w:rPr>
            </w:pPr>
            <w:r>
              <w:rPr>
                <w:rFonts w:ascii="Times New Roman" w:cs="Times New Roman" w:eastAsia="Times New Roman" w:hAnsi="Times New Roman"/>
                <w:sz w:val="15"/>
                <w:szCs w:val="15"/>
                <w:color w:val="0000FF"/>
              </w:rPr>
              <w:t>Legal Proceedings</w:t>
            </w:r>
          </w:p>
        </w:tc>
        <w:tc>
          <w:tcPr>
            <w:tcW w:w="4260" w:type="dxa"/>
            <w:vAlign w:val="bottom"/>
            <w:gridSpan w:val="21"/>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520" w:type="dxa"/>
            <w:vAlign w:val="bottom"/>
            <w:tcBorders>
              <w:left w:val="single" w:sz="8" w:color="0000FF"/>
            </w:tcBorders>
            <w:gridSpan w:val="20"/>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1A.</w:t>
            </w:r>
          </w:p>
        </w:tc>
        <w:tc>
          <w:tcPr>
            <w:tcW w:w="160" w:type="dxa"/>
            <w:vAlign w:val="bottom"/>
          </w:tcPr>
          <w:p>
            <w:pPr>
              <w:spacing w:after="0"/>
              <w:rPr>
                <w:sz w:val="17"/>
                <w:szCs w:val="17"/>
                <w:color w:val="auto"/>
              </w:rPr>
            </w:pPr>
          </w:p>
        </w:tc>
        <w:tc>
          <w:tcPr>
            <w:tcW w:w="110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Risk Factors</w:t>
            </w:r>
          </w:p>
        </w:tc>
        <w:tc>
          <w:tcPr>
            <w:tcW w:w="4680" w:type="dxa"/>
            <w:vAlign w:val="bottom"/>
            <w:gridSpan w:val="2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520" w:type="dxa"/>
            <w:vAlign w:val="bottom"/>
            <w:gridSpan w:val="20"/>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2.</w:t>
            </w:r>
          </w:p>
        </w:tc>
        <w:tc>
          <w:tcPr>
            <w:tcW w:w="160" w:type="dxa"/>
            <w:vAlign w:val="bottom"/>
          </w:tcPr>
          <w:p>
            <w:pPr>
              <w:spacing w:after="0"/>
              <w:rPr>
                <w:sz w:val="17"/>
                <w:szCs w:val="17"/>
                <w:color w:val="auto"/>
              </w:rPr>
            </w:pPr>
          </w:p>
        </w:tc>
        <w:tc>
          <w:tcPr>
            <w:tcW w:w="5780" w:type="dxa"/>
            <w:vAlign w:val="bottom"/>
            <w:gridSpan w:val="31"/>
          </w:tcPr>
          <w:p>
            <w:pPr>
              <w:spacing w:after="0"/>
              <w:rPr>
                <w:sz w:val="20"/>
                <w:szCs w:val="20"/>
                <w:color w:val="auto"/>
              </w:rPr>
            </w:pPr>
            <w:r>
              <w:rPr>
                <w:rFonts w:ascii="Times New Roman" w:cs="Times New Roman" w:eastAsia="Times New Roman" w:hAnsi="Times New Roman"/>
                <w:sz w:val="15"/>
                <w:szCs w:val="15"/>
                <w:color w:val="0000FF"/>
              </w:rPr>
              <w:t>Unregistered Sales of Equity Securities and Use of Proceeds</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520" w:type="dxa"/>
            <w:vAlign w:val="bottom"/>
            <w:tcBorders>
              <w:left w:val="single" w:sz="8" w:color="0000FF"/>
            </w:tcBorders>
            <w:gridSpan w:val="20"/>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5.</w:t>
            </w:r>
          </w:p>
        </w:tc>
        <w:tc>
          <w:tcPr>
            <w:tcW w:w="160" w:type="dxa"/>
            <w:vAlign w:val="bottom"/>
          </w:tcPr>
          <w:p>
            <w:pPr>
              <w:spacing w:after="0"/>
              <w:rPr>
                <w:sz w:val="17"/>
                <w:szCs w:val="17"/>
                <w:color w:val="auto"/>
              </w:rPr>
            </w:pPr>
          </w:p>
        </w:tc>
        <w:tc>
          <w:tcPr>
            <w:tcW w:w="362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rPr>
              <w:t>Other Information</w:t>
            </w: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6.</w:t>
            </w:r>
          </w:p>
        </w:tc>
        <w:tc>
          <w:tcPr>
            <w:tcW w:w="16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w w:val="95"/>
              </w:rPr>
              <w:t>Exhibits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40" w:type="dxa"/>
            <w:vAlign w:val="bottom"/>
            <w:gridSpan w:val="2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5940" w:type="dxa"/>
            <w:vAlign w:val="bottom"/>
            <w:gridSpan w:val="32"/>
          </w:tcPr>
          <w:p>
            <w:pPr>
              <w:spacing w:after="0"/>
              <w:rPr>
                <w:sz w:val="20"/>
                <w:szCs w:val="20"/>
                <w:color w:val="auto"/>
              </w:rPr>
            </w:pPr>
            <w:r>
              <w:rPr>
                <w:rFonts w:ascii="Times New Roman" w:cs="Times New Roman" w:eastAsia="Times New Roman" w:hAnsi="Times New Roman"/>
                <w:sz w:val="15"/>
                <w:szCs w:val="15"/>
                <w:color w:val="0000FF"/>
              </w:rPr>
              <w:t>SIGNATURES</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61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6"/>
          <w:szCs w:val="16"/>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589915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6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0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INTERIM 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except per share amounts, and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7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46"/>
        </w:trPr>
        <w:tc>
          <w:tcPr>
            <w:tcW w:w="18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20" w:type="dxa"/>
            <w:vAlign w:val="bottom"/>
            <w:tcBorders>
              <w:top w:val="single" w:sz="8" w:color="auto"/>
            </w:tcBorders>
            <w:gridSpan w:val="3"/>
          </w:tcPr>
          <w:p>
            <w:pPr>
              <w:ind w:left="40"/>
              <w:spacing w:after="0" w:line="146"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top w:val="single" w:sz="8" w:color="auto"/>
            </w:tcBorders>
            <w:gridSpan w:val="2"/>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2"/>
                <w:szCs w:val="12"/>
                <w:color w:val="auto"/>
              </w:rPr>
            </w:pPr>
          </w:p>
        </w:tc>
        <w:tc>
          <w:tcPr>
            <w:tcW w:w="1100" w:type="dxa"/>
            <w:vAlign w:val="bottom"/>
            <w:tcBorders>
              <w:top w:val="single" w:sz="8" w:color="auto"/>
            </w:tcBorders>
            <w:gridSpan w:val="3"/>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tcBorders>
              <w:top w:val="single" w:sz="8" w:color="auto"/>
            </w:tcBorders>
            <w:gridSpan w:val="2"/>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800" w:type="dxa"/>
            <w:vAlign w:val="bottom"/>
          </w:tcPr>
          <w:p>
            <w:pPr>
              <w:spacing w:after="0"/>
              <w:rPr>
                <w:sz w:val="18"/>
                <w:szCs w:val="18"/>
                <w:color w:val="auto"/>
              </w:rPr>
            </w:pPr>
          </w:p>
        </w:tc>
        <w:tc>
          <w:tcPr>
            <w:tcW w:w="3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80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3,640</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vacation ownership products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Marketing and sales</w:t>
            </w: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Litigation charges</w:t>
            </w: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Modernization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Royalty fee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3,435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3,253</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3300" w:type="dxa"/>
            <w:vAlign w:val="bottom"/>
            <w:tcBorders>
              <w:top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INCOME BEFORE INCOME TAXES AND</w:t>
            </w: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2"/>
          </w:tcPr>
          <w:p>
            <w:pPr>
              <w:jc w:val="right"/>
              <w:ind w:right="1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3300" w:type="dxa"/>
            <w:vAlign w:val="bottom"/>
            <w:tcBorders>
              <w:top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NET (LOSS) INCOME ATTRIBUTABLE TO</w:t>
            </w: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STOCKHOLDERS</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320" w:type="dxa"/>
            <w:vAlign w:val="bottom"/>
            <w:tcBorders>
              <w:top w:val="single" w:sz="8" w:color="CCEEFF"/>
            </w:tcBorders>
            <w:gridSpan w:val="3"/>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66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EARNINGS PER SHARE ATTRIBUTABLE TO COMMON STOCKHOLDERS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352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CASH DIVIDENDS DECLARED PER SHARE </w:t>
            </w: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1800" w:type="dxa"/>
            <w:vAlign w:val="bottom"/>
          </w:tcPr>
          <w:p>
            <w:pPr>
              <w:spacing w:after="0"/>
              <w:rPr>
                <w:sz w:val="24"/>
                <w:szCs w:val="24"/>
                <w:color w:val="auto"/>
              </w:rPr>
            </w:pPr>
          </w:p>
        </w:tc>
        <w:tc>
          <w:tcPr>
            <w:tcW w:w="6640" w:type="dxa"/>
            <w:vAlign w:val="bottom"/>
            <w:gridSpan w:val="10"/>
          </w:tcPr>
          <w:p>
            <w:pPr>
              <w:ind w:left="156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1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8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2100" w:right="1080"/>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MARRIOTT VACATIONS WORLDWIDE CORPORATION INTERIM CONSOLIDATED STATEMENTS OF COMPREHENSIVE INCOME </w:t>
      </w:r>
      <w:r>
        <w:rPr>
          <w:rFonts w:ascii="Times New Roman" w:cs="Times New Roman" w:eastAsia="Times New Roman" w:hAnsi="Times New Roman"/>
          <w:sz w:val="16"/>
          <w:szCs w:val="16"/>
          <w:color w:val="auto"/>
        </w:rPr>
        <w:t>(In millions and unaudited)</w:t>
      </w:r>
    </w:p>
    <w:p>
      <w:pPr>
        <w:spacing w:after="0" w:line="307" w:lineRule="exact"/>
        <w:rPr>
          <w:sz w:val="20"/>
          <w:szCs w:val="20"/>
          <w:color w:val="auto"/>
        </w:rPr>
      </w:pPr>
    </w:p>
    <w:tbl>
      <w:tblPr>
        <w:tblLayout w:type="fixed"/>
        <w:tblInd w:w="1800" w:type="dxa"/>
        <w:tblCellMar>
          <w:top w:w="0" w:type="dxa"/>
          <w:left w:w="0" w:type="dxa"/>
          <w:bottom w:w="0" w:type="dxa"/>
          <w:right w:w="0" w:type="dxa"/>
        </w:tblCellMar>
      </w:tblPr>
      <w:tr>
        <w:trPr>
          <w:trHeight w:val="208"/>
        </w:trPr>
        <w:tc>
          <w:tcPr>
            <w:tcW w:w="3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112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12"/>
                <w:szCs w:val="12"/>
                <w:color w:val="auto"/>
              </w:rPr>
            </w:pPr>
          </w:p>
        </w:tc>
        <w:tc>
          <w:tcPr>
            <w:tcW w:w="110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1"/>
        </w:trPr>
        <w:tc>
          <w:tcPr>
            <w:tcW w:w="3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168</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25"/>
        </w:trPr>
        <w:tc>
          <w:tcPr>
            <w:tcW w:w="3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Derivative instrument adjustment, net of tax</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34"/>
        </w:trPr>
        <w:tc>
          <w:tcPr>
            <w:tcW w:w="3300" w:type="dxa"/>
            <w:vAlign w:val="bottom"/>
            <w:tcBorders>
              <w:top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OTHER COMPREHENSIVE LOSS, NET OF</w:t>
            </w: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7"/>
        </w:trPr>
        <w:tc>
          <w:tcPr>
            <w:tcW w:w="3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8"/>
              </w:rPr>
              <w:t>Net income attributable to noncontrolling interests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4"/>
        </w:trPr>
        <w:tc>
          <w:tcPr>
            <w:tcW w:w="330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COMPREHENSIVE INCOME</w:t>
            </w: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ATTRIBUTABLE TO NONCONTROLLING</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330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COMPREHENSIVE (LOSS) INCOME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ATTRIBUTABLE TO COMMON</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c>
          <w:tcPr>
            <w:tcW w:w="12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141</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2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INTERIM CONSOLIDATED BALANCE SHEETS</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(In millions, except share and per share data)</w:t>
      </w:r>
    </w:p>
    <w:p>
      <w:pPr>
        <w:spacing w:after="0" w:line="128" w:lineRule="exact"/>
        <w:rPr>
          <w:sz w:val="20"/>
          <w:szCs w:val="20"/>
          <w:color w:val="auto"/>
        </w:rPr>
      </w:pPr>
    </w:p>
    <w:tbl>
      <w:tblPr>
        <w:tblLayout w:type="fixed"/>
        <w:tblInd w:w="1800" w:type="dxa"/>
        <w:tblCellMar>
          <w:top w:w="0" w:type="dxa"/>
          <w:left w:w="0" w:type="dxa"/>
          <w:bottom w:w="0" w:type="dxa"/>
          <w:right w:w="0" w:type="dxa"/>
        </w:tblCellMar>
      </w:tblPr>
      <w:tr>
        <w:trPr>
          <w:trHeight w:val="201"/>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61"/>
        </w:trPr>
        <w:tc>
          <w:tcPr>
            <w:tcW w:w="5460" w:type="dxa"/>
            <w:vAlign w:val="bottom"/>
          </w:tcPr>
          <w:p>
            <w:pPr>
              <w:spacing w:after="0"/>
              <w:rPr>
                <w:sz w:val="13"/>
                <w:szCs w:val="13"/>
                <w:color w:val="auto"/>
              </w:rPr>
            </w:pPr>
          </w:p>
        </w:tc>
        <w:tc>
          <w:tcPr>
            <w:tcW w:w="116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5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5"/>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Pr>
          <w:p>
            <w:pPr>
              <w:spacing w:after="0"/>
              <w:rPr>
                <w:sz w:val="19"/>
                <w:szCs w:val="19"/>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197</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(including $88 and $82 from VIEs, respectively)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331</w:t>
            </w:r>
          </w:p>
        </w:tc>
      </w:tr>
      <w:tr>
        <w:trPr>
          <w:trHeight w:val="154"/>
        </w:trPr>
        <w:tc>
          <w:tcPr>
            <w:tcW w:w="54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Accounts and contracts receivable, net (including $15 and $16 from VIEs,</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387</w:t>
            </w:r>
          </w:p>
        </w:tc>
      </w:tr>
      <w:tr>
        <w:trPr>
          <w:trHeight w:val="154"/>
        </w:trPr>
        <w:tc>
          <w:tcPr>
            <w:tcW w:w="546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Vacation ownership notes receivable, net (including $1,896 and $1,917 from VIEs,</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1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2,440</w:t>
            </w:r>
          </w:p>
        </w:tc>
      </w:tr>
      <w:tr>
        <w:trPr>
          <w:trHeight w:val="225"/>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735</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1,170</w:t>
            </w:r>
          </w:p>
        </w:tc>
      </w:tr>
      <w:tr>
        <w:trPr>
          <w:trHeight w:val="225"/>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3,117</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790</w:t>
            </w:r>
          </w:p>
        </w:tc>
      </w:tr>
      <w:tr>
        <w:trPr>
          <w:trHeight w:val="225"/>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(including $160 and $131 from VIEs, respectively)</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641</w:t>
            </w:r>
          </w:p>
        </w:tc>
      </w:tr>
      <w:tr>
        <w:trPr>
          <w:trHeight w:val="218"/>
        </w:trPr>
        <w:tc>
          <w:tcPr>
            <w:tcW w:w="54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9,808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9"/>
                <w:szCs w:val="19"/>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343</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deposits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w:t>
            </w:r>
          </w:p>
        </w:tc>
      </w:tr>
      <w:tr>
        <w:trPr>
          <w:trHeight w:val="225"/>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 (including $4 and $4 from VIEs,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384</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354</w:t>
            </w:r>
          </w:p>
        </w:tc>
      </w:tr>
      <w:tr>
        <w:trPr>
          <w:trHeight w:val="225"/>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and benefits liability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220</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liability</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w:t>
            </w:r>
          </w:p>
        </w:tc>
      </w:tr>
      <w:tr>
        <w:trPr>
          <w:trHeight w:val="225"/>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Securitized debt, net (including $2,132 and $2,163 from VIEs,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2,136</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3,089</w:t>
            </w:r>
          </w:p>
        </w:tc>
      </w:tr>
      <w:tr>
        <w:trPr>
          <w:trHeight w:val="225"/>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w:t>
            </w:r>
          </w:p>
        </w:tc>
      </w:tr>
      <w:tr>
        <w:trPr>
          <w:trHeight w:val="205"/>
        </w:trPr>
        <w:tc>
          <w:tcPr>
            <w:tcW w:w="5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7,367</w:t>
            </w:r>
          </w:p>
        </w:tc>
      </w:tr>
      <w:tr>
        <w:trPr>
          <w:trHeight w:val="20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Contingencies and Commitments (Note 10)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54"/>
        </w:trPr>
        <w:tc>
          <w:tcPr>
            <w:tcW w:w="54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Preferred stock — $0.01 par value; 2,000,000 shares authorized; none issued or</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154"/>
        </w:trPr>
        <w:tc>
          <w:tcPr>
            <w:tcW w:w="546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Common stock — $0.01 par value; 100,000,000 shares authorized; 75,891,531 and</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1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75,852,678 shares issued, respectively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25"/>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 at cost; 41,277,540 and 40,974,753 shares,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3,975</w:t>
            </w:r>
          </w:p>
        </w:tc>
      </w:tr>
      <w:tr>
        <w:trPr>
          <w:trHeight w:val="225"/>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852</w:t>
            </w:r>
          </w:p>
        </w:tc>
      </w:tr>
      <w:tr>
        <w:trPr>
          <w:trHeight w:val="205"/>
        </w:trPr>
        <w:tc>
          <w:tcPr>
            <w:tcW w:w="546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MVW STOCKHOLDERS' EQUITY</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2,442</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5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2,441</w:t>
            </w:r>
          </w:p>
        </w:tc>
      </w:tr>
      <w:tr>
        <w:trPr>
          <w:trHeight w:val="218"/>
        </w:trPr>
        <w:tc>
          <w:tcPr>
            <w:tcW w:w="54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9,808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i w:val="1"/>
          <w:iCs w:val="1"/>
          <w:color w:val="auto"/>
        </w:rPr>
        <w:t>The abbreviation VIEs above means Variable Interest Entities.</w:t>
      </w:r>
    </w:p>
    <w:p>
      <w:pPr>
        <w:spacing w:after="0" w:line="27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See Interim Condensed Notes to Financial Statements</w:t>
      </w: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INTERIM CONSOLIDATED STATEMENTS OF CASH FLOWS</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(In millions and unaudited)</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208"/>
        </w:trPr>
        <w:tc>
          <w:tcPr>
            <w:tcW w:w="5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46"/>
        </w:trPr>
        <w:tc>
          <w:tcPr>
            <w:tcW w:w="5440" w:type="dxa"/>
            <w:vAlign w:val="bottom"/>
          </w:tcPr>
          <w:p>
            <w:pPr>
              <w:spacing w:after="0"/>
              <w:rPr>
                <w:sz w:val="12"/>
                <w:szCs w:val="12"/>
                <w:color w:val="auto"/>
              </w:rPr>
            </w:pPr>
          </w:p>
        </w:tc>
        <w:tc>
          <w:tcPr>
            <w:tcW w:w="11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5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5"/>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w:t>
            </w:r>
          </w:p>
        </w:tc>
      </w:tr>
      <w:tr>
        <w:trPr>
          <w:trHeight w:val="154"/>
        </w:trPr>
        <w:tc>
          <w:tcPr>
            <w:tcW w:w="54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Adjustments to reconcile net income to net cash, cash equivalents and restricted cash</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1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provided by operating activities: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5"/>
        </w:trPr>
        <w:tc>
          <w:tcPr>
            <w:tcW w:w="5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of intangibles</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w:t>
            </w:r>
          </w:p>
        </w:tc>
      </w:tr>
      <w:tr>
        <w:trPr>
          <w:trHeight w:val="225"/>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r>
      <w:tr>
        <w:trPr>
          <w:trHeight w:val="225"/>
        </w:trPr>
        <w:tc>
          <w:tcPr>
            <w:tcW w:w="5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Vacation ownership notes and contracts receivable reserve</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w:t>
            </w:r>
          </w:p>
        </w:tc>
      </w:tr>
      <w:tr>
        <w:trPr>
          <w:trHeight w:val="225"/>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r>
      <w:tr>
        <w:trPr>
          <w:trHeight w:val="225"/>
        </w:trPr>
        <w:tc>
          <w:tcPr>
            <w:tcW w:w="5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charges</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remeasurement (gain) loss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5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r>
      <w:tr>
        <w:trPr>
          <w:trHeight w:val="225"/>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assets and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5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and contracts receivable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r>
      <w:tr>
        <w:trPr>
          <w:trHeight w:val="225"/>
        </w:trPr>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Vacation ownership notes receivable originations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25"/>
        </w:trPr>
        <w:tc>
          <w:tcPr>
            <w:tcW w:w="5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Vacation ownership notes receivable collections</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470</w:t>
            </w:r>
          </w:p>
        </w:tc>
      </w:tr>
      <w:tr>
        <w:trPr>
          <w:trHeight w:val="225"/>
        </w:trPr>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25"/>
        </w:trPr>
        <w:tc>
          <w:tcPr>
            <w:tcW w:w="5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payable, advance deposits and accrued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25"/>
        </w:trPr>
        <w:tc>
          <w:tcPr>
            <w:tcW w:w="5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5"/>
        </w:trPr>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Payroll and benefit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5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Deferred compensation liability</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r>
      <w:tr>
        <w:trPr>
          <w:trHeight w:val="225"/>
        </w:trPr>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25"/>
        </w:trPr>
        <w:tc>
          <w:tcPr>
            <w:tcW w:w="5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and development of property for future transfer to inventory</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r>
      <w:tr>
        <w:trPr>
          <w:trHeight w:val="134"/>
        </w:trPr>
        <w:tc>
          <w:tcPr>
            <w:tcW w:w="5440" w:type="dxa"/>
            <w:vAlign w:val="bottom"/>
          </w:tcPr>
          <w:p>
            <w:pPr>
              <w:ind w:left="580"/>
              <w:spacing w:after="0" w:line="134" w:lineRule="exact"/>
              <w:rPr>
                <w:sz w:val="20"/>
                <w:szCs w:val="20"/>
                <w:color w:val="auto"/>
              </w:rPr>
            </w:pPr>
            <w:r>
              <w:rPr>
                <w:rFonts w:ascii="Times New Roman" w:cs="Times New Roman" w:eastAsia="Times New Roman" w:hAnsi="Times New Roman"/>
                <w:sz w:val="15"/>
                <w:szCs w:val="15"/>
                <w:color w:val="auto"/>
              </w:rPr>
              <w:t>Net cash, cash equivalents and restricted cash provided by operating</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3"/>
        </w:trPr>
        <w:tc>
          <w:tcPr>
            <w:tcW w:w="54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activities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105</w:t>
            </w:r>
          </w:p>
        </w:tc>
      </w:tr>
      <w:tr>
        <w:trPr>
          <w:trHeight w:val="20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5"/>
        </w:trPr>
        <w:tc>
          <w:tcPr>
            <w:tcW w:w="5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 for property and equipment (excluding inventory)</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5"/>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company owned life insurance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5"/>
        </w:trPr>
        <w:tc>
          <w:tcPr>
            <w:tcW w:w="5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and development of property for future sale</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25"/>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4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Net cash, cash equivalents and restricted cash used in investing activities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r>
    </w:tbl>
    <w:p>
      <w:pPr>
        <w:spacing w:after="0" w:line="200" w:lineRule="exact"/>
        <w:rPr>
          <w:sz w:val="20"/>
          <w:szCs w:val="20"/>
          <w:color w:val="auto"/>
        </w:rPr>
      </w:pPr>
    </w:p>
    <w:p>
      <w:pPr>
        <w:spacing w:after="0" w:line="2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b w:val="1"/>
          <w:bCs w:val="1"/>
          <w:color w:val="auto"/>
        </w:rPr>
        <w:t>Continued</w:t>
      </w:r>
    </w:p>
    <w:p>
      <w:pPr>
        <w:spacing w:after="0" w:line="38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2100" w:right="1060"/>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MARRIOTT VACATIONS WORLDWIDE CORPORATION INTERIM CONSOLIDATED STATEMENTS OF CASH FLOWS (CONTINUED) </w:t>
      </w:r>
      <w:r>
        <w:rPr>
          <w:rFonts w:ascii="Times New Roman" w:cs="Times New Roman" w:eastAsia="Times New Roman" w:hAnsi="Times New Roman"/>
          <w:sz w:val="16"/>
          <w:szCs w:val="16"/>
          <w:color w:val="auto"/>
        </w:rPr>
        <w:t>(In millions and unaudited)</w:t>
      </w:r>
    </w:p>
    <w:p>
      <w:pPr>
        <w:spacing w:after="0" w:line="200" w:lineRule="exact"/>
        <w:rPr>
          <w:sz w:val="20"/>
          <w:szCs w:val="20"/>
          <w:color w:val="auto"/>
        </w:rPr>
      </w:pPr>
    </w:p>
    <w:tbl>
      <w:tblPr>
        <w:tblLayout w:type="fixed"/>
        <w:tblInd w:w="1800" w:type="dxa"/>
        <w:tblCellMar>
          <w:top w:w="0" w:type="dxa"/>
          <w:left w:w="0" w:type="dxa"/>
          <w:bottom w:w="0" w:type="dxa"/>
          <w:right w:w="0" w:type="dxa"/>
        </w:tblCellMar>
      </w:tblPr>
      <w:tr>
        <w:trPr>
          <w:trHeight w:val="208"/>
        </w:trPr>
        <w:tc>
          <w:tcPr>
            <w:tcW w:w="5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46"/>
        </w:trPr>
        <w:tc>
          <w:tcPr>
            <w:tcW w:w="5420" w:type="dxa"/>
            <w:vAlign w:val="bottom"/>
          </w:tcPr>
          <w:p>
            <w:pPr>
              <w:spacing w:after="0"/>
              <w:rPr>
                <w:sz w:val="12"/>
                <w:szCs w:val="12"/>
                <w:color w:val="auto"/>
              </w:rPr>
            </w:pPr>
          </w:p>
        </w:tc>
        <w:tc>
          <w:tcPr>
            <w:tcW w:w="1180" w:type="dxa"/>
            <w:vAlign w:val="bottom"/>
            <w:gridSpan w:val="3"/>
          </w:tcPr>
          <w:p>
            <w:pPr>
              <w:ind w:left="60"/>
              <w:spacing w:after="0" w:line="146"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1"/>
        </w:trPr>
        <w:tc>
          <w:tcPr>
            <w:tcW w:w="5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 from securitization transactions</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debt related to securitization transactions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debt</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1,675</w:t>
            </w: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of debt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lease payment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debt and securitized debt issuance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dividends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25"/>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Payment of withholding taxes on vesting of restricted stock units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34"/>
        </w:trPr>
        <w:tc>
          <w:tcPr>
            <w:tcW w:w="5420" w:type="dxa"/>
            <w:vAlign w:val="bottom"/>
            <w:shd w:val="clear" w:color="auto" w:fill="CCEEFF"/>
          </w:tcPr>
          <w:p>
            <w:pPr>
              <w:ind w:left="580"/>
              <w:spacing w:after="0" w:line="134" w:lineRule="exact"/>
              <w:rPr>
                <w:sz w:val="20"/>
                <w:szCs w:val="20"/>
                <w:color w:val="auto"/>
              </w:rPr>
            </w:pPr>
            <w:r>
              <w:rPr>
                <w:rFonts w:ascii="Times New Roman" w:cs="Times New Roman" w:eastAsia="Times New Roman" w:hAnsi="Times New Roman"/>
                <w:sz w:val="15"/>
                <w:szCs w:val="15"/>
                <w:color w:val="auto"/>
              </w:rPr>
              <w:t>Net cash, cash equivalents and restricted cash provided by (used in)</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13"/>
        </w:trPr>
        <w:tc>
          <w:tcPr>
            <w:tcW w:w="5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5"/>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exchange rates on cash, cash equivalents and restricted cash</w:t>
            </w:r>
          </w:p>
        </w:tc>
        <w:tc>
          <w:tcPr>
            <w:tcW w:w="24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574</w:t>
            </w:r>
          </w:p>
        </w:tc>
      </w:tr>
      <w:tr>
        <w:trPr>
          <w:trHeight w:val="21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issuance of treasury stock for employee stock purchase plan</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transfer from inventory to property and equipment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transfer from property and equipment to inventory</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w:t>
            </w: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transfer from other assets to property and equipment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transfer from property and equipment to other assets</w:t>
            </w:r>
          </w:p>
        </w:tc>
        <w:tc>
          <w:tcPr>
            <w:tcW w:w="2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 obtained in exchange for finance lease obligation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r>
      <w:tr>
        <w:trPr>
          <w:trHeight w:val="225"/>
        </w:trPr>
        <w:tc>
          <w:tcPr>
            <w:tcW w:w="5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payable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r>
    </w:tbl>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Common</w:t>
      </w:r>
    </w:p>
    <w:p>
      <w:pPr>
        <w:jc w:val="center"/>
        <w:ind w:right="1340"/>
        <w:spacing w:after="0" w:line="211" w:lineRule="auto"/>
        <w:rPr>
          <w:sz w:val="20"/>
          <w:szCs w:val="20"/>
          <w:color w:val="auto"/>
        </w:rPr>
      </w:pPr>
      <w:r>
        <w:rPr>
          <w:rFonts w:ascii="Times New Roman" w:cs="Times New Roman" w:eastAsia="Times New Roman" w:hAnsi="Times New Roman"/>
          <w:sz w:val="14"/>
          <w:szCs w:val="14"/>
          <w:b w:val="1"/>
          <w:bCs w:val="1"/>
          <w:color w:val="auto"/>
        </w:rPr>
        <w:t>Stock</w:t>
      </w:r>
    </w:p>
    <w:p>
      <w:pPr>
        <w:spacing w:after="0" w:line="1"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Issued</w:t>
      </w:r>
    </w:p>
    <w:p>
      <w:pPr>
        <w:spacing w:after="0" w:line="20" w:lineRule="exact"/>
        <w:rPr>
          <w:sz w:val="20"/>
          <w:szCs w:val="20"/>
          <w:color w:val="auto"/>
        </w:rPr>
      </w:pPr>
      <w:r>
        <w:rPr>
          <w:sz w:val="20"/>
          <w:szCs w:val="20"/>
          <w:color w:val="auto"/>
        </w:rPr>
        <w:br w:type="column"/>
      </w:r>
    </w:p>
    <w:p>
      <w:pPr>
        <w:jc w:val="center"/>
        <w:ind w:right="2680"/>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MARRIOTT VACATIONS WORLDWIDE CORPORATION INTERIM CONSOLIDATED STATEMENTS OF STOCKHOLDERS’ EQUITY </w:t>
      </w:r>
      <w:r>
        <w:rPr>
          <w:rFonts w:ascii="Times New Roman" w:cs="Times New Roman" w:eastAsia="Times New Roman" w:hAnsi="Times New Roman"/>
          <w:sz w:val="16"/>
          <w:szCs w:val="16"/>
          <w:color w:val="auto"/>
        </w:rPr>
        <w:t>(In millions and unaudited)</w:t>
      </w:r>
    </w:p>
    <w:p>
      <w:pPr>
        <w:spacing w:after="0" w:line="27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0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MVW</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58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vMerge w:val="continue"/>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58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900" w:space="720"/>
            <w:col w:w="8120"/>
          </w:cols>
          <w:pgMar w:left="600" w:top="1163" w:right="559" w:bottom="1440" w:gutter="0" w:footer="0" w:header="0"/>
        </w:sectPr>
      </w:pP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75.9</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75.9</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75.9</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36195</wp:posOffset>
            </wp:positionV>
            <wp:extent cx="4133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33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33" w:lineRule="auto"/>
        <w:rPr>
          <w:sz w:val="20"/>
          <w:szCs w:val="20"/>
          <w:color w:val="auto"/>
        </w:rPr>
      </w:pPr>
      <w:r>
        <w:rPr>
          <w:rFonts w:ascii="Times New Roman" w:cs="Times New Roman" w:eastAsia="Times New Roman" w:hAnsi="Times New Roman"/>
          <w:sz w:val="16"/>
          <w:szCs w:val="16"/>
          <w:b w:val="1"/>
          <w:bCs w:val="1"/>
          <w:color w:val="auto"/>
        </w:rPr>
        <w:t>BALANCE AT DECEMBER 31, 2024</w:t>
      </w: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Net income</w:t>
      </w:r>
    </w:p>
    <w:p>
      <w:pPr>
        <w:spacing w:after="0" w:line="29" w:lineRule="exact"/>
        <w:rPr>
          <w:sz w:val="20"/>
          <w:szCs w:val="20"/>
          <w:color w:val="auto"/>
        </w:rPr>
      </w:pPr>
    </w:p>
    <w:p>
      <w:pPr>
        <w:ind w:left="80" w:right="200"/>
        <w:spacing w:after="0" w:line="235" w:lineRule="auto"/>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7" w:lineRule="exact"/>
        <w:rPr>
          <w:sz w:val="20"/>
          <w:szCs w:val="20"/>
          <w:color w:val="auto"/>
        </w:rPr>
      </w:pPr>
    </w:p>
    <w:p>
      <w:pPr>
        <w:ind w:left="80" w:right="300"/>
        <w:spacing w:after="0" w:line="235" w:lineRule="auto"/>
        <w:rPr>
          <w:sz w:val="20"/>
          <w:szCs w:val="20"/>
          <w:color w:val="auto"/>
        </w:rPr>
      </w:pPr>
      <w:r>
        <w:rPr>
          <w:rFonts w:ascii="Times New Roman" w:cs="Times New Roman" w:eastAsia="Times New Roman" w:hAnsi="Times New Roman"/>
          <w:sz w:val="16"/>
          <w:szCs w:val="16"/>
          <w:color w:val="auto"/>
        </w:rPr>
        <w:t>Share-based compensation plans</w:t>
      </w:r>
    </w:p>
    <w:p>
      <w:pPr>
        <w:spacing w:after="0" w:line="19" w:lineRule="exact"/>
        <w:rPr>
          <w:sz w:val="20"/>
          <w:szCs w:val="20"/>
          <w:color w:val="auto"/>
        </w:rPr>
      </w:pPr>
    </w:p>
    <w:p>
      <w:pPr>
        <w:ind w:left="80" w:right="120"/>
        <w:spacing w:after="0" w:line="284" w:lineRule="auto"/>
        <w:rPr>
          <w:sz w:val="20"/>
          <w:szCs w:val="20"/>
          <w:color w:val="auto"/>
        </w:rPr>
      </w:pPr>
      <w:r>
        <w:rPr>
          <w:rFonts w:ascii="Times New Roman" w:cs="Times New Roman" w:eastAsia="Times New Roman" w:hAnsi="Times New Roman"/>
          <w:sz w:val="16"/>
          <w:szCs w:val="16"/>
          <w:color w:val="auto"/>
        </w:rPr>
        <w:t>Repurchase of common stock Dividends</w:t>
      </w:r>
    </w:p>
    <w:p>
      <w:pPr>
        <w:spacing w:after="0" w:line="1"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6"/>
          <w:szCs w:val="16"/>
          <w:b w:val="1"/>
          <w:bCs w:val="1"/>
          <w:color w:val="auto"/>
        </w:rPr>
        <w:t>BALANCE AT MARCH 31, 2025</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Net income</w:t>
      </w:r>
    </w:p>
    <w:p>
      <w:pPr>
        <w:spacing w:after="0" w:line="29" w:lineRule="exact"/>
        <w:rPr>
          <w:sz w:val="20"/>
          <w:szCs w:val="20"/>
          <w:color w:val="auto"/>
        </w:rPr>
      </w:pPr>
    </w:p>
    <w:p>
      <w:pPr>
        <w:ind w:left="80" w:right="200"/>
        <w:spacing w:after="0" w:line="235" w:lineRule="auto"/>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7" w:lineRule="exact"/>
        <w:rPr>
          <w:sz w:val="20"/>
          <w:szCs w:val="20"/>
          <w:color w:val="auto"/>
        </w:rPr>
      </w:pPr>
    </w:p>
    <w:p>
      <w:pPr>
        <w:ind w:left="80" w:right="600"/>
        <w:spacing w:after="0" w:line="255" w:lineRule="auto"/>
        <w:rPr>
          <w:sz w:val="20"/>
          <w:szCs w:val="20"/>
          <w:color w:val="auto"/>
        </w:rPr>
      </w:pPr>
      <w:r>
        <w:rPr>
          <w:rFonts w:ascii="Times New Roman" w:cs="Times New Roman" w:eastAsia="Times New Roman" w:hAnsi="Times New Roman"/>
          <w:sz w:val="15"/>
          <w:szCs w:val="15"/>
          <w:color w:val="auto"/>
        </w:rPr>
        <w:t>Derivative instrument adjustment</w:t>
      </w:r>
    </w:p>
    <w:p>
      <w:pPr>
        <w:ind w:left="80" w:right="300"/>
        <w:spacing w:after="0" w:line="235" w:lineRule="auto"/>
        <w:rPr>
          <w:sz w:val="20"/>
          <w:szCs w:val="20"/>
          <w:color w:val="auto"/>
        </w:rPr>
      </w:pPr>
      <w:r>
        <w:rPr>
          <w:rFonts w:ascii="Times New Roman" w:cs="Times New Roman" w:eastAsia="Times New Roman" w:hAnsi="Times New Roman"/>
          <w:sz w:val="16"/>
          <w:szCs w:val="16"/>
          <w:color w:val="auto"/>
        </w:rPr>
        <w:t>Share-based compensation plans</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Dividends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BALANCE AT JUNE 30, 2025</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Net loss</w:t>
      </w:r>
    </w:p>
    <w:p>
      <w:pPr>
        <w:spacing w:after="0" w:line="29" w:lineRule="exact"/>
        <w:rPr>
          <w:sz w:val="20"/>
          <w:szCs w:val="20"/>
          <w:color w:val="auto"/>
        </w:rPr>
      </w:pPr>
    </w:p>
    <w:p>
      <w:pPr>
        <w:ind w:left="100" w:right="180"/>
        <w:spacing w:after="0" w:line="235" w:lineRule="auto"/>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7" w:lineRule="exact"/>
        <w:rPr>
          <w:sz w:val="20"/>
          <w:szCs w:val="20"/>
          <w:color w:val="auto"/>
        </w:rPr>
      </w:pPr>
    </w:p>
    <w:p>
      <w:pPr>
        <w:ind w:left="100" w:right="580"/>
        <w:spacing w:after="0" w:line="255" w:lineRule="auto"/>
        <w:rPr>
          <w:sz w:val="20"/>
          <w:szCs w:val="20"/>
          <w:color w:val="auto"/>
        </w:rPr>
      </w:pPr>
      <w:r>
        <w:rPr>
          <w:rFonts w:ascii="Times New Roman" w:cs="Times New Roman" w:eastAsia="Times New Roman" w:hAnsi="Times New Roman"/>
          <w:sz w:val="15"/>
          <w:szCs w:val="15"/>
          <w:color w:val="auto"/>
        </w:rPr>
        <w:t>Derivative instrument adjustment</w:t>
      </w:r>
    </w:p>
    <w:p>
      <w:pPr>
        <w:ind w:left="100" w:right="280"/>
        <w:spacing w:after="0" w:line="235" w:lineRule="auto"/>
        <w:rPr>
          <w:sz w:val="20"/>
          <w:szCs w:val="20"/>
          <w:color w:val="auto"/>
        </w:rPr>
      </w:pPr>
      <w:r>
        <w:rPr>
          <w:rFonts w:ascii="Times New Roman" w:cs="Times New Roman" w:eastAsia="Times New Roman" w:hAnsi="Times New Roman"/>
          <w:sz w:val="16"/>
          <w:szCs w:val="16"/>
          <w:color w:val="auto"/>
        </w:rPr>
        <w:t>Share-based compensation plans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Dividends</w:t>
      </w:r>
    </w:p>
    <w:p>
      <w:pPr>
        <w:spacing w:after="0" w:line="2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6"/>
          <w:szCs w:val="16"/>
          <w:b w:val="1"/>
          <w:bCs w:val="1"/>
          <w:color w:val="auto"/>
        </w:rPr>
        <w:t>BALANCE AT SEPTEMBER 30, 2025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3,975</w:t>
            </w:r>
          </w:p>
        </w:tc>
        <w:tc>
          <w:tcPr>
            <w:tcW w:w="100" w:type="dxa"/>
            <w:vAlign w:val="bottom"/>
          </w:tcPr>
          <w:p>
            <w:pPr>
              <w:spacing w:after="0"/>
              <w:rPr>
                <w:sz w:val="17"/>
                <w:szCs w:val="17"/>
                <w:color w:val="auto"/>
              </w:rPr>
            </w:pPr>
          </w:p>
        </w:tc>
        <w:tc>
          <w:tcPr>
            <w:tcW w:w="5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2,442</w:t>
            </w:r>
          </w:p>
        </w:tc>
        <w:tc>
          <w:tcPr>
            <w:tcW w:w="100" w:type="dxa"/>
            <w:vAlign w:val="bottom"/>
          </w:tcPr>
          <w:p>
            <w:pPr>
              <w:spacing w:after="0"/>
              <w:rPr>
                <w:sz w:val="17"/>
                <w:szCs w:val="17"/>
                <w:color w:val="auto"/>
              </w:rPr>
            </w:pPr>
          </w:p>
        </w:tc>
        <w:tc>
          <w:tcPr>
            <w:tcW w:w="4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2,441</w:t>
            </w:r>
          </w:p>
        </w:tc>
      </w:tr>
      <w:tr>
        <w:trPr>
          <w:trHeight w:val="296"/>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r>
      <w:tr>
        <w:trPr>
          <w:trHeight w:val="296"/>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67"/>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96"/>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31"/>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70"/>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3,968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2,435</w:t>
            </w:r>
          </w:p>
        </w:tc>
      </w:tr>
      <w:tr>
        <w:trPr>
          <w:trHeight w:val="296"/>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r>
      <w:tr>
        <w:trPr>
          <w:trHeight w:val="296"/>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67"/>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367"/>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r>
      <w:tr>
        <w:trPr>
          <w:trHeight w:val="299"/>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7"/>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2,484</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2,484</w:t>
            </w:r>
          </w:p>
        </w:tc>
      </w:tr>
      <w:tr>
        <w:trPr>
          <w:trHeight w:val="220"/>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96"/>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367"/>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67"/>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r>
      <w:tr>
        <w:trPr>
          <w:trHeight w:val="302"/>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59"/>
        </w:trPr>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Pr>
          <w:p>
            <w:pPr>
              <w:spacing w:after="0"/>
              <w:rPr>
                <w:sz w:val="22"/>
                <w:szCs w:val="22"/>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3,988</w:t>
            </w:r>
          </w:p>
        </w:tc>
        <w:tc>
          <w:tcPr>
            <w:tcW w:w="100" w:type="dxa"/>
            <w:vAlign w:val="bottom"/>
          </w:tcPr>
          <w:p>
            <w:pPr>
              <w:spacing w:after="0"/>
              <w:rPr>
                <w:sz w:val="22"/>
                <w:szCs w:val="22"/>
                <w:color w:val="auto"/>
              </w:rPr>
            </w:pPr>
          </w:p>
        </w:tc>
        <w:tc>
          <w:tcPr>
            <w:tcW w:w="5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2"/>
                <w:szCs w:val="22"/>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22"/>
                <w:szCs w:val="22"/>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2,465</w:t>
            </w:r>
          </w:p>
        </w:tc>
        <w:tc>
          <w:tcPr>
            <w:tcW w:w="100" w:type="dxa"/>
            <w:vAlign w:val="bottom"/>
          </w:tcPr>
          <w:p>
            <w:pPr>
              <w:spacing w:after="0"/>
              <w:rPr>
                <w:sz w:val="22"/>
                <w:szCs w:val="22"/>
                <w:color w:val="auto"/>
              </w:rPr>
            </w:pPr>
          </w:p>
        </w:tc>
        <w:tc>
          <w:tcPr>
            <w:tcW w:w="4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2,465</w:t>
            </w:r>
          </w:p>
        </w:tc>
      </w:tr>
      <w:tr>
        <w:trPr>
          <w:trHeight w:val="70"/>
        </w:trPr>
        <w:tc>
          <w:tcPr>
            <w:tcW w:w="3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-3344545</wp:posOffset>
            </wp:positionV>
            <wp:extent cx="6840855" cy="233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-2878455</wp:posOffset>
            </wp:positionV>
            <wp:extent cx="6840855" cy="142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0855" cy="14287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-2216785</wp:posOffset>
            </wp:positionV>
            <wp:extent cx="6840855" cy="233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-1750695</wp:posOffset>
            </wp:positionV>
            <wp:extent cx="6840855" cy="233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-1089660</wp:posOffset>
            </wp:positionV>
            <wp:extent cx="6840855" cy="233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-623570</wp:posOffset>
            </wp:positionV>
            <wp:extent cx="6840855" cy="233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-247650</wp:posOffset>
            </wp:positionV>
            <wp:extent cx="6840855" cy="248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0855" cy="24828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-1374775</wp:posOffset>
            </wp:positionV>
            <wp:extent cx="6840855" cy="14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0855" cy="14287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-2592705</wp:posOffset>
            </wp:positionV>
            <wp:extent cx="6840855" cy="233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-3720465</wp:posOffset>
            </wp:positionV>
            <wp:extent cx="6840855" cy="233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40855" cy="233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540" w:space="200"/>
            <w:col w:w="2060" w:space="60"/>
            <w:col w:w="60" w:space="440"/>
            <w:col w:w="7380"/>
          </w:cols>
          <w:pgMar w:left="600" w:top="1163" w:right="55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61595</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40"/>
          </w:cols>
          <w:pgMar w:left="600" w:top="1163" w:right="55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Common</w:t>
      </w:r>
    </w:p>
    <w:p>
      <w:pPr>
        <w:jc w:val="center"/>
        <w:ind w:right="760"/>
        <w:spacing w:after="0" w:line="211" w:lineRule="auto"/>
        <w:rPr>
          <w:sz w:val="20"/>
          <w:szCs w:val="20"/>
          <w:color w:val="auto"/>
        </w:rPr>
      </w:pPr>
      <w:r>
        <w:rPr>
          <w:rFonts w:ascii="Times New Roman" w:cs="Times New Roman" w:eastAsia="Times New Roman" w:hAnsi="Times New Roman"/>
          <w:sz w:val="14"/>
          <w:szCs w:val="14"/>
          <w:b w:val="1"/>
          <w:bCs w:val="1"/>
          <w:color w:val="auto"/>
        </w:rPr>
        <w:t>Stock</w:t>
      </w:r>
    </w:p>
    <w:p>
      <w:pPr>
        <w:spacing w:after="0" w:line="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Issued</w:t>
      </w:r>
    </w:p>
    <w:p>
      <w:pPr>
        <w:spacing w:after="0" w:line="20" w:lineRule="exact"/>
        <w:rPr>
          <w:sz w:val="20"/>
          <w:szCs w:val="20"/>
          <w:color w:val="auto"/>
        </w:rPr>
      </w:pPr>
      <w:r>
        <w:rPr>
          <w:sz w:val="20"/>
          <w:szCs w:val="20"/>
          <w:color w:val="auto"/>
        </w:rPr>
        <w:br w:type="column"/>
      </w:r>
    </w:p>
    <w:p>
      <w:pPr>
        <w:jc w:val="center"/>
        <w:ind w:right="2100"/>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MARRIOTT VACATIONS WORLDWIDE CORPORATION INTERIM CONSOLIDATED STATEMENTS OF STOCKHOLDERS’ EQUITY (CONTINUED) </w:t>
      </w:r>
      <w:r>
        <w:rPr>
          <w:rFonts w:ascii="Times New Roman" w:cs="Times New Roman" w:eastAsia="Times New Roman" w:hAnsi="Times New Roman"/>
          <w:sz w:val="16"/>
          <w:szCs w:val="16"/>
          <w:color w:val="auto"/>
        </w:rPr>
        <w:t>(In millions and unaudited)</w:t>
      </w:r>
    </w:p>
    <w:p>
      <w:pPr>
        <w:spacing w:after="0" w:line="200" w:lineRule="exact"/>
        <w:rPr>
          <w:sz w:val="20"/>
          <w:szCs w:val="20"/>
          <w:color w:val="auto"/>
        </w:rPr>
      </w:pP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72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MVW</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58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vMerge w:val="continue"/>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58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320" w:space="720"/>
            <w:col w:w="8660"/>
          </w:cols>
          <w:pgMar w:left="620" w:top="1257" w:right="579" w:bottom="1440" w:gutter="0" w:footer="0" w:header="0"/>
        </w:sectPr>
      </w:pP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75.8</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21590</wp:posOffset>
            </wp:positionV>
            <wp:extent cx="4133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3385" cy="7620"/>
                    </a:xfrm>
                    <a:prstGeom prst="rect">
                      <a:avLst/>
                    </a:prstGeom>
                    <a:noFill/>
                  </pic:spPr>
                </pic:pic>
              </a:graphicData>
            </a:graphic>
          </wp:anchor>
        </w:drawing>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75.8</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4133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3385" cy="7620"/>
                    </a:xfrm>
                    <a:prstGeom prst="rect">
                      <a:avLst/>
                    </a:prstGeom>
                    <a:noFill/>
                  </pic:spPr>
                </pic:pic>
              </a:graphicData>
            </a:graphic>
          </wp:anchor>
        </w:drawing>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36195</wp:posOffset>
            </wp:positionV>
            <wp:extent cx="4133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33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Times New Roman" w:cs="Times New Roman" w:eastAsia="Times New Roman" w:hAnsi="Times New Roman"/>
          <w:sz w:val="16"/>
          <w:szCs w:val="16"/>
          <w:b w:val="1"/>
          <w:bCs w:val="1"/>
          <w:color w:val="auto"/>
        </w:rPr>
        <w:t xml:space="preserve">BALANCE AT DECEMBER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31, 2023</w:t>
      </w: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Net income (loss)</w:t>
      </w:r>
    </w:p>
    <w:p>
      <w:pPr>
        <w:spacing w:after="0" w:line="29" w:lineRule="exact"/>
        <w:rPr>
          <w:sz w:val="20"/>
          <w:szCs w:val="20"/>
          <w:color w:val="auto"/>
        </w:rPr>
      </w:pPr>
    </w:p>
    <w:p>
      <w:pPr>
        <w:ind w:left="80" w:right="300"/>
        <w:spacing w:after="0" w:line="235" w:lineRule="auto"/>
        <w:rPr>
          <w:sz w:val="20"/>
          <w:szCs w:val="20"/>
          <w:color w:val="auto"/>
        </w:rPr>
      </w:pPr>
      <w:r>
        <w:rPr>
          <w:rFonts w:ascii="Times New Roman" w:cs="Times New Roman" w:eastAsia="Times New Roman" w:hAnsi="Times New Roman"/>
          <w:sz w:val="16"/>
          <w:szCs w:val="16"/>
          <w:color w:val="auto"/>
        </w:rPr>
        <w:t>Foreign currency translation adjustments</w:t>
      </w:r>
    </w:p>
    <w:p>
      <w:pPr>
        <w:ind w:left="80"/>
        <w:spacing w:after="0" w:line="232" w:lineRule="auto"/>
        <w:rPr>
          <w:sz w:val="20"/>
          <w:szCs w:val="20"/>
          <w:color w:val="auto"/>
        </w:rPr>
      </w:pPr>
      <w:r>
        <w:rPr>
          <w:rFonts w:ascii="Times New Roman" w:cs="Times New Roman" w:eastAsia="Times New Roman" w:hAnsi="Times New Roman"/>
          <w:sz w:val="16"/>
          <w:szCs w:val="16"/>
          <w:color w:val="auto"/>
        </w:rPr>
        <w:t>Derivative instrument</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adjustment</w:t>
      </w:r>
    </w:p>
    <w:p>
      <w:pPr>
        <w:spacing w:after="0" w:line="11" w:lineRule="exact"/>
        <w:rPr>
          <w:sz w:val="20"/>
          <w:szCs w:val="20"/>
          <w:color w:val="auto"/>
        </w:rPr>
      </w:pPr>
    </w:p>
    <w:p>
      <w:pPr>
        <w:ind w:left="80" w:right="400"/>
        <w:spacing w:after="0" w:line="235" w:lineRule="auto"/>
        <w:rPr>
          <w:sz w:val="20"/>
          <w:szCs w:val="20"/>
          <w:color w:val="auto"/>
        </w:rPr>
      </w:pPr>
      <w:r>
        <w:rPr>
          <w:rFonts w:ascii="Times New Roman" w:cs="Times New Roman" w:eastAsia="Times New Roman" w:hAnsi="Times New Roman"/>
          <w:sz w:val="16"/>
          <w:szCs w:val="16"/>
          <w:color w:val="auto"/>
        </w:rPr>
        <w:t>Share-based compensation plans</w:t>
      </w:r>
    </w:p>
    <w:p>
      <w:pPr>
        <w:spacing w:after="0" w:line="19" w:lineRule="exact"/>
        <w:rPr>
          <w:sz w:val="20"/>
          <w:szCs w:val="20"/>
          <w:color w:val="auto"/>
        </w:rPr>
      </w:pPr>
    </w:p>
    <w:p>
      <w:pPr>
        <w:ind w:left="80" w:right="220"/>
        <w:spacing w:after="0" w:line="284" w:lineRule="auto"/>
        <w:rPr>
          <w:sz w:val="20"/>
          <w:szCs w:val="20"/>
          <w:color w:val="auto"/>
        </w:rPr>
      </w:pPr>
      <w:r>
        <w:rPr>
          <w:rFonts w:ascii="Times New Roman" w:cs="Times New Roman" w:eastAsia="Times New Roman" w:hAnsi="Times New Roman"/>
          <w:sz w:val="16"/>
          <w:szCs w:val="16"/>
          <w:color w:val="auto"/>
        </w:rPr>
        <w:t>Repurchase of common stock Dividends</w:t>
      </w:r>
    </w:p>
    <w:p>
      <w:pPr>
        <w:spacing w:after="0" w:line="1"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6"/>
          <w:szCs w:val="16"/>
          <w:b w:val="1"/>
          <w:bCs w:val="1"/>
          <w:color w:val="auto"/>
        </w:rPr>
        <w:t>BALANCE AT MARCH 31, 2024</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Net income</w:t>
      </w:r>
    </w:p>
    <w:p>
      <w:pPr>
        <w:spacing w:after="0" w:line="23" w:lineRule="exact"/>
        <w:rPr>
          <w:sz w:val="20"/>
          <w:szCs w:val="20"/>
          <w:color w:val="auto"/>
        </w:rPr>
      </w:pPr>
    </w:p>
    <w:p>
      <w:pPr>
        <w:ind w:left="100" w:right="280"/>
        <w:spacing w:after="0" w:line="231" w:lineRule="auto"/>
        <w:rPr>
          <w:sz w:val="20"/>
          <w:szCs w:val="20"/>
          <w:color w:val="auto"/>
        </w:rPr>
      </w:pPr>
      <w:r>
        <w:rPr>
          <w:rFonts w:ascii="Times New Roman" w:cs="Times New Roman" w:eastAsia="Times New Roman" w:hAnsi="Times New Roman"/>
          <w:sz w:val="16"/>
          <w:szCs w:val="16"/>
          <w:color w:val="auto"/>
        </w:rPr>
        <w:t>Foreign currency translation adjustments</w:t>
      </w:r>
    </w:p>
    <w:p>
      <w:pPr>
        <w:ind w:left="100"/>
        <w:spacing w:after="0" w:line="233" w:lineRule="auto"/>
        <w:rPr>
          <w:sz w:val="20"/>
          <w:szCs w:val="20"/>
          <w:color w:val="auto"/>
        </w:rPr>
      </w:pPr>
      <w:r>
        <w:rPr>
          <w:rFonts w:ascii="Times New Roman" w:cs="Times New Roman" w:eastAsia="Times New Roman" w:hAnsi="Times New Roman"/>
          <w:sz w:val="16"/>
          <w:szCs w:val="16"/>
          <w:color w:val="auto"/>
        </w:rPr>
        <w:t>Derivative instrument</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adjustment</w:t>
      </w:r>
    </w:p>
    <w:p>
      <w:pPr>
        <w:spacing w:after="0" w:line="11" w:lineRule="exact"/>
        <w:rPr>
          <w:sz w:val="20"/>
          <w:szCs w:val="20"/>
          <w:color w:val="auto"/>
        </w:rPr>
      </w:pPr>
    </w:p>
    <w:p>
      <w:pPr>
        <w:ind w:left="100" w:right="380"/>
        <w:spacing w:after="0" w:line="235" w:lineRule="auto"/>
        <w:rPr>
          <w:sz w:val="20"/>
          <w:szCs w:val="20"/>
          <w:color w:val="auto"/>
        </w:rPr>
      </w:pPr>
      <w:r>
        <w:rPr>
          <w:rFonts w:ascii="Times New Roman" w:cs="Times New Roman" w:eastAsia="Times New Roman" w:hAnsi="Times New Roman"/>
          <w:sz w:val="16"/>
          <w:szCs w:val="16"/>
          <w:color w:val="auto"/>
        </w:rPr>
        <w:t>Share-based compensation plans</w:t>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Repurchase of common stock</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Dividends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6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Share-based compensation</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plans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6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color w:val="auto"/>
                <w:w w:val="98"/>
              </w:rPr>
              <w:t>BALANCE AT SEPTEMBER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3,955</w:t>
            </w:r>
          </w:p>
        </w:tc>
        <w:tc>
          <w:tcPr>
            <w:tcW w:w="100" w:type="dxa"/>
            <w:vAlign w:val="bottom"/>
          </w:tcPr>
          <w:p>
            <w:pPr>
              <w:spacing w:after="0"/>
              <w:rPr>
                <w:sz w:val="17"/>
                <w:szCs w:val="17"/>
                <w:color w:val="auto"/>
              </w:rPr>
            </w:pP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Pr>
          <w:p>
            <w:pPr>
              <w:spacing w:after="0"/>
              <w:rPr>
                <w:sz w:val="17"/>
                <w:szCs w:val="17"/>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2,382</w:t>
            </w:r>
          </w:p>
        </w:tc>
        <w:tc>
          <w:tcPr>
            <w:tcW w:w="100" w:type="dxa"/>
            <w:vAlign w:val="bottom"/>
          </w:tcPr>
          <w:p>
            <w:pPr>
              <w:spacing w:after="0"/>
              <w:rPr>
                <w:sz w:val="17"/>
                <w:szCs w:val="17"/>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2,382</w:t>
            </w:r>
          </w:p>
        </w:tc>
      </w:tr>
      <w:tr>
        <w:trPr>
          <w:trHeight w:val="296"/>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r>
      <w:tr>
        <w:trPr>
          <w:trHeight w:val="296"/>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367"/>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67"/>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96"/>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1"/>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70"/>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3,951</w:t>
            </w:r>
          </w:p>
        </w:tc>
        <w:tc>
          <w:tcPr>
            <w:tcW w:w="10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2,379</w:t>
            </w:r>
          </w:p>
        </w:tc>
        <w:tc>
          <w:tcPr>
            <w:tcW w:w="10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2,378</w:t>
            </w:r>
          </w:p>
        </w:tc>
      </w:tr>
      <w:tr>
        <w:trPr>
          <w:trHeight w:val="82"/>
        </w:trPr>
        <w:tc>
          <w:tcPr>
            <w:tcW w:w="3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r>
      <w:tr>
        <w:trPr>
          <w:trHeight w:val="206"/>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r>
      <w:tr>
        <w:trPr>
          <w:trHeight w:val="367"/>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67"/>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67"/>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r>
      <w:tr>
        <w:trPr>
          <w:trHeight w:val="225"/>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4"/>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5"/>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3,959</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2,372</w:t>
            </w:r>
          </w:p>
        </w:tc>
      </w:tr>
      <w:tr>
        <w:trPr>
          <w:trHeight w:val="206"/>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w:t>
            </w:r>
          </w:p>
        </w:tc>
      </w:tr>
      <w:tr>
        <w:trPr>
          <w:trHeight w:val="367"/>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67"/>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24"/>
                <w:szCs w:val="24"/>
                <w:color w:val="auto"/>
              </w:rPr>
            </w:pP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r>
      <w:tr>
        <w:trPr>
          <w:trHeight w:val="225"/>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4"/>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23"/>
        </w:trPr>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Pr>
          <w:p>
            <w:pPr>
              <w:spacing w:after="0"/>
              <w:rPr>
                <w:sz w:val="24"/>
                <w:szCs w:val="24"/>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3,969</w:t>
            </w:r>
          </w:p>
        </w:tc>
        <w:tc>
          <w:tcPr>
            <w:tcW w:w="100" w:type="dxa"/>
            <w:vAlign w:val="bottom"/>
          </w:tcPr>
          <w:p>
            <w:pPr>
              <w:spacing w:after="0"/>
              <w:rPr>
                <w:sz w:val="24"/>
                <w:szCs w:val="24"/>
                <w:color w:val="auto"/>
              </w:rPr>
            </w:pP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4"/>
                <w:szCs w:val="24"/>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24"/>
                <w:szCs w:val="24"/>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2,419</w:t>
            </w:r>
          </w:p>
        </w:tc>
        <w:tc>
          <w:tcPr>
            <w:tcW w:w="100" w:type="dxa"/>
            <w:vAlign w:val="bottom"/>
          </w:tcPr>
          <w:p>
            <w:pPr>
              <w:spacing w:after="0"/>
              <w:rPr>
                <w:sz w:val="24"/>
                <w:szCs w:val="24"/>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2,419</w:t>
            </w:r>
          </w:p>
        </w:tc>
      </w:tr>
      <w:tr>
        <w:trPr>
          <w:trHeight w:val="20"/>
        </w:trPr>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-2136140</wp:posOffset>
            </wp:positionH>
            <wp:positionV relativeFrom="paragraph">
              <wp:posOffset>-3630295</wp:posOffset>
            </wp:positionV>
            <wp:extent cx="6826250" cy="233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26250" cy="23304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-3164205</wp:posOffset>
            </wp:positionV>
            <wp:extent cx="6826250" cy="233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26250" cy="23304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-2788285</wp:posOffset>
            </wp:positionV>
            <wp:extent cx="6826250" cy="278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26250" cy="278892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-4006215</wp:posOffset>
            </wp:positionV>
            <wp:extent cx="6826250" cy="233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26250" cy="233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20" w:space="200"/>
            <w:col w:w="2180" w:space="420"/>
            <w:col w:w="7380"/>
          </w:cols>
          <w:pgMar w:left="620" w:top="1257" w:right="57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See Interim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611505</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00"/>
          </w:cols>
          <w:pgMar w:left="620" w:top="1257" w:right="5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INTERIM CONDENSED NOTES TO CONSOLIDATED FINANCIAL STATEMENTS</w:t>
      </w:r>
    </w:p>
    <w:p>
      <w:pPr>
        <w:spacing w:after="0" w:line="140" w:lineRule="exact"/>
        <w:rPr>
          <w:sz w:val="20"/>
          <w:szCs w:val="20"/>
          <w:color w:val="auto"/>
        </w:rPr>
      </w:pPr>
    </w:p>
    <w:p>
      <w:pPr>
        <w:ind w:left="360" w:hanging="350"/>
        <w:spacing w:after="0"/>
        <w:tabs>
          <w:tab w:leader="none" w:pos="36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Financial Statements, unless otherwise noted. Capitalized terms used and not specifically defined herein have the same meanings given those terms in our Annual Report on Form 10-K for the fiscal year ended December 31, 2024 (the “2024 Annual Report”). We also use certain other terms that are defined within these Financial Statements.</w:t>
      </w:r>
    </w:p>
    <w:p>
      <w:pPr>
        <w:spacing w:after="0" w:line="7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variable interest entities (“VIEs”) for which Marriott Vacations Worldwide is the primary beneficiary in accordance with consolidation accounting guidance. References in these Financial Statements to net income or loss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6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vacation ownership notes receivable reserves, income taxes, and loss contingencies. The uncertainties and volatility in the broader macroeconomic environment, including inflation, the impact of changing trade policy, continuing high interest rates, mixed economic indicators, increased consumer debt, continuing global insecurity and political uncertainty, have made it more challenging to make these estimates. Actual results could differ from our estimates, and such differences may be material.</w:t>
      </w:r>
    </w:p>
    <w:p>
      <w:pPr>
        <w:spacing w:after="0" w:line="6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general macroeconomic conditions, including inflationary pressures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2024 Annual Report.</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We refer to the business and brands that we acquired in the acquisition of ILG, LLC, formerly known as ILG, Inc. (“ILG”), in 2018 (the “ILG Acquisition”) as “Legacy-ILG.” We refer to the business we conducted prior to the ILG Acquisition and the associated brands as “Legacy-MVW.” We refer to the business and brand that we acquired in the acquisition of Welk Hospitality Group, Inc. (“Welk”) in 2021 (the “Welk Acquisition”) as “Legacy-Welk.” During 2023, we rebranded all Legacy-Welk resorts as Hyatt Vacation Club resorts. Additionally, we use the term “Marriott Vacation Ownership” to refer to our Marriott, Sheraton, and Westin branded businesses and the term “Hyatt Vacation Ownership” to refer to our Hyatt branded business.</w:t>
      </w:r>
    </w:p>
    <w:p>
      <w:pPr>
        <w:spacing w:after="0" w:line="68"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We have reclassified certain prior year amounts to conform with our current year presentation, and during the third quarter of 2025, we reclassified $1 million of certain prior year amounts related to ongoing litigation from General and administrative expense to Litigation charges in order to conform with our current year presentation.</w:t>
      </w:r>
    </w:p>
    <w:p>
      <w:pPr>
        <w:spacing w:after="0" w:line="200" w:lineRule="exact"/>
        <w:rPr>
          <w:sz w:val="20"/>
          <w:szCs w:val="20"/>
          <w:color w:val="auto"/>
        </w:rPr>
      </w:pPr>
    </w:p>
    <w:p>
      <w:pPr>
        <w:spacing w:after="0" w:line="30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0"/>
        <w:spacing w:after="0"/>
        <w:tabs>
          <w:tab w:leader="none" w:pos="36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ACCOUNTING POLICIES AND RECENT ACCOUNTING STANDARDS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Adoption of Accounting Standards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Accounting Standards Update 2023-09 –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w:t>
      </w:r>
    </w:p>
    <w:p>
      <w:pPr>
        <w:spacing w:after="0" w:line="10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In December 2023, the Financial Accounting Standards Board (“FASB”) issued accounting standards update (“ASU”) 2023-09, which is intended to enhance the transparency and decision usefulness of income tax disclosures. ASU 2023-09 primarily enhances and expands both the annual income tax rate reconciliation disclosure and the annual income taxes paid disclosure. This update is effective for fiscal years beginning after December 15, 2024 and may be adopted on a prospective or retrospective basis, with early adoption permitted. We expect to begin providing the enhanced disclosures required by this update in our Annual Report on Form 10-K for the year ending December 31, 2025.</w:t>
      </w:r>
    </w:p>
    <w:p>
      <w:pPr>
        <w:spacing w:after="0" w:line="143"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6"/>
          <w:szCs w:val="16"/>
          <w:color w:val="auto"/>
        </w:rPr>
        <w:t xml:space="preserve">Accounting Standards Update 2024-03 - </w:t>
      </w:r>
      <w:r>
        <w:rPr>
          <w:rFonts w:ascii="Times New Roman" w:cs="Times New Roman" w:eastAsia="Times New Roman" w:hAnsi="Times New Roman"/>
          <w:sz w:val="16"/>
          <w:szCs w:val="16"/>
          <w:i w:val="1"/>
          <w:iCs w:val="1"/>
          <w:color w:val="auto"/>
        </w:rPr>
        <w:t>“Income Statement - Reporting Comprehensive Income - Expense Disaggregation Disclosures (Subtopic 220-40): Disaggregation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Income Statement Expenses” </w:t>
      </w:r>
      <w:r>
        <w:rPr>
          <w:rFonts w:ascii="Times New Roman" w:cs="Times New Roman" w:eastAsia="Times New Roman" w:hAnsi="Times New Roman"/>
          <w:sz w:val="16"/>
          <w:szCs w:val="16"/>
          <w:color w:val="auto"/>
        </w:rPr>
        <w:t>(“ASU 2024-03”)</w:t>
      </w:r>
    </w:p>
    <w:p>
      <w:pPr>
        <w:spacing w:after="0" w:line="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In November 2024, the FASB issued ASU 2024-03, which requires additional information about specific expense categories in the notes to financial statements for both interim and annual reporting periods. This update is effective for annual periods beginning after December 15, 2026, and interim periods within annual periods beginning after December 15, 2027, and may be adopted on a prospective or retrospective basis, with early adoption permitted. We are evaluating the impact that the adoption of this update, including the timing of implementation, will have on our disclosures.</w:t>
      </w:r>
    </w:p>
    <w:p>
      <w:pPr>
        <w:spacing w:after="0" w:line="160"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6"/>
          <w:szCs w:val="16"/>
          <w:color w:val="auto"/>
        </w:rPr>
        <w:t xml:space="preserve">Accounting Standards Update 2024-04 - </w:t>
      </w:r>
      <w:r>
        <w:rPr>
          <w:rFonts w:ascii="Times New Roman" w:cs="Times New Roman" w:eastAsia="Times New Roman" w:hAnsi="Times New Roman"/>
          <w:sz w:val="16"/>
          <w:szCs w:val="16"/>
          <w:i w:val="1"/>
          <w:iCs w:val="1"/>
          <w:color w:val="auto"/>
        </w:rPr>
        <w:t>“Debt - Debt with Conversion and Other Options (Subtopic 470-20): Induced Conversions of Convertible Debt Instruments”</w:t>
      </w:r>
      <w:r>
        <w:rPr>
          <w:rFonts w:ascii="Times New Roman" w:cs="Times New Roman" w:eastAsia="Times New Roman" w:hAnsi="Times New Roman"/>
          <w:sz w:val="16"/>
          <w:szCs w:val="16"/>
          <w:color w:val="auto"/>
        </w:rPr>
        <w:t xml:space="preserve"> (“ASU 2024-04”)</w:t>
      </w:r>
    </w:p>
    <w:p>
      <w:pPr>
        <w:spacing w:after="0" w:line="4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auto"/>
        </w:rPr>
        <w:t>In November 2024, the FASB issued ASU 2024-04, which requires an entity to account for certain early settlements of convertible debt instruments as an induced conversion if the inducement offer includes the issuance of all consideration (in form and amount) issuable under the conversion privileges provided in the terms of the existing convertible debt instrument. This update is effective for annual periods beginning after December 15, 2025, and interim periods within those annual reporting periods, with early adoption permitted for all entities that have adopted the amendments in ASU 2020-06. We adopted ASU 2020-06 on January 1, 2022 using the modified retrospective method. We are evaluating the impact that the adoption of ASU 2024-04 will have on our financial statements and related disclosures and expect to adopt this update on January 1, 2026.</w:t>
      </w:r>
    </w:p>
    <w:p>
      <w:pPr>
        <w:spacing w:after="0" w:line="146"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6"/>
          <w:szCs w:val="16"/>
          <w:color w:val="auto"/>
        </w:rPr>
        <w:t xml:space="preserve">Accounting Standards Update 2025-05 - </w:t>
      </w:r>
      <w:r>
        <w:rPr>
          <w:rFonts w:ascii="Times New Roman" w:cs="Times New Roman" w:eastAsia="Times New Roman" w:hAnsi="Times New Roman"/>
          <w:sz w:val="16"/>
          <w:szCs w:val="16"/>
          <w:i w:val="1"/>
          <w:iCs w:val="1"/>
          <w:color w:val="auto"/>
        </w:rPr>
        <w:t>“Financial Instruments—Credit Losses (Topic 326): Measurement of Credit Losses for Accounts Receivable and Contract Assets”</w:t>
      </w:r>
      <w:r>
        <w:rPr>
          <w:rFonts w:ascii="Times New Roman" w:cs="Times New Roman" w:eastAsia="Times New Roman" w:hAnsi="Times New Roman"/>
          <w:sz w:val="16"/>
          <w:szCs w:val="16"/>
          <w:color w:val="auto"/>
        </w:rPr>
        <w:t xml:space="preserve"> (“ASU 2025-05”)</w:t>
      </w:r>
    </w:p>
    <w:p>
      <w:pPr>
        <w:spacing w:after="0" w:line="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 July 2025, the FASB issued ASU 2025-05, which introduces a practical expedient for estimating expected credit losses on current accounts receivable and contract assets. Under this expedient, entities may assume that conditions existing at the balance sheet date will persist for the remaining life of the asset, which simplifies the estimation process by eliminating the need to forecast future economic conditions for short-term assets. This update is effective for fiscal years beginning after December 15, 2025, and interim periods within those annual reporting periods, and is to be adopted on a prospective basis, with early adoption permitted. We are evaluating the impact that the adoption of ASU 2025-05 will have on our financial statements and related disclosures and expect to adopt this update on January 1, 2026,</w:t>
      </w:r>
    </w:p>
    <w:p>
      <w:pPr>
        <w:spacing w:after="0" w:line="102" w:lineRule="exact"/>
        <w:rPr>
          <w:sz w:val="20"/>
          <w:szCs w:val="20"/>
          <w:color w:val="auto"/>
        </w:rPr>
      </w:pPr>
    </w:p>
    <w:p>
      <w:pPr>
        <w:ind w:right="9640" w:firstLine="10"/>
        <w:spacing w:after="0" w:line="388" w:lineRule="auto"/>
        <w:tabs>
          <w:tab w:leader="none" w:pos="430"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ACQUISITIONS </w:t>
      </w:r>
      <w:r>
        <w:rPr>
          <w:rFonts w:ascii="Times New Roman" w:cs="Times New Roman" w:eastAsia="Times New Roman" w:hAnsi="Times New Roman"/>
          <w:sz w:val="15"/>
          <w:szCs w:val="15"/>
          <w:b w:val="1"/>
          <w:bCs w:val="1"/>
          <w:i w:val="1"/>
          <w:iCs w:val="1"/>
          <w:color w:val="auto"/>
        </w:rPr>
        <w:t>Khao Lak, Thailand</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During the second quarter of 2025, we acquired 52 completed vacation ownership units located in Khao Lak, Thailand for $50 million and included it in Property and equipment, net. We paid $43 million in cash consideration during the second quarter of 2025. Additionally, during the second quarter of 2025, we reclassified $7 million of deposits paid in 2024 in connection with the project from Other assets to Property and equipment,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Waikiki, Hawaii</w:t>
      </w:r>
    </w:p>
    <w:p>
      <w:pPr>
        <w:spacing w:after="0" w:line="10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5"/>
          <w:szCs w:val="15"/>
          <w:color w:val="auto"/>
        </w:rPr>
        <w:t>During the third quarter of 2025, we acquired 48 completed vacation ownership units located at our Marriott Vacation Club, Waikiki property for $82 million. The transaction was accounted for as an asset acquisition with $80 million of the purchase price allocated to Property and Equipment, net, representing the portion of vacation ownership units purchased that are not registered and available for sale in their current form, and the remaining $2 million was allocated to Inventory. See Footnote 15 “Variable Interest Entities” for additional information about this transaction, including our remaining commitment related to this property, and our activities relating to the VIE involved in this transaction.</w:t>
      </w:r>
    </w:p>
    <w:p>
      <w:pPr>
        <w:spacing w:after="0" w:line="200" w:lineRule="exact"/>
        <w:rPr>
          <w:sz w:val="20"/>
          <w:szCs w:val="20"/>
          <w:color w:val="auto"/>
        </w:rPr>
      </w:pPr>
    </w:p>
    <w:p>
      <w:pPr>
        <w:spacing w:after="0" w:line="30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During the third quarter of 2024, we acquired 38 completed vacation ownership units located at our Marriott Vacation Club, Waikiki property for $65 million. The transaction was accounted for as an asset acquisition with all of the purchase price allocated to Inventory, as all of the vacation ownership units were registered and available for sale in their current form.</w:t>
      </w:r>
    </w:p>
    <w:p>
      <w:pPr>
        <w:spacing w:after="0" w:line="6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Additionally, during the first quarter of 2024, we acquired retail space located at our Marriott Vacation Club, Waikiki property for $48 million. The transaction was accounted for as an asset acquisition and the acquired property is included in Property and equipment, net on our Balance Sheet as of September 30, 2025.</w:t>
      </w:r>
    </w:p>
    <w:p>
      <w:pPr>
        <w:spacing w:after="0" w:line="108"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4.</w:t>
        <w:tab/>
        <w:t>REVENUE AND RECEIVABLES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Revenue by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9"/>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6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358</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Ancillary revenues</w:t>
            </w:r>
          </w:p>
        </w:tc>
        <w:tc>
          <w:tcPr>
            <w:tcW w:w="12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Management fee revenues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Exchange and other services revenues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reimbursements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1,173</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1,210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1,263</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76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387</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Ancillary revenues</w:t>
            </w:r>
          </w:p>
        </w:tc>
        <w:tc>
          <w:tcPr>
            <w:tcW w:w="12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Management fee revenues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Exchange and other services revenues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207</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reimbursements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1,218</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1,305</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9"/>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1,083</w:t>
            </w:r>
          </w:p>
        </w:tc>
        <w:tc>
          <w:tcPr>
            <w:tcW w:w="0" w:type="dxa"/>
            <w:vAlign w:val="bottom"/>
          </w:tcPr>
          <w:p>
            <w:pPr>
              <w:spacing w:after="0"/>
              <w:rPr>
                <w:sz w:val="1"/>
                <w:szCs w:val="1"/>
                <w:color w:val="auto"/>
              </w:rPr>
            </w:pPr>
          </w:p>
        </w:tc>
      </w:tr>
      <w:tr>
        <w:trPr>
          <w:trHeight w:val="225"/>
        </w:trPr>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Ancillary revenues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Management fee revenues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25"/>
        </w:trPr>
        <w:tc>
          <w:tcPr>
            <w:tcW w:w="3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Exchange and other services revenues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25"/>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reimbursements</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1,231</w:t>
            </w:r>
          </w:p>
        </w:tc>
        <w:tc>
          <w:tcPr>
            <w:tcW w:w="0" w:type="dxa"/>
            <w:vAlign w:val="bottom"/>
          </w:tcPr>
          <w:p>
            <w:pPr>
              <w:spacing w:after="0"/>
              <w:rPr>
                <w:sz w:val="1"/>
                <w:szCs w:val="1"/>
                <w:color w:val="auto"/>
              </w:rPr>
            </w:pPr>
          </w:p>
        </w:tc>
      </w:tr>
      <w:tr>
        <w:trPr>
          <w:trHeight w:val="205"/>
        </w:trPr>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3,441</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193"/>
        </w:trPr>
        <w:tc>
          <w:tcPr>
            <w:tcW w:w="3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6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3,709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1,048</w:t>
            </w:r>
          </w:p>
        </w:tc>
        <w:tc>
          <w:tcPr>
            <w:tcW w:w="0" w:type="dxa"/>
            <w:vAlign w:val="bottom"/>
          </w:tcPr>
          <w:p>
            <w:pPr>
              <w:spacing w:after="0"/>
              <w:rPr>
                <w:sz w:val="1"/>
                <w:szCs w:val="1"/>
                <w:color w:val="auto"/>
              </w:rPr>
            </w:pPr>
          </w:p>
        </w:tc>
      </w:tr>
      <w:tr>
        <w:trPr>
          <w:trHeight w:val="225"/>
        </w:trPr>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Ancillary revenues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Management fee revenues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25"/>
        </w:trPr>
        <w:tc>
          <w:tcPr>
            <w:tcW w:w="3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Exchange and other services revenues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25"/>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reimbursements</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1,242</w:t>
            </w:r>
          </w:p>
        </w:tc>
        <w:tc>
          <w:tcPr>
            <w:tcW w:w="0" w:type="dxa"/>
            <w:vAlign w:val="bottom"/>
          </w:tcPr>
          <w:p>
            <w:pPr>
              <w:spacing w:after="0"/>
              <w:rPr>
                <w:sz w:val="1"/>
                <w:szCs w:val="1"/>
                <w:color w:val="auto"/>
              </w:rPr>
            </w:pPr>
          </w:p>
        </w:tc>
      </w:tr>
      <w:tr>
        <w:trPr>
          <w:trHeight w:val="205"/>
        </w:trPr>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3,385</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193"/>
        </w:trPr>
        <w:tc>
          <w:tcPr>
            <w:tcW w:w="3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6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3,640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Timing of Revenue from Contracts with Customers by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detail the timing of revenue from contracts with customers by segment for the time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9"/>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8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Management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711</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Goods or services transferred at a point in time</w:t>
            </w:r>
          </w:p>
        </w:tc>
        <w:tc>
          <w:tcPr>
            <w:tcW w:w="120" w:type="dxa"/>
            <w:vAlign w:val="bottom"/>
          </w:tcPr>
          <w:p>
            <w:pPr>
              <w:spacing w:after="0"/>
              <w:rPr>
                <w:sz w:val="19"/>
                <w:szCs w:val="19"/>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1,173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78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2"/>
            <w:vMerge w:val="restart"/>
          </w:tcPr>
          <w:p>
            <w:pPr>
              <w:jc w:val="right"/>
              <w:ind w:right="2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Management</w:t>
            </w:r>
          </w:p>
        </w:tc>
        <w:tc>
          <w:tcPr>
            <w:tcW w:w="20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2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727</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Goods or services transferred at a point in time</w:t>
            </w:r>
          </w:p>
        </w:tc>
        <w:tc>
          <w:tcPr>
            <w:tcW w:w="120" w:type="dxa"/>
            <w:vAlign w:val="bottom"/>
          </w:tcPr>
          <w:p>
            <w:pPr>
              <w:spacing w:after="0"/>
              <w:rPr>
                <w:sz w:val="19"/>
                <w:szCs w:val="19"/>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491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1,218</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9"/>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Management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Goods or services transferred at a point in time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3,441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Management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2,010</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Goods or services transferred at a point in time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1,375</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3,385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 of Vacation Ownership Products</w:t>
      </w:r>
    </w:p>
    <w:p>
      <w:pPr>
        <w:spacing w:after="0" w:line="104" w:lineRule="exact"/>
        <w:rPr>
          <w:sz w:val="20"/>
          <w:szCs w:val="20"/>
          <w:color w:val="auto"/>
        </w:rPr>
      </w:pPr>
    </w:p>
    <w:p>
      <w:pPr>
        <w:ind w:right="780"/>
        <w:spacing w:after="0" w:line="276" w:lineRule="auto"/>
        <w:rPr>
          <w:sz w:val="20"/>
          <w:szCs w:val="20"/>
          <w:color w:val="auto"/>
        </w:rPr>
      </w:pPr>
      <w:r>
        <w:rPr>
          <w:rFonts w:ascii="Times New Roman" w:cs="Times New Roman" w:eastAsia="Times New Roman" w:hAnsi="Times New Roman"/>
          <w:sz w:val="16"/>
          <w:szCs w:val="16"/>
          <w:color w:val="auto"/>
        </w:rPr>
        <w:t>Revenues were reduced during the third quarter and first three quarters of 2025 by $2 million and $8 million, respectively, due to changes in our estimates of variable consideration for performance obligations that were satisfied in prior periods.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Receivables from Contracts with Customers, Contract Assets, &amp; Contract Liabilities</w:t>
      </w:r>
    </w:p>
    <w:p>
      <w:pPr>
        <w:spacing w:after="0" w:line="104"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The following table shows the composition of our receivables from contracts with customers and contract liabilities. We had no contract assets at either September 30, 2025 or December 31, 2024.</w:t>
      </w:r>
    </w:p>
    <w:p>
      <w:pPr>
        <w:spacing w:after="0" w:line="88"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100" w:type="dxa"/>
            <w:vAlign w:val="bottom"/>
          </w:tcPr>
          <w:p>
            <w:pPr>
              <w:spacing w:after="0"/>
              <w:rPr>
                <w:sz w:val="16"/>
                <w:szCs w:val="16"/>
                <w:color w:val="auto"/>
              </w:rPr>
            </w:pP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Receivables from Contracts with Customers</w:t>
            </w: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5"/>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and contracts receivable,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r>
      <w:tr>
        <w:trPr>
          <w:trHeight w:val="225"/>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Vacation ownership notes receivable, net</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2,522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2,440</w:t>
            </w:r>
          </w:p>
        </w:tc>
      </w:tr>
      <w:tr>
        <w:trPr>
          <w:trHeight w:val="193"/>
        </w:trPr>
        <w:tc>
          <w:tcPr>
            <w:tcW w:w="43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2,742</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2,690</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25"/>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w:t>
            </w:r>
          </w:p>
        </w:tc>
      </w:tr>
      <w:tr>
        <w:trPr>
          <w:trHeight w:val="225"/>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354</w:t>
            </w:r>
          </w:p>
        </w:tc>
      </w:tr>
      <w:tr>
        <w:trPr>
          <w:trHeight w:val="193"/>
        </w:trPr>
        <w:tc>
          <w:tcPr>
            <w:tcW w:w="43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516</w:t>
            </w: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Revenue recognized during the third quarter and first three quarters of 2025 that was included in our contract liabilities balance at December 31, 2024 was $70 million and $271 million, respectively.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Remaining Performance Obligations</w:t>
      </w:r>
    </w:p>
    <w:p>
      <w:pPr>
        <w:spacing w:after="0" w:line="10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Our recorded contract liabilities represent the aggregate amount of the transaction price allocated to the performance obligations that are unsatisfied (or partially unsatisfied) as of September 30, 2025. At September 30, 2025, approximately 85% of the recorded contract liabilities are expected to be recognized as revenue over the next two years.</w:t>
      </w:r>
    </w:p>
    <w:p>
      <w:pPr>
        <w:spacing w:after="0" w:line="200" w:lineRule="exact"/>
        <w:rPr>
          <w:sz w:val="20"/>
          <w:szCs w:val="20"/>
          <w:color w:val="auto"/>
        </w:rPr>
      </w:pPr>
    </w:p>
    <w:p>
      <w:pPr>
        <w:spacing w:after="0" w:line="3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and Contracts Receivable</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Accounts and contracts receivable is composed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10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2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100" w:type="dxa"/>
            <w:vAlign w:val="bottom"/>
          </w:tcPr>
          <w:p>
            <w:pPr>
              <w:spacing w:after="0"/>
              <w:rPr>
                <w:sz w:val="16"/>
                <w:szCs w:val="16"/>
                <w:color w:val="auto"/>
              </w:rPr>
            </w:pP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from contracts with customers,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r>
      <w:tr>
        <w:trPr>
          <w:trHeight w:val="225"/>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10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r>
      <w:tr>
        <w:trPr>
          <w:trHeight w:val="22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receivable</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r>
      <w:tr>
        <w:trPr>
          <w:trHeight w:val="225"/>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Indemnification assets</w:t>
            </w:r>
          </w:p>
        </w:tc>
        <w:tc>
          <w:tcPr>
            <w:tcW w:w="10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r>
      <w:tr>
        <w:trPr>
          <w:trHeight w:val="22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tax credit receivable</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r>
      <w:tr>
        <w:trPr>
          <w:trHeight w:val="225"/>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r>
      <w:tr>
        <w:trPr>
          <w:trHeight w:val="218"/>
        </w:trPr>
        <w:tc>
          <w:tcPr>
            <w:tcW w:w="4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left="360" w:hanging="350"/>
        <w:spacing w:after="0"/>
        <w:tabs>
          <w:tab w:leader="none" w:pos="36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13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5"/>
          <w:szCs w:val="15"/>
          <w:color w:val="auto"/>
        </w:rPr>
        <w:t>Our provision for income taxes is calculated using an estimated annual effective tax rate (“AETR”), which is based upon projected annual income or loss, including anticipated losses in certain jurisdictions, non-deductible expenses under applicable federal and local tax laws, statutory rates, and planned tax strategies across the jurisdictions in which we operate. Certain items that do not relate directly to ordinary income are excluded from the AETR and are recognized in the period in which they occur.</w:t>
      </w:r>
    </w:p>
    <w:p>
      <w:pPr>
        <w:spacing w:after="0" w:line="44"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6"/>
          <w:szCs w:val="16"/>
          <w:color w:val="auto"/>
        </w:rPr>
        <w:t>The effective tax rate for the three months ended September 30, 2025 differed from the blended U.S. federal and state statutory tax rate primarily due to discrete income tax adjustments in non-U.S. jurisdictions. These adjustments included a $25 million increase related to changes in valuation allowances, partially offset by tax benefits from $13 million of permanent differences arising from restructuring activities and $6 million for other deferred tax adjustments.</w:t>
      </w:r>
    </w:p>
    <w:p>
      <w:pPr>
        <w:spacing w:after="0" w:line="6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The effective tax rate for the three months ended September 30, 2024 differed from the blended U.S. federal and state statutory tax rate primarily due to discrete income tax adjustments. These adjustments included an $11 million decrease related to changes in valuation allowances on certain deferred tax assets in non-U.S. jurisdictions and a $6 million decrease as a result of the expiration of statutes of limitation on certain unrecognized tax benefits, partially offset by an $8 million increase related to the removal of the permanent reinvestment assertion for certain non-U.S. entities and a $3 million increase for deferred non-U.S. withholding taxes.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effective tax rate was 37.0% and 32.1% for the nine months ended September 30, 2025 and September 30, 2024, respectively.</w:t>
      </w:r>
    </w:p>
    <w:p>
      <w:pPr>
        <w:spacing w:after="0" w:line="10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6"/>
          <w:szCs w:val="16"/>
          <w:color w:val="auto"/>
        </w:rPr>
        <w:t>The effective tax rate for the nine months ended September 30, 2025 differed from the blended U.S. federal and state statutory tax rate primarily due to discrete income tax adjustments in non-U.S. jurisdictions. These adjustments included a $25 million increase related to changes in valuation allowances, partially offset by tax benefits from $13 million of permanent differences arising from restructuring activities and $6 million related to prior year true-up adjustments.</w:t>
      </w:r>
    </w:p>
    <w:p>
      <w:pPr>
        <w:spacing w:after="0" w:line="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The effective tax rate for the nine months ended September 30, 2024 differed from the blended U.S. federal and state statutory tax rate primarily due to discrete income tax adjustments. These adjustments included a $27 million decrease as a result of the expiration of statutes of limitation on uncertain unrecognized tax benefits and an $8 million net decrease related to changes in valuation allowances in non-U.S. jurisdictions. These decreases were partially offset by a $28 million increase related to the removal of the permanent reinvestment assertion for certain non-U.S. entities and a $3 million increase for deferred non-U.S. withholding taxes.</w:t>
      </w:r>
    </w:p>
    <w:p>
      <w:pPr>
        <w:spacing w:after="0" w:line="67"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Our income tax returns remain subject to examination by the relevant tax authorities. Certain returns are currently under audit in various jurisdictions for tax years 2007 through 2022. The amount of the unrecognized tax benefits may change within the next twelve months as a result of audits or resolution of audit-related matters.</w:t>
      </w:r>
    </w:p>
    <w:p>
      <w:pPr>
        <w:spacing w:after="0" w:line="5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6"/>
          <w:szCs w:val="16"/>
          <w:color w:val="auto"/>
        </w:rPr>
        <w:t>During the third quarter of 2025, the One Big Beautiful Bill Act (“OBBBA”) was signed into law, making several provisions of the Tax Cuts and Jobs Act permanent. Under Accounting Standards Codification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the effects of changes in tax laws must be recognized in the period of enactment. We have evaluated the impact of OBBBA and do not anticipate that it will have a material impact on our financial statements.</w:t>
      </w:r>
    </w:p>
    <w:p>
      <w:pPr>
        <w:spacing w:after="0" w:line="200" w:lineRule="exact"/>
        <w:rPr>
          <w:sz w:val="20"/>
          <w:szCs w:val="20"/>
          <w:color w:val="auto"/>
        </w:rPr>
      </w:pPr>
    </w:p>
    <w:p>
      <w:pPr>
        <w:spacing w:after="0" w:line="31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0" w:hanging="350"/>
        <w:spacing w:after="0"/>
        <w:tabs>
          <w:tab w:leader="none" w:pos="36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VACATION OWNERSHIP NOTES RECEIVABLE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composition of our vacation ownership notes receivable balances, net of reserves.</w:t>
      </w:r>
    </w:p>
    <w:p>
      <w:pPr>
        <w:spacing w:after="0" w:line="138"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3"/>
        </w:trPr>
        <w:tc>
          <w:tcPr>
            <w:tcW w:w="1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1,917</w:t>
            </w:r>
          </w:p>
        </w:tc>
      </w:tr>
      <w:tr>
        <w:trPr>
          <w:trHeight w:val="178"/>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25"/>
        </w:trPr>
        <w:tc>
          <w:tcPr>
            <w:tcW w:w="1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Eligible for securitization</w:t>
            </w:r>
            <w:r>
              <w:rPr>
                <w:rFonts w:ascii="Times New Roman" w:cs="Times New Roman" w:eastAsia="Times New Roman" w:hAnsi="Times New Roman"/>
                <w:sz w:val="9"/>
                <w:szCs w:val="9"/>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w:t>
            </w:r>
          </w:p>
        </w:tc>
      </w:tr>
      <w:tr>
        <w:trPr>
          <w:trHeight w:val="154"/>
        </w:trPr>
        <w:tc>
          <w:tcPr>
            <w:tcW w:w="188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Not eligible for</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3"/>
        </w:trPr>
        <w:tc>
          <w:tcPr>
            <w:tcW w:w="1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securitization</w:t>
            </w:r>
            <w:r>
              <w:rPr>
                <w:rFonts w:ascii="Times New Roman" w:cs="Times New Roman" w:eastAsia="Times New Roman" w:hAnsi="Times New Roman"/>
                <w:sz w:val="9"/>
                <w:szCs w:val="9"/>
                <w:color w:val="auto"/>
              </w:rPr>
              <w:t>(1)</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429</w:t>
            </w:r>
          </w:p>
        </w:tc>
      </w:tr>
      <w:tr>
        <w:trPr>
          <w:trHeight w:val="205"/>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Non-securitized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523</w:t>
            </w:r>
          </w:p>
        </w:tc>
      </w:tr>
      <w:tr>
        <w:trPr>
          <w:trHeight w:val="178"/>
        </w:trPr>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18"/>
        </w:trPr>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2,448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2,440</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080" w:right="1820" w:hanging="276"/>
        <w:spacing w:after="0" w:line="223" w:lineRule="auto"/>
        <w:tabs>
          <w:tab w:leader="none" w:pos="2069"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Footnote 7 “Financial Instruments” for discussion of eligibility of our vacation ownership notes receivable for securitization.</w:t>
      </w:r>
    </w:p>
    <w:p>
      <w:pPr>
        <w:spacing w:after="0" w:line="220"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6"/>
          <w:szCs w:val="16"/>
          <w:color w:val="auto"/>
        </w:rPr>
        <w:t>We reflect interest income associated with vacation ownership notes receivable on our Income Statements in the Financing revenues caption. The following table summarizes interest income associated with vacation ownership notes receivable.</w:t>
      </w:r>
    </w:p>
    <w:p>
      <w:pPr>
        <w:sectPr>
          <w:pgSz w:w="11900" w:h="16838" w:orient="portrait"/>
          <w:cols w:equalWidth="0" w:num="1">
            <w:col w:w="11180"/>
          </w:cols>
          <w:pgMar w:left="320" w:top="218" w:right="399" w:bottom="1440" w:gutter="0" w:footer="0" w:header="0"/>
        </w:sectPr>
      </w:pPr>
    </w:p>
    <w:p>
      <w:pPr>
        <w:spacing w:after="0" w:line="34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p>
      <w:pPr>
        <w:spacing w:after="0" w:line="33" w:lineRule="exact"/>
        <w:rPr>
          <w:sz w:val="20"/>
          <w:szCs w:val="20"/>
          <w:color w:val="auto"/>
        </w:rPr>
      </w:pPr>
    </w:p>
    <w:p>
      <w:pPr>
        <w:ind w:left="1820"/>
        <w:spacing w:after="0" w:line="235" w:lineRule="auto"/>
        <w:rPr>
          <w:sz w:val="20"/>
          <w:szCs w:val="20"/>
          <w:color w:val="auto"/>
        </w:rPr>
      </w:pPr>
      <w:r>
        <w:rPr>
          <w:rFonts w:ascii="Times New Roman" w:cs="Times New Roman" w:eastAsia="Times New Roman" w:hAnsi="Times New Roman"/>
          <w:sz w:val="16"/>
          <w:szCs w:val="16"/>
          <w:color w:val="auto"/>
        </w:rPr>
        <w:t>Interest income - securitized vacation ownership notes receivable</w:t>
      </w:r>
    </w:p>
    <w:p>
      <w:pPr>
        <w:spacing w:after="0" w:line="7" w:lineRule="exact"/>
        <w:rPr>
          <w:sz w:val="20"/>
          <w:szCs w:val="20"/>
          <w:color w:val="auto"/>
        </w:rPr>
      </w:pPr>
    </w:p>
    <w:p>
      <w:pPr>
        <w:ind w:left="1820" w:right="420"/>
        <w:spacing w:after="0" w:line="235" w:lineRule="auto"/>
        <w:rPr>
          <w:sz w:val="20"/>
          <w:szCs w:val="20"/>
          <w:color w:val="auto"/>
        </w:rPr>
      </w:pPr>
      <w:r>
        <w:rPr>
          <w:rFonts w:ascii="Times New Roman" w:cs="Times New Roman" w:eastAsia="Times New Roman" w:hAnsi="Times New Roman"/>
          <w:sz w:val="16"/>
          <w:szCs w:val="16"/>
          <w:color w:val="auto"/>
        </w:rPr>
        <w:t>Interest income - non-securitized vacation ownership notes receivable</w:t>
      </w:r>
    </w:p>
    <w:p>
      <w:pPr>
        <w:spacing w:after="0" w:line="7" w:lineRule="exact"/>
        <w:rPr>
          <w:sz w:val="20"/>
          <w:szCs w:val="20"/>
          <w:color w:val="auto"/>
        </w:rPr>
      </w:pPr>
    </w:p>
    <w:p>
      <w:pPr>
        <w:ind w:left="1820" w:right="160"/>
        <w:spacing w:after="0" w:line="235" w:lineRule="auto"/>
        <w:rPr>
          <w:sz w:val="20"/>
          <w:szCs w:val="20"/>
          <w:color w:val="auto"/>
        </w:rPr>
      </w:pPr>
      <w:r>
        <w:rPr>
          <w:rFonts w:ascii="Times New Roman" w:cs="Times New Roman" w:eastAsia="Times New Roman" w:hAnsi="Times New Roman"/>
          <w:sz w:val="16"/>
          <w:szCs w:val="16"/>
          <w:color w:val="auto"/>
        </w:rPr>
        <w:t>Total interest income associated with vacation ownership notes receivable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 Reserve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Borders>
              <w:bottom w:val="single" w:sz="8" w:color="auto"/>
            </w:tcBorders>
          </w:tcPr>
          <w:p>
            <w:pPr>
              <w:spacing w:after="0"/>
              <w:rPr>
                <w:sz w:val="16"/>
                <w:szCs w:val="16"/>
                <w:color w:val="auto"/>
              </w:rPr>
            </w:pPr>
          </w:p>
        </w:tc>
      </w:tr>
      <w:tr>
        <w:trPr>
          <w:trHeight w:val="137"/>
        </w:trPr>
        <w:tc>
          <w:tcPr>
            <w:tcW w:w="1120" w:type="dxa"/>
            <w:vAlign w:val="bottom"/>
            <w:gridSpan w:val="3"/>
          </w:tcPr>
          <w:p>
            <w:pPr>
              <w:jc w:val="right"/>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1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right"/>
              <w:ind w:right="1"/>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8"/>
        </w:trPr>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r>
      <w:tr>
        <w:trPr>
          <w:trHeight w:val="349"/>
        </w:trPr>
        <w:tc>
          <w:tcPr>
            <w:tcW w:w="2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4"/>
                <w:szCs w:val="24"/>
                <w:color w:val="auto"/>
              </w:rPr>
            </w:pPr>
          </w:p>
        </w:tc>
        <w:tc>
          <w:tcPr>
            <w:tcW w:w="700" w:type="dxa"/>
            <w:vAlign w:val="bottom"/>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4"/>
                <w:szCs w:val="24"/>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24"/>
                <w:szCs w:val="24"/>
                <w:color w:val="auto"/>
              </w:rPr>
            </w:pPr>
          </w:p>
        </w:tc>
        <w:tc>
          <w:tcPr>
            <w:tcW w:w="680" w:type="dxa"/>
            <w:vAlign w:val="bottom"/>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215</w:t>
            </w:r>
          </w:p>
        </w:tc>
      </w:tr>
      <w:tr>
        <w:trPr>
          <w:trHeight w:val="366"/>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r>
      <w:tr>
        <w:trPr>
          <w:trHeight w:val="323"/>
        </w:trPr>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24"/>
                <w:szCs w:val="24"/>
                <w:color w:val="auto"/>
              </w:rPr>
            </w:pPr>
          </w:p>
        </w:tc>
        <w:tc>
          <w:tcPr>
            <w:tcW w:w="7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24"/>
                <w:szCs w:val="24"/>
                <w:color w:val="auto"/>
              </w:rPr>
            </w:pPr>
          </w:p>
        </w:tc>
        <w:tc>
          <w:tcPr>
            <w:tcW w:w="68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246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-713740</wp:posOffset>
            </wp:positionV>
            <wp:extent cx="4864100" cy="233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64100" cy="233045"/>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-247650</wp:posOffset>
            </wp:positionV>
            <wp:extent cx="4864100" cy="233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64100" cy="233045"/>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4880" w:space="200"/>
            <w:col w:w="6100"/>
          </w:cols>
          <w:pgMar w:left="320" w:top="218" w:right="399" w:bottom="1440" w:gutter="0" w:footer="0" w:header="0"/>
          <w:type w:val="continuous"/>
        </w:sectPr>
      </w:pPr>
    </w:p>
    <w:p>
      <w:pPr>
        <w:ind w:right="560"/>
        <w:spacing w:after="0" w:line="276" w:lineRule="auto"/>
        <w:rPr>
          <w:sz w:val="20"/>
          <w:szCs w:val="20"/>
          <w:color w:val="auto"/>
        </w:rPr>
      </w:pPr>
      <w:r>
        <w:rPr>
          <w:rFonts w:ascii="Times New Roman" w:cs="Times New Roman" w:eastAsia="Times New Roman" w:hAnsi="Times New Roman"/>
          <w:sz w:val="16"/>
          <w:szCs w:val="16"/>
          <w:color w:val="auto"/>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spacing w:after="0" w:line="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In the second quarter of 2024, we increased our sales reserve by $70 million to reflect the then-current macroeconomic conditions, including the cumulative impact of inflation on consumers and the related impact on year-over-year increases in maintenance fees for 2023 and 2024, which we believed were driving continued elevated delinquencies and default rates, higher consumer debt levels, continued high interest rates, uncertainty around timing and frequency of interest rate adjustments, and continued mixed economic indicators. Beginning in the third quarter of 2024, we also increased our sales reserve rate to reflect higher expected cumulative losses on new originations, consistent with more recent trends. While our delinquency rates at September 30, 2025 have declined from those experienced in 2024, we do not expect to lower the sales reserve for new originations until we have sufficient, sustained evidence of continued improvement in delinquency and default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Quality Indicators - Vacation Ownership Notes Receivable</w:t>
      </w:r>
    </w:p>
    <w:p>
      <w:pPr>
        <w:spacing w:after="0" w:line="10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6"/>
          <w:szCs w:val="16"/>
          <w:color w:val="auto"/>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vacation ownership interest (“VOI”) they have acquired.</w:t>
      </w:r>
    </w:p>
    <w:p>
      <w:pPr>
        <w:spacing w:after="0" w:line="63" w:lineRule="exact"/>
        <w:rPr>
          <w:sz w:val="20"/>
          <w:szCs w:val="20"/>
          <w:color w:val="auto"/>
        </w:rPr>
      </w:pPr>
    </w:p>
    <w:p>
      <w:pPr>
        <w:ind w:right="660"/>
        <w:spacing w:after="0" w:line="276" w:lineRule="auto"/>
        <w:rPr>
          <w:sz w:val="20"/>
          <w:szCs w:val="20"/>
          <w:color w:val="auto"/>
        </w:rPr>
      </w:pPr>
      <w:r>
        <w:rPr>
          <w:rFonts w:ascii="Times New Roman" w:cs="Times New Roman" w:eastAsia="Times New Roman" w:hAnsi="Times New Roman"/>
          <w:sz w:val="16"/>
          <w:szCs w:val="16"/>
          <w:color w:val="auto"/>
        </w:rPr>
        <w:t>The weighted average FICO score within our consolidated vacation ownership notes receivable pool was 727 and 725, at September 30, 2025 and December 31, 2024, respectively, based upon the FICO score of the borrower at the time of origination.</w:t>
      </w:r>
    </w:p>
    <w:p>
      <w:pPr>
        <w:spacing w:after="0" w:line="200" w:lineRule="exact"/>
        <w:rPr>
          <w:sz w:val="20"/>
          <w:szCs w:val="20"/>
          <w:color w:val="auto"/>
        </w:rPr>
      </w:pPr>
    </w:p>
    <w:p>
      <w:pPr>
        <w:spacing w:after="0" w:line="3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Originated Vacation Ownership Notes Receivable</w:t>
      </w:r>
    </w:p>
    <w:p>
      <w:pPr>
        <w:spacing w:after="0" w:line="104"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6"/>
          <w:szCs w:val="16"/>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September 30, 2025.</w:t>
      </w:r>
    </w:p>
    <w:p>
      <w:pPr>
        <w:spacing w:after="0" w:line="6"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7"/>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40" w:type="dxa"/>
            <w:vAlign w:val="bottom"/>
          </w:tcPr>
          <w:p>
            <w:pPr>
              <w:spacing w:after="0"/>
              <w:rPr>
                <w:sz w:val="15"/>
                <w:szCs w:val="15"/>
                <w:color w:val="auto"/>
              </w:rPr>
            </w:pPr>
          </w:p>
        </w:tc>
        <w:tc>
          <w:tcPr>
            <w:tcW w:w="12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 remaining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9"/>
                <w:szCs w:val="19"/>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9"/>
                <w:szCs w:val="19"/>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1,476</w:t>
            </w:r>
          </w:p>
        </w:tc>
        <w:tc>
          <w:tcPr>
            <w:tcW w:w="0" w:type="dxa"/>
            <w:vAlign w:val="bottom"/>
          </w:tcPr>
          <w:p>
            <w:pPr>
              <w:spacing w:after="0"/>
              <w:rPr>
                <w:sz w:val="1"/>
                <w:szCs w:val="1"/>
                <w:color w:val="auto"/>
              </w:rPr>
            </w:pPr>
          </w:p>
        </w:tc>
      </w:tr>
      <w:tr>
        <w:trPr>
          <w:trHeight w:val="218"/>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1,832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2,448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63"/>
              <w:spacing w:after="0" w:line="168" w:lineRule="exact"/>
              <w:rPr>
                <w:sz w:val="20"/>
                <w:szCs w:val="20"/>
                <w:color w:val="auto"/>
              </w:rPr>
            </w:pPr>
            <w:r>
              <w:rPr>
                <w:rFonts w:ascii="Times New Roman" w:cs="Times New Roman" w:eastAsia="Times New Roman" w:hAnsi="Times New Roman"/>
                <w:sz w:val="16"/>
                <w:szCs w:val="16"/>
                <w:color w:val="auto"/>
                <w:w w:val="96"/>
              </w:rPr>
              <w:t>11.9%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2"/>
              <w:spacing w:after="0" w:line="168" w:lineRule="exact"/>
              <w:rPr>
                <w:sz w:val="20"/>
                <w:szCs w:val="20"/>
                <w:color w:val="auto"/>
              </w:rPr>
            </w:pPr>
            <w:r>
              <w:rPr>
                <w:rFonts w:ascii="Times New Roman" w:cs="Times New Roman" w:eastAsia="Times New Roman" w:hAnsi="Times New Roman"/>
                <w:sz w:val="16"/>
                <w:szCs w:val="16"/>
                <w:color w:val="auto"/>
                <w:w w:val="96"/>
              </w:rPr>
              <w:t>13.3%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82"/>
              <w:spacing w:after="0" w:line="168" w:lineRule="exact"/>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Range of stated interest rates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8"/>
              </w:rPr>
              <w:t>0.0% to 20.9%</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w w:val="98"/>
              </w:rPr>
              <w:t>0.0% to 20.9%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w w:val="98"/>
              </w:rPr>
              <w:t>0.0% to 20.9%</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6"/>
          <w:szCs w:val="16"/>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 during the first three quarters of 2025.</w:t>
      </w:r>
    </w:p>
    <w:p>
      <w:pPr>
        <w:spacing w:after="0" w:line="100"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7"/>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 Reserve</w:t>
            </w:r>
          </w:p>
        </w:tc>
      </w:tr>
      <w:tr>
        <w:trPr>
          <w:trHeight w:val="183"/>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527</w:t>
            </w:r>
          </w:p>
        </w:tc>
      </w:tr>
      <w:tr>
        <w:trPr>
          <w:trHeight w:val="154"/>
        </w:trPr>
        <w:tc>
          <w:tcPr>
            <w:tcW w:w="348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Increase in vacation ownership notes receivable</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3"/>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w:t>
            </w:r>
          </w:p>
        </w:tc>
        <w:tc>
          <w:tcPr>
            <w:tcW w:w="1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w:t>
            </w: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Securitizations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Clean-up call</w:t>
            </w:r>
          </w:p>
        </w:tc>
        <w:tc>
          <w:tcPr>
            <w:tcW w:w="12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Write-offs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154"/>
        </w:trPr>
        <w:tc>
          <w:tcPr>
            <w:tcW w:w="348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Defaulted vacation ownership notes receivable</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3"/>
        </w:trPr>
        <w:tc>
          <w:tcPr>
            <w:tcW w:w="3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repurchase activity</w:t>
            </w:r>
            <w:r>
              <w:rPr>
                <w:rFonts w:ascii="Times New Roman" w:cs="Times New Roman" w:eastAsia="Times New Roman" w:hAnsi="Times New Roman"/>
                <w:sz w:val="9"/>
                <w:szCs w:val="9"/>
                <w:color w:val="auto"/>
              </w:rPr>
              <w:t>(1)</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2120" w:right="2400" w:hanging="286"/>
        <w:spacing w:after="0" w:line="230" w:lineRule="auto"/>
        <w:tabs>
          <w:tab w:leader="none" w:pos="2109"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show originated vacation ownership notes receivable, before reserves, by brand and borrower FICO score at origination.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0" w:type="dxa"/>
            <w:vAlign w:val="bottom"/>
            <w:gridSpan w:val="21"/>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 as of September 30, 2025</w:t>
            </w:r>
          </w:p>
        </w:tc>
      </w:tr>
      <w:tr>
        <w:trPr>
          <w:trHeight w:val="183"/>
        </w:trPr>
        <w:tc>
          <w:tcPr>
            <w:tcW w:w="180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700 +</w:t>
            </w: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600 - 699</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8"/>
              </w:rPr>
              <w:t>&lt; 600</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 Score</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Pr>
          <w:p>
            <w:pPr>
              <w:spacing w:after="0"/>
              <w:rPr>
                <w:sz w:val="15"/>
                <w:szCs w:val="15"/>
                <w:color w:val="auto"/>
              </w:rPr>
            </w:pPr>
          </w:p>
        </w:tc>
      </w:tr>
      <w:tr>
        <w:trPr>
          <w:trHeight w:val="206"/>
        </w:trPr>
        <w:tc>
          <w:tcPr>
            <w:tcW w:w="180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Marriott Vacation Ownership</w:t>
            </w:r>
          </w:p>
        </w:tc>
        <w:tc>
          <w:tcPr>
            <w:tcW w:w="240" w:type="dxa"/>
            <w:vAlign w:val="bottom"/>
            <w:tcBorders>
              <w:top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1,588</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636</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2,683</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Hyatt Vacation Ownership</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208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289</w:t>
            </w:r>
          </w:p>
        </w:tc>
        <w:tc>
          <w:tcPr>
            <w:tcW w:w="1800" w:type="dxa"/>
            <w:vAlign w:val="bottom"/>
          </w:tcPr>
          <w:p>
            <w:pPr>
              <w:spacing w:after="0"/>
              <w:rPr>
                <w:sz w:val="19"/>
                <w:szCs w:val="19"/>
                <w:color w:val="auto"/>
              </w:rPr>
            </w:pPr>
          </w:p>
        </w:tc>
      </w:tr>
      <w:tr>
        <w:trPr>
          <w:trHeight w:val="218"/>
        </w:trPr>
        <w:tc>
          <w:tcPr>
            <w:tcW w:w="180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1,796</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711</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2,972</w:t>
            </w:r>
          </w:p>
        </w:tc>
        <w:tc>
          <w:tcPr>
            <w:tcW w:w="18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44"/>
        </w:trPr>
        <w:tc>
          <w:tcPr>
            <w:tcW w:w="1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0" w:type="dxa"/>
            <w:vAlign w:val="bottom"/>
            <w:gridSpan w:val="21"/>
          </w:tcPr>
          <w:p>
            <w:pPr>
              <w:ind w:left="260"/>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 as of December 31, 2024</w:t>
            </w:r>
          </w:p>
        </w:tc>
      </w:tr>
      <w:tr>
        <w:trPr>
          <w:trHeight w:val="183"/>
        </w:trPr>
        <w:tc>
          <w:tcPr>
            <w:tcW w:w="1800" w:type="dxa"/>
            <w:vAlign w:val="bottom"/>
          </w:tcPr>
          <w:p>
            <w:pPr>
              <w:spacing w:after="0"/>
              <w:rPr>
                <w:sz w:val="15"/>
                <w:szCs w:val="15"/>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700 +</w:t>
            </w: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600 - 699</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&lt; 600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 Score</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Pr>
          <w:p>
            <w:pPr>
              <w:spacing w:after="0"/>
              <w:rPr>
                <w:sz w:val="15"/>
                <w:szCs w:val="15"/>
                <w:color w:val="auto"/>
              </w:rPr>
            </w:pPr>
          </w:p>
        </w:tc>
      </w:tr>
      <w:tr>
        <w:trPr>
          <w:trHeight w:val="206"/>
        </w:trPr>
        <w:tc>
          <w:tcPr>
            <w:tcW w:w="180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Marriott Vacation Ownership</w:t>
            </w:r>
          </w:p>
        </w:tc>
        <w:tc>
          <w:tcPr>
            <w:tcW w:w="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2,570</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Hyatt Vacation Ownership</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290</w:t>
            </w:r>
          </w:p>
        </w:tc>
        <w:tc>
          <w:tcPr>
            <w:tcW w:w="1800" w:type="dxa"/>
            <w:vAlign w:val="bottom"/>
          </w:tcPr>
          <w:p>
            <w:pPr>
              <w:spacing w:after="0"/>
              <w:rPr>
                <w:sz w:val="19"/>
                <w:szCs w:val="19"/>
                <w:color w:val="auto"/>
              </w:rPr>
            </w:pPr>
          </w:p>
        </w:tc>
      </w:tr>
      <w:tr>
        <w:trPr>
          <w:trHeight w:val="218"/>
        </w:trPr>
        <w:tc>
          <w:tcPr>
            <w:tcW w:w="180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2,860</w:t>
            </w:r>
          </w:p>
        </w:tc>
        <w:tc>
          <w:tcPr>
            <w:tcW w:w="18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6"/>
          <w:szCs w:val="16"/>
          <w:color w:val="auto"/>
        </w:rPr>
        <w:t>The following tables detail the origination year of our originated vacation ownership notes receivable, before reserves, by brand and borrower FICO score at origination as of September 30, 2025, and gross write-offs by brand for the first three quarters of 2025.</w:t>
      </w:r>
    </w:p>
    <w:p>
      <w:pPr>
        <w:spacing w:after="0" w:line="1"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gridSpan w:val="23"/>
          </w:tcPr>
          <w:p>
            <w:pPr>
              <w:jc w:val="right"/>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 - Marriott Vacation Ownership</w:t>
            </w:r>
          </w:p>
        </w:tc>
        <w:tc>
          <w:tcPr>
            <w:tcW w:w="680" w:type="dxa"/>
            <w:vAlign w:val="bottom"/>
            <w:tcBorders>
              <w:bottom w:val="single" w:sz="8" w:color="auto"/>
            </w:tcBorders>
          </w:tcPr>
          <w:p>
            <w:pPr>
              <w:spacing w:after="0"/>
              <w:rPr>
                <w:sz w:val="16"/>
                <w:szCs w:val="16"/>
                <w:color w:val="auto"/>
              </w:rPr>
            </w:pPr>
          </w:p>
        </w:tc>
      </w:tr>
      <w:tr>
        <w:trPr>
          <w:trHeight w:val="183"/>
        </w:trPr>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2021 &amp; Prior</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700</w:t>
            </w:r>
          </w:p>
        </w:tc>
        <w:tc>
          <w:tcPr>
            <w:tcW w:w="1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440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196</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1,588</w:t>
            </w:r>
          </w:p>
        </w:tc>
      </w:tr>
      <w:tr>
        <w:trPr>
          <w:trHeight w:val="225"/>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600</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158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636</w:t>
            </w: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&lt; 600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r>
      <w:tr>
        <w:trPr>
          <w:trHeight w:val="225"/>
        </w:trPr>
        <w:tc>
          <w:tcPr>
            <w:tcW w:w="1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No Score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1"/>
              </w:rPr>
              <w:t>117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401</w:t>
            </w:r>
          </w:p>
        </w:tc>
      </w:tr>
      <w:tr>
        <w:trPr>
          <w:trHeight w:val="218"/>
        </w:trPr>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730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2,683</w:t>
            </w:r>
          </w:p>
        </w:tc>
      </w:tr>
      <w:tr>
        <w:trPr>
          <w:trHeight w:val="20"/>
        </w:trPr>
        <w:tc>
          <w:tcPr>
            <w:tcW w:w="13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write-offs</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w:t>
            </w:r>
          </w:p>
        </w:tc>
      </w:tr>
      <w:tr>
        <w:trPr>
          <w:trHeight w:val="388"/>
        </w:trPr>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2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 - Hyatt Vacation Ownership</w:t>
            </w:r>
          </w:p>
        </w:tc>
        <w:tc>
          <w:tcPr>
            <w:tcW w:w="680" w:type="dxa"/>
            <w:vAlign w:val="bottom"/>
            <w:tcBorders>
              <w:bottom w:val="single" w:sz="8" w:color="auto"/>
            </w:tcBorders>
          </w:tcPr>
          <w:p>
            <w:pPr>
              <w:spacing w:after="0"/>
              <w:rPr>
                <w:sz w:val="24"/>
                <w:szCs w:val="24"/>
                <w:color w:val="auto"/>
              </w:rPr>
            </w:pPr>
          </w:p>
        </w:tc>
      </w:tr>
      <w:tr>
        <w:trPr>
          <w:trHeight w:val="183"/>
        </w:trPr>
        <w:tc>
          <w:tcPr>
            <w:tcW w:w="1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2021 &amp; Prior</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700</w:t>
            </w: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w:t>
            </w:r>
          </w:p>
        </w:tc>
      </w:tr>
      <w:tr>
        <w:trPr>
          <w:trHeight w:val="225"/>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600</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&lt; 600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r>
      <w:tr>
        <w:trPr>
          <w:trHeight w:val="225"/>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 Score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r>
      <w:tr>
        <w:trPr>
          <w:trHeight w:val="218"/>
        </w:trPr>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289</w:t>
            </w:r>
          </w:p>
        </w:tc>
      </w:tr>
      <w:tr>
        <w:trPr>
          <w:trHeight w:val="20"/>
        </w:trPr>
        <w:tc>
          <w:tcPr>
            <w:tcW w:w="13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write-offs</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Acquired Vacation Ownership Notes Receivable</w:t>
      </w:r>
    </w:p>
    <w:p>
      <w:pPr>
        <w:spacing w:after="0" w:line="57" w:lineRule="exact"/>
        <w:rPr>
          <w:sz w:val="20"/>
          <w:szCs w:val="20"/>
          <w:color w:val="auto"/>
        </w:rPr>
      </w:pPr>
    </w:p>
    <w:p>
      <w:pPr>
        <w:ind w:right="260"/>
        <w:spacing w:after="0" w:line="311" w:lineRule="auto"/>
        <w:rPr>
          <w:sz w:val="20"/>
          <w:szCs w:val="20"/>
          <w:color w:val="auto"/>
        </w:rPr>
      </w:pPr>
      <w:r>
        <w:rPr>
          <w:rFonts w:ascii="Times New Roman" w:cs="Times New Roman" w:eastAsia="Times New Roman" w:hAnsi="Times New Roman"/>
          <w:sz w:val="15"/>
          <w:szCs w:val="15"/>
          <w:color w:val="auto"/>
        </w:rPr>
        <w:t>Acquired vacation ownership notes receivable represent vacation ownership notes receivable acquired as part of the ILG Acquisition and the Welk Acquisition. The following table shows future contractual principal payments, net of a $6 million reserve, and interest rates for our acquired vacation ownership notes receivable at September 30, 2025.</w:t>
      </w:r>
    </w:p>
    <w:p>
      <w:pPr>
        <w:spacing w:after="0" w:line="17"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7"/>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Acquired Vacation Ownership Notes Receivable</w:t>
            </w:r>
          </w:p>
        </w:tc>
        <w:tc>
          <w:tcPr>
            <w:tcW w:w="0" w:type="dxa"/>
            <w:vAlign w:val="bottom"/>
          </w:tcPr>
          <w:p>
            <w:pPr>
              <w:spacing w:after="0"/>
              <w:rPr>
                <w:sz w:val="1"/>
                <w:szCs w:val="1"/>
                <w:color w:val="auto"/>
              </w:rPr>
            </w:pPr>
          </w:p>
        </w:tc>
      </w:tr>
      <w:tr>
        <w:trPr>
          <w:trHeight w:val="183"/>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4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60" w:type="dxa"/>
            <w:vAlign w:val="bottom"/>
          </w:tcPr>
          <w:p>
            <w:pPr>
              <w:spacing w:after="0"/>
              <w:rPr>
                <w:sz w:val="15"/>
                <w:szCs w:val="15"/>
                <w:color w:val="auto"/>
              </w:rPr>
            </w:pPr>
          </w:p>
        </w:tc>
        <w:tc>
          <w:tcPr>
            <w:tcW w:w="12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 remaining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1"/>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1"/>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1"/>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8"/>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63"/>
              <w:spacing w:after="0" w:line="168" w:lineRule="exact"/>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82"/>
              <w:spacing w:after="0" w:line="168" w:lineRule="exact"/>
              <w:rPr>
                <w:sz w:val="20"/>
                <w:szCs w:val="20"/>
                <w:color w:val="auto"/>
              </w:rPr>
            </w:pPr>
            <w:r>
              <w:rPr>
                <w:rFonts w:ascii="Times New Roman" w:cs="Times New Roman" w:eastAsia="Times New Roman" w:hAnsi="Times New Roman"/>
                <w:sz w:val="16"/>
                <w:szCs w:val="16"/>
                <w:color w:val="auto"/>
                <w:w w:val="96"/>
              </w:rPr>
              <w:t>14.2%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2"/>
              <w:spacing w:after="0" w:line="168" w:lineRule="exact"/>
              <w:rPr>
                <w:sz w:val="20"/>
                <w:szCs w:val="20"/>
                <w:color w:val="auto"/>
              </w:rPr>
            </w:pPr>
            <w:r>
              <w:rPr>
                <w:rFonts w:ascii="Times New Roman" w:cs="Times New Roman" w:eastAsia="Times New Roman" w:hAnsi="Times New Roman"/>
                <w:sz w:val="16"/>
                <w:szCs w:val="16"/>
                <w:color w:val="auto"/>
                <w:w w:val="96"/>
              </w:rPr>
              <w:t>14.1%</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Range of stated interest rates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8"/>
              </w:rPr>
              <w:t>0.0% to 21.9%</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6"/>
              </w:rPr>
              <w:t>0.0% to 21.9%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w w:val="96"/>
              </w:rPr>
              <w:t>0.0% to 21.9%</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show the acquired vacation ownership notes receivable, before reserves, by brand and borrower FICO score at origination.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40" w:type="dxa"/>
            <w:vAlign w:val="bottom"/>
            <w:gridSpan w:val="19"/>
          </w:tcPr>
          <w:p>
            <w:pPr>
              <w:ind w:left="240"/>
              <w:spacing w:after="0"/>
              <w:rPr>
                <w:sz w:val="20"/>
                <w:szCs w:val="20"/>
                <w:color w:val="auto"/>
              </w:rPr>
            </w:pPr>
            <w:r>
              <w:rPr>
                <w:rFonts w:ascii="Times New Roman" w:cs="Times New Roman" w:eastAsia="Times New Roman" w:hAnsi="Times New Roman"/>
                <w:sz w:val="14"/>
                <w:szCs w:val="14"/>
                <w:b w:val="1"/>
                <w:bCs w:val="1"/>
                <w:color w:val="auto"/>
              </w:rPr>
              <w:t>Acquired Vacation Ownership Notes Receivable as of September 30, 2025</w:t>
            </w:r>
          </w:p>
        </w:tc>
      </w:tr>
      <w:tr>
        <w:trPr>
          <w:trHeight w:val="183"/>
        </w:trPr>
        <w:tc>
          <w:tcPr>
            <w:tcW w:w="1800" w:type="dxa"/>
            <w:vAlign w:val="bottom"/>
          </w:tcPr>
          <w:p>
            <w:pPr>
              <w:spacing w:after="0"/>
              <w:rPr>
                <w:sz w:val="15"/>
                <w:szCs w:val="15"/>
                <w:color w:val="auto"/>
              </w:rPr>
            </w:pPr>
          </w:p>
        </w:tc>
        <w:tc>
          <w:tcPr>
            <w:tcW w:w="2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700+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600 - 699</w:t>
            </w: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&lt; 600</w:t>
            </w: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No Score</w:t>
            </w: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Pr>
          <w:p>
            <w:pPr>
              <w:spacing w:after="0"/>
              <w:rPr>
                <w:sz w:val="15"/>
                <w:szCs w:val="15"/>
                <w:color w:val="auto"/>
              </w:rPr>
            </w:pPr>
          </w:p>
        </w:tc>
      </w:tr>
      <w:tr>
        <w:trPr>
          <w:trHeight w:val="206"/>
        </w:trPr>
        <w:tc>
          <w:tcPr>
            <w:tcW w:w="1800" w:type="dxa"/>
            <w:vAlign w:val="bottom"/>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Marriott Vacation Ownership</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2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Hyatt Vacation Ownership</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39</w:t>
            </w:r>
          </w:p>
        </w:tc>
        <w:tc>
          <w:tcPr>
            <w:tcW w:w="1800" w:type="dxa"/>
            <w:vAlign w:val="bottom"/>
          </w:tcPr>
          <w:p>
            <w:pPr>
              <w:spacing w:after="0"/>
              <w:rPr>
                <w:sz w:val="19"/>
                <w:szCs w:val="19"/>
                <w:color w:val="auto"/>
              </w:rPr>
            </w:pPr>
          </w:p>
        </w:tc>
      </w:tr>
      <w:tr>
        <w:trPr>
          <w:trHeight w:val="218"/>
        </w:trPr>
        <w:tc>
          <w:tcPr>
            <w:tcW w:w="1800" w:type="dxa"/>
            <w:vAlign w:val="bottom"/>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80</w:t>
            </w:r>
          </w:p>
        </w:tc>
        <w:tc>
          <w:tcPr>
            <w:tcW w:w="18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55"/>
        </w:trPr>
        <w:tc>
          <w:tcPr>
            <w:tcW w:w="1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40" w:type="dxa"/>
            <w:vAlign w:val="bottom"/>
            <w:gridSpan w:val="19"/>
          </w:tcPr>
          <w:p>
            <w:pPr>
              <w:ind w:left="260"/>
              <w:spacing w:after="0"/>
              <w:rPr>
                <w:sz w:val="20"/>
                <w:szCs w:val="20"/>
                <w:color w:val="auto"/>
              </w:rPr>
            </w:pPr>
            <w:r>
              <w:rPr>
                <w:rFonts w:ascii="Times New Roman" w:cs="Times New Roman" w:eastAsia="Times New Roman" w:hAnsi="Times New Roman"/>
                <w:sz w:val="14"/>
                <w:szCs w:val="14"/>
                <w:b w:val="1"/>
                <w:bCs w:val="1"/>
                <w:color w:val="auto"/>
              </w:rPr>
              <w:t>Acquired Vacation Ownership Notes Receivable as of December 31, 2024</w:t>
            </w:r>
          </w:p>
        </w:tc>
      </w:tr>
      <w:tr>
        <w:trPr>
          <w:trHeight w:val="183"/>
        </w:trPr>
        <w:tc>
          <w:tcPr>
            <w:tcW w:w="1800" w:type="dxa"/>
            <w:vAlign w:val="bottom"/>
          </w:tcPr>
          <w:p>
            <w:pPr>
              <w:spacing w:after="0"/>
              <w:rPr>
                <w:sz w:val="15"/>
                <w:szCs w:val="15"/>
                <w:color w:val="auto"/>
              </w:rPr>
            </w:pPr>
          </w:p>
        </w:tc>
        <w:tc>
          <w:tcPr>
            <w:tcW w:w="2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700+</w:t>
            </w:r>
          </w:p>
        </w:tc>
        <w:tc>
          <w:tcPr>
            <w:tcW w:w="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600 - 699</w:t>
            </w: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&lt; 600</w:t>
            </w: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No Score</w:t>
            </w:r>
          </w:p>
        </w:tc>
        <w:tc>
          <w:tcPr>
            <w:tcW w:w="10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tcPr>
          <w:p>
            <w:pPr>
              <w:spacing w:after="0"/>
              <w:rPr>
                <w:sz w:val="15"/>
                <w:szCs w:val="15"/>
                <w:color w:val="auto"/>
              </w:rPr>
            </w:pPr>
          </w:p>
        </w:tc>
      </w:tr>
      <w:tr>
        <w:trPr>
          <w:trHeight w:val="206"/>
        </w:trPr>
        <w:tc>
          <w:tcPr>
            <w:tcW w:w="1800" w:type="dxa"/>
            <w:vAlign w:val="bottom"/>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Marriott Vacation Ownership</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59</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2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Hyatt Vacation Ownership</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57</w:t>
            </w:r>
          </w:p>
        </w:tc>
        <w:tc>
          <w:tcPr>
            <w:tcW w:w="1800" w:type="dxa"/>
            <w:vAlign w:val="bottom"/>
          </w:tcPr>
          <w:p>
            <w:pPr>
              <w:spacing w:after="0"/>
              <w:rPr>
                <w:sz w:val="19"/>
                <w:szCs w:val="19"/>
                <w:color w:val="auto"/>
              </w:rPr>
            </w:pPr>
          </w:p>
        </w:tc>
      </w:tr>
      <w:tr>
        <w:trPr>
          <w:trHeight w:val="218"/>
        </w:trPr>
        <w:tc>
          <w:tcPr>
            <w:tcW w:w="1800" w:type="dxa"/>
            <w:vAlign w:val="bottom"/>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116</w:t>
            </w:r>
          </w:p>
        </w:tc>
        <w:tc>
          <w:tcPr>
            <w:tcW w:w="18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 on Non-Accrual Status</w:t>
      </w:r>
    </w:p>
    <w:p>
      <w:pPr>
        <w:spacing w:after="0" w:line="1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For both non-securitized and securitized vacation ownership notes receivable, we estimated the average remaining default rates of 13.45% as of September 30, 2025 and 13.96% as of December 31, 2024. A 0.5 percentage point increase in the estimated default rate would have resulted in an increase in the related vacation ownership notes receivable reserve of $15 million as of September 30, 2025 and $14 million as of December 31, 2024.</w:t>
      </w:r>
    </w:p>
    <w:p>
      <w:pPr>
        <w:spacing w:after="0" w:line="63"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6"/>
          <w:szCs w:val="16"/>
          <w:color w:val="auto"/>
        </w:rPr>
        <w:t>The following table shows our recorded investment in non-accrual vacation ownership notes receivable, which are vacation ownership notes receivable that are 90 days or more past due.</w:t>
      </w:r>
    </w:p>
    <w:p>
      <w:pPr>
        <w:sectPr>
          <w:pgSz w:w="11900" w:h="16838" w:orient="portrait"/>
          <w:cols w:equalWidth="0" w:num="1">
            <w:col w:w="11260"/>
          </w:cols>
          <w:pgMar w:left="320" w:top="218" w:right="319" w:bottom="1440" w:gutter="0" w:footer="0" w:header="0"/>
        </w:sectPr>
      </w:pPr>
    </w:p>
    <w:p>
      <w:pPr>
        <w:spacing w:after="0" w:line="29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p>
      <w:pPr>
        <w:spacing w:after="0" w:line="33" w:lineRule="exact"/>
        <w:rPr>
          <w:sz w:val="20"/>
          <w:szCs w:val="20"/>
          <w:color w:val="auto"/>
        </w:rPr>
      </w:pPr>
    </w:p>
    <w:p>
      <w:pPr>
        <w:ind w:left="1800"/>
        <w:spacing w:after="0" w:line="259" w:lineRule="auto"/>
        <w:rPr>
          <w:sz w:val="20"/>
          <w:szCs w:val="20"/>
          <w:color w:val="auto"/>
        </w:rPr>
      </w:pPr>
      <w:r>
        <w:rPr>
          <w:rFonts w:ascii="Times New Roman" w:cs="Times New Roman" w:eastAsia="Times New Roman" w:hAnsi="Times New Roman"/>
          <w:sz w:val="15"/>
          <w:szCs w:val="15"/>
          <w:color w:val="auto"/>
        </w:rPr>
        <w:t>Investment in vacation ownership notes receivable on non-accrual status at September 30, 2025</w:t>
      </w:r>
    </w:p>
    <w:p>
      <w:pPr>
        <w:ind w:left="1800"/>
        <w:spacing w:after="0" w:line="270" w:lineRule="auto"/>
        <w:rPr>
          <w:sz w:val="20"/>
          <w:szCs w:val="20"/>
          <w:color w:val="auto"/>
        </w:rPr>
      </w:pPr>
      <w:r>
        <w:rPr>
          <w:rFonts w:ascii="Times New Roman" w:cs="Times New Roman" w:eastAsia="Times New Roman" w:hAnsi="Times New Roman"/>
          <w:sz w:val="15"/>
          <w:szCs w:val="15"/>
          <w:color w:val="auto"/>
        </w:rPr>
        <w:t>Investment in vacation ownership notes receivable on non-accrual status at December 31, 2024</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Vacation Ownership Notes Receivable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5"/>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23"/>
                <w:szCs w:val="23"/>
                <w:color w:val="auto"/>
              </w:rPr>
            </w:pPr>
          </w:p>
        </w:tc>
        <w:tc>
          <w:tcPr>
            <w:tcW w:w="1080" w:type="dxa"/>
            <w:vAlign w:val="bottom"/>
            <w:tcBorders>
              <w:top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3"/>
                <w:szCs w:val="23"/>
                <w:color w:val="auto"/>
              </w:rPr>
            </w:pPr>
          </w:p>
        </w:tc>
        <w:tc>
          <w:tcPr>
            <w:tcW w:w="3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183</w:t>
            </w:r>
          </w:p>
        </w:tc>
      </w:tr>
      <w:tr>
        <w:trPr>
          <w:trHeight w:val="367"/>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24"/>
                <w:szCs w:val="24"/>
                <w:color w:val="auto"/>
              </w:rPr>
            </w:pPr>
          </w:p>
        </w:tc>
        <w:tc>
          <w:tcPr>
            <w:tcW w:w="108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-413385</wp:posOffset>
            </wp:positionV>
            <wp:extent cx="4871085" cy="233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71085" cy="233045"/>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5000" w:space="100"/>
            <w:col w:w="6160"/>
          </w:cols>
          <w:pgMar w:left="320" w:top="218" w:right="319" w:bottom="1440" w:gutter="0" w:footer="0" w:header="0"/>
          <w:type w:val="continuous"/>
        </w:sectPr>
      </w:pPr>
    </w:p>
    <w:p>
      <w:pPr>
        <w:spacing w:after="0" w:line="3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The following table shows the aging of the recorded investment in principal, before reserves, in vacation ownership notes receivable as of September 30, 2025 and December 31, 2024.</w:t>
      </w:r>
    </w:p>
    <w:p>
      <w:pPr>
        <w:spacing w:after="0" w:line="135"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22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12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12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8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28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2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218" w:right="319" w:bottom="1440" w:gutter="0" w:footer="0" w:header="0"/>
          <w:type w:val="continuous"/>
        </w:sectPr>
      </w:pPr>
    </w:p>
    <w:p>
      <w:pPr>
        <w:ind w:left="1900"/>
        <w:spacing w:after="0"/>
        <w:tabs>
          <w:tab w:leader="none" w:pos="3680" w:val="left"/>
        </w:tabs>
        <w:rPr>
          <w:sz w:val="20"/>
          <w:szCs w:val="20"/>
          <w:color w:val="auto"/>
        </w:rPr>
      </w:pPr>
      <w:r>
        <w:rPr>
          <w:rFonts w:ascii="Times New Roman" w:cs="Times New Roman" w:eastAsia="Times New Roman" w:hAnsi="Times New Roman"/>
          <w:sz w:val="16"/>
          <w:szCs w:val="16"/>
          <w:color w:val="auto"/>
        </w:rPr>
        <w:t>31 – 90 days past due</w:t>
      </w:r>
      <w:r>
        <w:rPr>
          <w:sz w:val="20"/>
          <w:szCs w:val="20"/>
          <w:color w:val="auto"/>
        </w:rPr>
        <w:tab/>
      </w:r>
      <w:r>
        <w:rPr>
          <w:rFonts w:ascii="Times New Roman" w:cs="Times New Roman" w:eastAsia="Times New Roman" w:hAnsi="Times New Roman"/>
          <w:sz w:val="16"/>
          <w:szCs w:val="16"/>
          <w:color w:val="auto"/>
        </w:rPr>
        <w:t>$</w:t>
      </w:r>
    </w:p>
    <w:p>
      <w:pPr>
        <w:spacing w:after="0" w:line="4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91 – 120 days past due</w:t>
      </w:r>
    </w:p>
    <w:p>
      <w:pPr>
        <w:spacing w:after="0" w:line="2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Greater than 120 days past</w:t>
      </w:r>
    </w:p>
    <w:p>
      <w:pPr>
        <w:ind w:left="1900"/>
        <w:spacing w:after="0"/>
        <w:rPr>
          <w:sz w:val="20"/>
          <w:szCs w:val="20"/>
          <w:color w:val="auto"/>
        </w:rPr>
      </w:pPr>
      <w:r>
        <w:rPr>
          <w:rFonts w:ascii="Times New Roman" w:cs="Times New Roman" w:eastAsia="Times New Roman" w:hAnsi="Times New Roman"/>
          <w:sz w:val="16"/>
          <w:szCs w:val="16"/>
          <w:color w:val="auto"/>
        </w:rPr>
        <w:t>due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w:t>
            </w:r>
          </w:p>
        </w:tc>
        <w:tc>
          <w:tcPr>
            <w:tcW w:w="4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w:t>
            </w:r>
          </w:p>
        </w:tc>
        <w:tc>
          <w:tcPr>
            <w:tcW w:w="3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81</w:t>
            </w:r>
          </w:p>
        </w:tc>
        <w:tc>
          <w:tcPr>
            <w:tcW w:w="4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w:t>
            </w:r>
          </w:p>
        </w:tc>
        <w:tc>
          <w:tcPr>
            <w:tcW w:w="4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74</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25"/>
        </w:trPr>
        <w:tc>
          <w:tcPr>
            <w:tcW w:w="3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46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380" w:type="dxa"/>
            <w:vAlign w:val="bottom"/>
          </w:tcPr>
          <w:p>
            <w:pPr>
              <w:spacing w:after="0"/>
              <w:rPr>
                <w:sz w:val="19"/>
                <w:szCs w:val="19"/>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w:t>
            </w:r>
          </w:p>
        </w:tc>
        <w:tc>
          <w:tcPr>
            <w:tcW w:w="42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46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66"/>
        </w:trPr>
        <w:tc>
          <w:tcPr>
            <w:tcW w:w="3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1"/>
              </w:rPr>
              <w:t>157</w:t>
            </w:r>
          </w:p>
        </w:tc>
        <w:tc>
          <w:tcPr>
            <w:tcW w:w="460" w:type="dxa"/>
            <w:vAlign w:val="bottom"/>
          </w:tcPr>
          <w:p>
            <w:pPr>
              <w:spacing w:after="0"/>
              <w:rPr>
                <w:sz w:val="24"/>
                <w:szCs w:val="24"/>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160</w:t>
            </w:r>
          </w:p>
        </w:tc>
        <w:tc>
          <w:tcPr>
            <w:tcW w:w="420" w:type="dxa"/>
            <w:vAlign w:val="bottom"/>
          </w:tcPr>
          <w:p>
            <w:pPr>
              <w:spacing w:after="0"/>
              <w:rPr>
                <w:sz w:val="24"/>
                <w:szCs w:val="24"/>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160</w:t>
            </w:r>
          </w:p>
        </w:tc>
        <w:tc>
          <w:tcPr>
            <w:tcW w:w="460" w:type="dxa"/>
            <w:vAlign w:val="bottom"/>
          </w:tcPr>
          <w:p>
            <w:pPr>
              <w:spacing w:after="0"/>
              <w:rPr>
                <w:sz w:val="24"/>
                <w:szCs w:val="24"/>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-232410</wp:posOffset>
            </wp:positionV>
            <wp:extent cx="4864100" cy="233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64100" cy="23304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-518160</wp:posOffset>
            </wp:positionV>
            <wp:extent cx="4864100"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80" w:space="480"/>
            <w:col w:w="7000"/>
          </w:cols>
          <w:pgMar w:left="320" w:top="218" w:right="31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1800" w:type="dxa"/>
            <w:vAlign w:val="bottom"/>
          </w:tcPr>
          <w:p>
            <w:pPr>
              <w:spacing w:after="0"/>
              <w:rPr>
                <w:sz w:val="17"/>
                <w:szCs w:val="17"/>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past due</w:t>
            </w: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298</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w:t>
            </w: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188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color w:val="auto"/>
              </w:rPr>
              <w:t>Total vacation ownership</w:t>
            </w:r>
          </w:p>
        </w:tc>
        <w:tc>
          <w:tcPr>
            <w:tcW w:w="3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1"/>
                <w:szCs w:val="11"/>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3,052</w:t>
            </w:r>
          </w:p>
        </w:tc>
        <w:tc>
          <w:tcPr>
            <w:tcW w:w="100" w:type="dxa"/>
            <w:vAlign w:val="bottom"/>
          </w:tcPr>
          <w:p>
            <w:pPr>
              <w:spacing w:after="0"/>
              <w:rPr>
                <w:sz w:val="11"/>
                <w:szCs w:val="11"/>
                <w:color w:val="auto"/>
              </w:rPr>
            </w:pPr>
          </w:p>
        </w:tc>
        <w:tc>
          <w:tcPr>
            <w:tcW w:w="3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11"/>
                <w:szCs w:val="11"/>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20" w:type="dxa"/>
            <w:vAlign w:val="bottom"/>
          </w:tcPr>
          <w:p>
            <w:pPr>
              <w:spacing w:after="0"/>
              <w:rPr>
                <w:sz w:val="11"/>
                <w:szCs w:val="11"/>
                <w:color w:val="auto"/>
              </w:rPr>
            </w:pPr>
          </w:p>
        </w:tc>
        <w:tc>
          <w:tcPr>
            <w:tcW w:w="2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2,976</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3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hanging="350"/>
        <w:spacing w:after="0"/>
        <w:tabs>
          <w:tab w:leader="none" w:pos="36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INSTRUMENTS</w:t>
      </w:r>
    </w:p>
    <w:p>
      <w:pPr>
        <w:spacing w:after="0" w:line="13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110"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24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23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181"/>
        </w:trPr>
        <w:tc>
          <w:tcPr>
            <w:tcW w:w="28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u w:val="single" w:color="auto"/>
                <w:color w:val="auto"/>
              </w:rPr>
              <w:t>Carrying Amount</w:t>
            </w:r>
          </w:p>
        </w:tc>
        <w:tc>
          <w:tcPr>
            <w:tcW w:w="10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1905</wp:posOffset>
            </wp:positionV>
            <wp:extent cx="4864100" cy="142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p>
      <w:pPr>
        <w:spacing w:after="0" w:line="10" w:lineRule="exact"/>
        <w:rPr>
          <w:sz w:val="20"/>
          <w:szCs w:val="20"/>
          <w:color w:val="auto"/>
        </w:rPr>
      </w:pPr>
    </w:p>
    <w:p>
      <w:pPr>
        <w:ind w:left="1820"/>
        <w:spacing w:after="0"/>
        <w:tabs>
          <w:tab w:leader="none" w:pos="4640" w:val="left"/>
        </w:tabs>
        <w:rPr>
          <w:sz w:val="20"/>
          <w:szCs w:val="20"/>
          <w:color w:val="auto"/>
        </w:rPr>
      </w:pPr>
      <w:r>
        <w:rPr>
          <w:rFonts w:ascii="Times New Roman" w:cs="Times New Roman" w:eastAsia="Times New Roman" w:hAnsi="Times New Roman"/>
          <w:sz w:val="16"/>
          <w:szCs w:val="16"/>
          <w:color w:val="auto"/>
        </w:rPr>
        <w:t>Vacation ownership notes receivable, net</w:t>
      </w:r>
      <w:r>
        <w:rPr>
          <w:sz w:val="20"/>
          <w:szCs w:val="20"/>
          <w:color w:val="auto"/>
        </w:rPr>
        <w:tab/>
      </w:r>
      <w:r>
        <w:rPr>
          <w:rFonts w:ascii="Times New Roman" w:cs="Times New Roman" w:eastAsia="Times New Roman" w:hAnsi="Times New Roman"/>
          <w:sz w:val="16"/>
          <w:szCs w:val="16"/>
          <w:color w:val="auto"/>
        </w:rPr>
        <w:t>$</w:t>
      </w:r>
    </w:p>
    <w:p>
      <w:pPr>
        <w:spacing w:after="0" w:line="29" w:lineRule="exact"/>
        <w:rPr>
          <w:sz w:val="20"/>
          <w:szCs w:val="20"/>
          <w:color w:val="auto"/>
        </w:rPr>
      </w:pPr>
    </w:p>
    <w:p>
      <w:pPr>
        <w:ind w:left="1820" w:right="120"/>
        <w:spacing w:after="0" w:line="235" w:lineRule="auto"/>
        <w:rPr>
          <w:sz w:val="20"/>
          <w:szCs w:val="20"/>
          <w:color w:val="auto"/>
        </w:rPr>
      </w:pPr>
      <w:r>
        <w:rPr>
          <w:rFonts w:ascii="Times New Roman" w:cs="Times New Roman" w:eastAsia="Times New Roman" w:hAnsi="Times New Roman"/>
          <w:sz w:val="16"/>
          <w:szCs w:val="16"/>
          <w:color w:val="auto"/>
        </w:rPr>
        <w:t>Contracts receivable for financed VOI sales, net</w:t>
      </w:r>
    </w:p>
    <w:p>
      <w:pPr>
        <w:spacing w:after="0" w:line="1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Other assets</w:t>
      </w:r>
    </w:p>
    <w:p>
      <w:pPr>
        <w:spacing w:after="0" w:line="41" w:lineRule="exact"/>
        <w:rPr>
          <w:sz w:val="20"/>
          <w:szCs w:val="20"/>
          <w:color w:val="auto"/>
        </w:rPr>
      </w:pPr>
    </w:p>
    <w:p>
      <w:pPr>
        <w:ind w:left="1980"/>
        <w:spacing w:after="0"/>
        <w:tabs>
          <w:tab w:leader="none" w:pos="4640" w:val="left"/>
        </w:tabs>
        <w:rPr>
          <w:sz w:val="20"/>
          <w:szCs w:val="20"/>
          <w:color w:val="auto"/>
        </w:rPr>
      </w:pPr>
      <w:r>
        <w:rPr>
          <w:rFonts w:ascii="Times New Roman" w:cs="Times New Roman" w:eastAsia="Times New Roman" w:hAnsi="Times New Roman"/>
          <w:sz w:val="16"/>
          <w:szCs w:val="16"/>
          <w:color w:val="auto"/>
        </w:rPr>
        <w:t>Total financial assets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8"/>
              </w:rPr>
              <w:t>2,522</w:t>
            </w:r>
          </w:p>
        </w:tc>
        <w:tc>
          <w:tcPr>
            <w:tcW w:w="36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2,593</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2,508</w:t>
            </w:r>
          </w:p>
        </w:tc>
      </w:tr>
      <w:tr>
        <w:trPr>
          <w:trHeight w:val="286"/>
        </w:trPr>
        <w:tc>
          <w:tcPr>
            <w:tcW w:w="5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85</w:t>
            </w:r>
          </w:p>
        </w:tc>
        <w:tc>
          <w:tcPr>
            <w:tcW w:w="36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r>
      <w:tr>
        <w:trPr>
          <w:trHeight w:val="299"/>
        </w:trPr>
        <w:tc>
          <w:tcPr>
            <w:tcW w:w="5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160</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131</w:t>
            </w:r>
          </w:p>
        </w:tc>
      </w:tr>
      <w:tr>
        <w:trPr>
          <w:trHeight w:val="201"/>
        </w:trPr>
        <w:tc>
          <w:tcPr>
            <w:tcW w:w="5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8"/>
              </w:rPr>
              <w:t>2,767</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2,838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2,685</w:t>
            </w:r>
          </w:p>
        </w:tc>
      </w:tr>
      <w:tr>
        <w:trPr>
          <w:trHeight w:val="20"/>
        </w:trPr>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-307340</wp:posOffset>
            </wp:positionV>
            <wp:extent cx="4864100" cy="4432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64100" cy="4432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680"/>
            <w:col w:w="5820"/>
          </w:cols>
          <w:pgMar w:left="320" w:top="218" w:right="3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0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Securitized debt, net</w:t>
            </w:r>
          </w:p>
        </w:tc>
        <w:tc>
          <w:tcPr>
            <w:tcW w:w="32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tcPr>
          <w:p>
            <w:pPr>
              <w:spacing w:after="0"/>
              <w:rPr>
                <w:sz w:val="18"/>
                <w:szCs w:val="18"/>
                <w:color w:val="auto"/>
              </w:rPr>
            </w:pPr>
          </w:p>
        </w:tc>
        <w:tc>
          <w:tcPr>
            <w:tcW w:w="3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net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Revolving Corporate Credit Facility, net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2028</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net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9"/>
        </w:trPr>
        <w:tc>
          <w:tcPr>
            <w:tcW w:w="2140" w:type="dxa"/>
            <w:vAlign w:val="bottom"/>
            <w:gridSpan w:val="2"/>
          </w:tcPr>
          <w:p>
            <w:pPr>
              <w:ind w:left="1820"/>
              <w:spacing w:after="0"/>
              <w:rPr>
                <w:sz w:val="20"/>
                <w:szCs w:val="20"/>
                <w:color w:val="auto"/>
              </w:rPr>
            </w:pPr>
            <w:r>
              <w:rPr>
                <w:rFonts w:ascii="Times New Roman" w:cs="Times New Roman" w:eastAsia="Times New Roman" w:hAnsi="Times New Roman"/>
                <w:sz w:val="16"/>
                <w:szCs w:val="16"/>
                <w:color w:val="auto"/>
                <w:w w:val="93"/>
              </w:rPr>
              <w:t>2029</w:t>
            </w:r>
          </w:p>
        </w:tc>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net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2033</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net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140" w:type="dxa"/>
            <w:vAlign w:val="bottom"/>
            <w:gridSpan w:val="2"/>
          </w:tcPr>
          <w:p>
            <w:pPr>
              <w:ind w:left="1820"/>
              <w:spacing w:after="0"/>
              <w:rPr>
                <w:sz w:val="20"/>
                <w:szCs w:val="20"/>
                <w:color w:val="auto"/>
              </w:rPr>
            </w:pPr>
            <w:r>
              <w:rPr>
                <w:rFonts w:ascii="Times New Roman" w:cs="Times New Roman" w:eastAsia="Times New Roman" w:hAnsi="Times New Roman"/>
                <w:sz w:val="16"/>
                <w:szCs w:val="16"/>
                <w:color w:val="auto"/>
                <w:w w:val="93"/>
              </w:rPr>
              <w:t>2026</w:t>
            </w:r>
          </w:p>
        </w:tc>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 net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2027</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Notes, net</w:t>
            </w:r>
          </w:p>
        </w:tc>
        <w:tc>
          <w:tcPr>
            <w:tcW w:w="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financial liabilities</w:t>
            </w:r>
          </w:p>
        </w:tc>
        <w:tc>
          <w:tcPr>
            <w:tcW w:w="320" w:type="dxa"/>
            <w:vAlign w:val="bottom"/>
            <w:tcBorders>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(5,472)</w:t>
            </w:r>
          </w:p>
        </w:tc>
        <w:tc>
          <w:tcPr>
            <w:tcW w:w="100" w:type="dxa"/>
            <w:vAlign w:val="bottom"/>
          </w:tcPr>
          <w:p>
            <w:pPr>
              <w:spacing w:after="0"/>
              <w:rPr>
                <w:sz w:val="16"/>
                <w:szCs w:val="16"/>
                <w:color w:val="auto"/>
              </w:rPr>
            </w:pPr>
          </w:p>
        </w:tc>
        <w:tc>
          <w:tcPr>
            <w:tcW w:w="30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w:t>
            </w: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6"/>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Pr>
          <w:p>
            <w:pPr>
              <w:spacing w:after="0"/>
              <w:rPr>
                <w:sz w:val="15"/>
                <w:szCs w:val="15"/>
                <w:color w:val="auto"/>
              </w:rPr>
            </w:pPr>
          </w:p>
        </w:tc>
        <w:tc>
          <w:tcPr>
            <w:tcW w:w="12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2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Securitized</w:t>
            </w: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1,962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8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Eligible for securitization</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2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Not eligible for securitization</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11"/>
        </w:trPr>
        <w:tc>
          <w:tcPr>
            <w:tcW w:w="1800" w:type="dxa"/>
            <w:vAlign w:val="bottom"/>
          </w:tcPr>
          <w:p>
            <w:pPr>
              <w:spacing w:after="0"/>
              <w:rPr>
                <w:sz w:val="18"/>
                <w:szCs w:val="18"/>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Non-securitized</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8"/>
              </w:rPr>
              <w:t>Total</w:t>
            </w:r>
          </w:p>
        </w:tc>
        <w:tc>
          <w:tcPr>
            <w:tcW w:w="2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2,593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6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200" w:lineRule="exact"/>
        <w:rPr>
          <w:sz w:val="20"/>
          <w:szCs w:val="20"/>
          <w:color w:val="auto"/>
        </w:rPr>
      </w:pPr>
    </w:p>
    <w:p>
      <w:pPr>
        <w:spacing w:after="0" w:line="33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Contracts Receivable for Financed VOI Sales</w:t>
      </w:r>
    </w:p>
    <w:p>
      <w:pPr>
        <w:spacing w:after="0" w:line="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At the time at which we recognize revenue for our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We concluded that this fair value measurement should be categorized within Level 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Assets</w:t>
      </w:r>
    </w:p>
    <w:p>
      <w:pPr>
        <w:spacing w:after="0" w:line="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Other assets include $160 million and $131 million of company owned insurance policies (the “COLI policies”) acquired on the lives of certain participants in the Marriott Vacations Worldwide Deferred Compensation Plan (the “Deferred Compensation Plan”) at September 30, 2025 and December 31, 2024, respectively, that are held in a rabbi trust. The rabbi trust is considered a VIE, which we consolidate because we are the primary beneficiary as we direct the activities of the trust and are the beneficiary of the trust. The carrying value of the COLI policies is equal to their cash surrender value (Level 2 inputs).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Securitized Debt</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 Loan</w:t>
      </w:r>
    </w:p>
    <w:p>
      <w:pPr>
        <w:spacing w:after="0" w:line="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We estimate the fair value of our Term Loan (as defined in Footnote 12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Revolving Corporate Credit Facility</w:t>
      </w:r>
    </w:p>
    <w:p>
      <w:pPr>
        <w:spacing w:after="0" w:line="9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We estimate that the gross carrying value of our Revolving Corporate Credit Facility (as defined in Footnote 12 “Debt”) approximates fair value as the contractual interest rate is variable plus an applicable margin. We concluded that this fair value measurement should be categorized within Level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9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6"/>
          <w:szCs w:val="16"/>
          <w:color w:val="auto"/>
        </w:rPr>
        <w:t>We estimate the fair value of our 2028 Notes, 2029 Notes, and 2033 Notes (each as defined in Footnote 12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p>
      <w:pPr>
        <w:spacing w:after="0" w:line="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6"/>
          <w:szCs w:val="16"/>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pacing w:after="0" w:line="200" w:lineRule="exact"/>
        <w:rPr>
          <w:sz w:val="20"/>
          <w:szCs w:val="20"/>
          <w:color w:val="auto"/>
        </w:rPr>
      </w:pPr>
    </w:p>
    <w:p>
      <w:pPr>
        <w:spacing w:after="0" w:line="32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1" w:name="page22"/>
    <w:bookmarkEnd w:id="21"/>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5" w:hanging="350"/>
        <w:spacing w:after="0"/>
        <w:tabs>
          <w:tab w:leader="none" w:pos="365"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138" w:lineRule="exact"/>
        <w:rPr>
          <w:sz w:val="20"/>
          <w:szCs w:val="20"/>
          <w:color w:val="auto"/>
        </w:rPr>
      </w:pPr>
    </w:p>
    <w:p>
      <w:pPr>
        <w:ind w:left="5" w:right="120"/>
        <w:spacing w:after="0" w:line="254" w:lineRule="auto"/>
        <w:rPr>
          <w:sz w:val="20"/>
          <w:szCs w:val="20"/>
          <w:color w:val="auto"/>
        </w:rPr>
      </w:pPr>
      <w:r>
        <w:rPr>
          <w:rFonts w:ascii="Times New Roman" w:cs="Times New Roman" w:eastAsia="Times New Roman" w:hAnsi="Times New Roman"/>
          <w:sz w:val="16"/>
          <w:szCs w:val="16"/>
          <w:color w:val="auto"/>
        </w:rPr>
        <w:t>Basic earnings or loss per share attributable to common stockholders is calculated by dividing net income or loss attributable to common stockholders by the weighted average number of shares of common stock outstanding during the reporting period. Diluted earnings or loss per share attributable to common stockholders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share applicable to common stockholders by application of the treasury stock method.</w:t>
      </w:r>
    </w:p>
    <w:p>
      <w:pPr>
        <w:spacing w:after="0" w:line="68" w:lineRule="exact"/>
        <w:rPr>
          <w:sz w:val="20"/>
          <w:szCs w:val="20"/>
          <w:color w:val="auto"/>
        </w:rPr>
      </w:pPr>
    </w:p>
    <w:p>
      <w:pPr>
        <w:ind w:left="5" w:right="320"/>
        <w:spacing w:after="0" w:line="276" w:lineRule="auto"/>
        <w:rPr>
          <w:sz w:val="20"/>
          <w:szCs w:val="20"/>
          <w:color w:val="auto"/>
        </w:rPr>
      </w:pPr>
      <w:r>
        <w:rPr>
          <w:rFonts w:ascii="Times New Roman" w:cs="Times New Roman" w:eastAsia="Times New Roman" w:hAnsi="Times New Roman"/>
          <w:sz w:val="16"/>
          <w:szCs w:val="16"/>
          <w:color w:val="auto"/>
        </w:rPr>
        <w:t>The tables below illustrate the reconciliation of the earnings or loss and number of shares used in our calculation of basic and diluted earnings or loss per share attributable to common stockholders.</w:t>
      </w:r>
    </w:p>
    <w:p>
      <w:pPr>
        <w:spacing w:after="0" w:line="41" w:lineRule="exact"/>
        <w:rPr>
          <w:sz w:val="20"/>
          <w:szCs w:val="20"/>
          <w:color w:val="auto"/>
        </w:rPr>
      </w:pPr>
    </w:p>
    <w:tbl>
      <w:tblPr>
        <w:tblLayout w:type="fixed"/>
        <w:tblInd w:w="1825"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22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7"/>
        </w:trPr>
        <w:tc>
          <w:tcPr>
            <w:tcW w:w="328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32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amounts)</w:t>
            </w: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1" w:lineRule="exact"/>
        <w:rPr>
          <w:sz w:val="20"/>
          <w:szCs w:val="20"/>
          <w:color w:val="auto"/>
        </w:rPr>
      </w:pPr>
    </w:p>
    <w:p>
      <w:pPr>
        <w:sectPr>
          <w:pgSz w:w="11900" w:h="16838" w:orient="portrait"/>
          <w:cols w:equalWidth="0" w:num="1">
            <w:col w:w="11265"/>
          </w:cols>
          <w:pgMar w:left="315" w:top="218" w:right="319" w:bottom="1440" w:gutter="0" w:footer="0" w:header="0"/>
        </w:sectPr>
      </w:pPr>
    </w:p>
    <w:p>
      <w:pPr>
        <w:ind w:left="1825"/>
        <w:spacing w:after="0" w:line="233" w:lineRule="auto"/>
        <w:rPr>
          <w:sz w:val="20"/>
          <w:szCs w:val="20"/>
          <w:color w:val="auto"/>
        </w:rPr>
      </w:pPr>
      <w:r>
        <w:rPr>
          <w:rFonts w:ascii="Times New Roman" w:cs="Times New Roman" w:eastAsia="Times New Roman" w:hAnsi="Times New Roman"/>
          <w:sz w:val="16"/>
          <w:szCs w:val="16"/>
          <w:color w:val="auto"/>
        </w:rPr>
        <w:t>Net (loss) income attributable to common stockholders</w:t>
      </w:r>
    </w:p>
    <w:p>
      <w:pPr>
        <w:spacing w:after="0" w:line="32" w:lineRule="exact"/>
        <w:rPr>
          <w:sz w:val="20"/>
          <w:szCs w:val="20"/>
          <w:color w:val="auto"/>
        </w:rPr>
      </w:pPr>
    </w:p>
    <w:p>
      <w:pPr>
        <w:ind w:left="1825" w:right="40"/>
        <w:spacing w:after="0" w:line="338" w:lineRule="auto"/>
        <w:rPr>
          <w:sz w:val="20"/>
          <w:szCs w:val="20"/>
          <w:color w:val="auto"/>
        </w:rPr>
      </w:pPr>
      <w:r>
        <w:rPr>
          <w:rFonts w:ascii="Times New Roman" w:cs="Times New Roman" w:eastAsia="Times New Roman" w:hAnsi="Times New Roman"/>
          <w:sz w:val="16"/>
          <w:szCs w:val="16"/>
          <w:color w:val="auto"/>
        </w:rPr>
        <w:t>Shares for basic (loss) earnings per share Basic (loss) earnings per share</w:t>
      </w:r>
    </w:p>
    <w:p>
      <w:pPr>
        <w:spacing w:after="0" w:line="200" w:lineRule="exact"/>
        <w:rPr>
          <w:sz w:val="20"/>
          <w:szCs w:val="20"/>
          <w:color w:val="auto"/>
        </w:rPr>
      </w:pPr>
    </w:p>
    <w:p>
      <w:pPr>
        <w:spacing w:after="0" w:line="342" w:lineRule="exact"/>
        <w:rPr>
          <w:sz w:val="20"/>
          <w:szCs w:val="20"/>
          <w:color w:val="auto"/>
        </w:rPr>
      </w:pPr>
    </w:p>
    <w:p>
      <w:pPr>
        <w:ind w:left="1825"/>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amounts)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w:t>
            </w:r>
          </w:p>
        </w:tc>
      </w:tr>
      <w:tr>
        <w:trPr>
          <w:trHeight w:val="224"/>
        </w:trPr>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35.4</w:t>
            </w:r>
          </w:p>
        </w:tc>
      </w:tr>
      <w:tr>
        <w:trPr>
          <w:trHeight w:val="193"/>
        </w:trPr>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-164465</wp:posOffset>
            </wp:positionV>
            <wp:extent cx="4864100" cy="150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64100" cy="150495"/>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-540385</wp:posOffset>
            </wp:positionV>
            <wp:extent cx="4864100" cy="233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64100" cy="2330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7"/>
        </w:trPr>
        <w:tc>
          <w:tcPr>
            <w:tcW w:w="10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9"/>
        </w:trPr>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jc w:val="center"/>
              <w:ind w:right="209"/>
              <w:spacing w:after="0" w:line="189"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6"/>
                <w:szCs w:val="16"/>
                <w:color w:val="auto"/>
              </w:rPr>
            </w:pPr>
          </w:p>
        </w:tc>
        <w:tc>
          <w:tcPr>
            <w:tcW w:w="1040" w:type="dxa"/>
            <w:vAlign w:val="bottom"/>
          </w:tcPr>
          <w:p>
            <w:pPr>
              <w:jc w:val="center"/>
              <w:ind w:right="269"/>
              <w:spacing w:after="0" w:line="189"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8"/>
                <w:szCs w:val="18"/>
                <w:color w:val="auto"/>
                <w:vertAlign w:val="superscript"/>
              </w:rPr>
              <w:t>(1)</w:t>
            </w:r>
          </w:p>
        </w:tc>
        <w:tc>
          <w:tcPr>
            <w:tcW w:w="1080" w:type="dxa"/>
            <w:vAlign w:val="bottom"/>
          </w:tcPr>
          <w:p>
            <w:pPr>
              <w:jc w:val="center"/>
              <w:ind w:right="229"/>
              <w:spacing w:after="0" w:line="189"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color w:val="auto"/>
                <w:vertAlign w:val="superscript"/>
              </w:rPr>
              <w:t>(1)</w:t>
            </w:r>
          </w:p>
        </w:tc>
      </w:tr>
    </w:tbl>
    <w:p>
      <w:pPr>
        <w:spacing w:after="0" w:line="1" w:lineRule="exact"/>
        <w:rPr>
          <w:sz w:val="20"/>
          <w:szCs w:val="20"/>
          <w:color w:val="auto"/>
        </w:rPr>
      </w:pPr>
    </w:p>
    <w:p>
      <w:pPr>
        <w:sectPr>
          <w:pgSz w:w="11900" w:h="16838" w:orient="portrait"/>
          <w:cols w:equalWidth="0" w:num="2">
            <w:col w:w="4445" w:space="660"/>
            <w:col w:w="6160"/>
          </w:cols>
          <w:pgMar w:left="315" w:top="218" w:right="319" w:bottom="1440" w:gutter="0" w:footer="0" w:header="0"/>
          <w:type w:val="continuous"/>
        </w:sectPr>
      </w:pPr>
    </w:p>
    <w:tbl>
      <w:tblPr>
        <w:tblLayout w:type="fixed"/>
        <w:tblInd w:w="1805" w:type="dxa"/>
        <w:tblCellMar>
          <w:top w:w="0" w:type="dxa"/>
          <w:left w:w="0" w:type="dxa"/>
          <w:bottom w:w="0" w:type="dxa"/>
          <w:right w:w="0" w:type="dxa"/>
        </w:tblCellMar>
      </w:tblPr>
      <w:tr>
        <w:trPr>
          <w:trHeight w:val="134"/>
        </w:trPr>
        <w:tc>
          <w:tcPr>
            <w:tcW w:w="3300" w:type="dxa"/>
            <w:vAlign w:val="bottom"/>
            <w:tcBorders>
              <w:top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Net (loss) income attributable to common</w:t>
            </w:r>
          </w:p>
        </w:tc>
        <w:tc>
          <w:tcPr>
            <w:tcW w:w="3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21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w:t>
            </w:r>
          </w:p>
        </w:tc>
      </w:tr>
      <w:tr>
        <w:trPr>
          <w:trHeight w:val="154"/>
        </w:trPr>
        <w:tc>
          <w:tcPr>
            <w:tcW w:w="33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Add back of interest expense related to convertible</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13"/>
        </w:trPr>
        <w:tc>
          <w:tcPr>
            <w:tcW w:w="330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notes, net of tax</w:t>
            </w:r>
            <w:r>
              <w:rPr>
                <w:rFonts w:ascii="Times New Roman" w:cs="Times New Roman" w:eastAsia="Times New Roman" w:hAnsi="Times New Roman"/>
                <w:sz w:val="20"/>
                <w:szCs w:val="20"/>
                <w:color w:val="auto"/>
                <w:vertAlign w:val="superscript"/>
              </w:rPr>
              <w:t>(2)</w:t>
            </w:r>
          </w:p>
        </w:tc>
        <w:tc>
          <w:tcPr>
            <w:tcW w:w="3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r>
      <w:tr>
        <w:trPr>
          <w:trHeight w:val="134"/>
        </w:trPr>
        <w:tc>
          <w:tcPr>
            <w:tcW w:w="3300" w:type="dxa"/>
            <w:vAlign w:val="bottom"/>
            <w:tcBorders>
              <w:top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Numerator used to calculate diluted (loss) earnings</w:t>
            </w:r>
          </w:p>
        </w:tc>
        <w:tc>
          <w:tcPr>
            <w:tcW w:w="3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21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w:t>
            </w:r>
          </w:p>
        </w:tc>
      </w:tr>
      <w:tr>
        <w:trPr>
          <w:trHeight w:val="237"/>
        </w:trPr>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for basic (loss) earnings per share</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35.4</w:t>
            </w:r>
          </w:p>
        </w:tc>
      </w:tr>
      <w:tr>
        <w:trPr>
          <w:trHeight w:val="225"/>
        </w:trPr>
        <w:tc>
          <w:tcPr>
            <w:tcW w:w="3300" w:type="dxa"/>
            <w:vAlign w:val="bottom"/>
          </w:tcPr>
          <w:p>
            <w:pPr>
              <w:ind w:left="20"/>
              <w:spacing w:after="0" w:line="225" w:lineRule="exact"/>
              <w:rPr>
                <w:sz w:val="20"/>
                <w:szCs w:val="20"/>
                <w:color w:val="auto"/>
              </w:rPr>
            </w:pPr>
            <w:r>
              <w:rPr>
                <w:rFonts w:ascii="Times New Roman" w:cs="Times New Roman" w:eastAsia="Times New Roman" w:hAnsi="Times New Roman"/>
                <w:sz w:val="16"/>
                <w:szCs w:val="16"/>
                <w:color w:val="auto"/>
              </w:rPr>
              <w:t>Effect of dilutive shares outstanding</w:t>
            </w:r>
            <w:r>
              <w:rPr>
                <w:rFonts w:ascii="Times New Roman" w:cs="Times New Roman" w:eastAsia="Times New Roman" w:hAnsi="Times New Roman"/>
                <w:sz w:val="20"/>
                <w:szCs w:val="20"/>
                <w:color w:val="auto"/>
                <w:vertAlign w:val="superscript"/>
              </w:rPr>
              <w:t>(3)</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stock units</w:t>
            </w: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r>
      <w:tr>
        <w:trPr>
          <w:trHeight w:val="225"/>
        </w:trPr>
        <w:tc>
          <w:tcPr>
            <w:tcW w:w="3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 Convertible Notes</w:t>
            </w:r>
          </w:p>
        </w:tc>
        <w:tc>
          <w:tcPr>
            <w:tcW w:w="3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r>
      <w:tr>
        <w:trPr>
          <w:trHeight w:val="225"/>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2027 Convertible Notes</w:t>
            </w: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r>
      <w:tr>
        <w:trPr>
          <w:trHeight w:val="205"/>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Shares for diluted (loss) earnings per share</w:t>
            </w:r>
          </w:p>
        </w:tc>
        <w:tc>
          <w:tcPr>
            <w:tcW w:w="3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42.1</w:t>
            </w:r>
          </w:p>
        </w:tc>
      </w:tr>
      <w:tr>
        <w:trPr>
          <w:trHeight w:val="21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(loss) earnings per share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4.31</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85" w:right="300" w:hanging="285"/>
        <w:spacing w:after="0" w:line="230" w:lineRule="auto"/>
        <w:tabs>
          <w:tab w:leader="none" w:pos="274"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computations of diluted earnings per share attributable to common stockholders above exclude approximately 645,000 and 393,000 shares of common stock, the maximum number of shares issuable as of September 30, 2025 and September 30, 2024, respectively, upon the vesting of certain performance-based awards, because the performance conditions required to be met for the shares subject to such awards to vest were not achieved by the end of the reporting period.</w:t>
      </w:r>
    </w:p>
    <w:p>
      <w:pPr>
        <w:spacing w:after="0" w:line="78" w:lineRule="exact"/>
        <w:rPr>
          <w:rFonts w:ascii="Times New Roman" w:cs="Times New Roman" w:eastAsia="Times New Roman" w:hAnsi="Times New Roman"/>
          <w:sz w:val="21"/>
          <w:szCs w:val="21"/>
          <w:color w:val="auto"/>
          <w:vertAlign w:val="superscript"/>
        </w:rPr>
      </w:pPr>
    </w:p>
    <w:p>
      <w:pPr>
        <w:ind w:left="285" w:right="380" w:hanging="285"/>
        <w:spacing w:after="0" w:line="223" w:lineRule="auto"/>
        <w:tabs>
          <w:tab w:leader="none" w:pos="274"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third quarter of 2025, $4 million of interest expense related to convertible notes, net of tax, was excluded from the above calculation of diluted net loss per share attributable to common stockholders as the effects would have been anti-dilutive.</w:t>
      </w:r>
    </w:p>
    <w:p>
      <w:pPr>
        <w:spacing w:after="0" w:line="78" w:lineRule="exact"/>
        <w:rPr>
          <w:rFonts w:ascii="Times New Roman" w:cs="Times New Roman" w:eastAsia="Times New Roman" w:hAnsi="Times New Roman"/>
          <w:sz w:val="21"/>
          <w:szCs w:val="21"/>
          <w:color w:val="auto"/>
          <w:vertAlign w:val="superscript"/>
        </w:rPr>
      </w:pPr>
    </w:p>
    <w:p>
      <w:pPr>
        <w:ind w:left="285" w:right="420" w:hanging="285"/>
        <w:spacing w:after="0" w:line="223" w:lineRule="auto"/>
        <w:tabs>
          <w:tab w:leader="none" w:pos="274"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third quarter of 2025, the following potentially dilutive securities were excluded from the above calculation of diluted net loss per share attributable to common stockholders as the effects of including these securities would have been anti-dilutive.</w:t>
      </w:r>
    </w:p>
    <w:tbl>
      <w:tblPr>
        <w:tblLayout w:type="fixed"/>
        <w:tblInd w:w="5" w:type="dxa"/>
        <w:tblCellMar>
          <w:top w:w="0" w:type="dxa"/>
          <w:left w:w="0" w:type="dxa"/>
          <w:bottom w:w="0" w:type="dxa"/>
          <w:right w:w="0" w:type="dxa"/>
        </w:tblCellMar>
      </w:tblPr>
      <w:tr>
        <w:trPr>
          <w:trHeight w:val="183"/>
        </w:trPr>
        <w:tc>
          <w:tcPr>
            <w:tcW w:w="1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360" w:type="dxa"/>
            <w:vAlign w:val="bottom"/>
            <w:gridSpan w:val="2"/>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amounts)</w:t>
            </w:r>
          </w:p>
        </w:tc>
        <w:tc>
          <w:tcPr>
            <w:tcW w:w="30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46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 Convertible Notes</w:t>
            </w:r>
          </w:p>
        </w:tc>
        <w:tc>
          <w:tcPr>
            <w:tcW w:w="46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 Convertible Notes</w:t>
            </w:r>
          </w:p>
        </w:tc>
        <w:tc>
          <w:tcPr>
            <w:tcW w:w="46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60" w:type="dxa"/>
            <w:vAlign w:val="bottom"/>
            <w:vMerge w:val="restart"/>
          </w:tcPr>
          <w:p>
            <w:pPr>
              <w:jc w:val="right"/>
              <w:ind w:right="1841"/>
              <w:spacing w:after="0"/>
              <w:rPr>
                <w:sz w:val="20"/>
                <w:szCs w:val="20"/>
                <w:color w:val="auto"/>
              </w:rPr>
            </w:pPr>
            <w:r>
              <w:rPr>
                <w:rFonts w:ascii="Times New Roman" w:cs="Times New Roman" w:eastAsia="Times New Roman" w:hAnsi="Times New Roman"/>
                <w:sz w:val="16"/>
                <w:szCs w:val="16"/>
                <w:color w:val="auto"/>
              </w:rPr>
              <w:t>20</w:t>
            </w:r>
          </w:p>
        </w:tc>
        <w:tc>
          <w:tcPr>
            <w:tcW w:w="15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In accordance with the applicable accounting guidance for calculating earnings per share, for the first three quarters of 2025, we excluded from our calculation of diluted earnings per share 643,167 shares underlying stock appreciation rights (“SARs”) that may settle in shares of common stock because the exercise prices of such SARs, which ranged from $93.73 to $173.88, were greater than the average market price of our common stock for the applicable period.</w:t>
      </w:r>
    </w:p>
    <w:p>
      <w:pPr>
        <w:spacing w:after="0" w:line="6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For the third quarter of 2024, we excluded from our calculation of diluted earnings per share 695,868 shares underlying SARs that may settle in shares of common stock because the exercise prices of such SARs, which ranged from $77.42 to $173.88, were greater than the average market price of our common stock for the applicable period.</w:t>
      </w:r>
    </w:p>
    <w:p>
      <w:pPr>
        <w:spacing w:after="0" w:line="50" w:lineRule="exact"/>
        <w:rPr>
          <w:sz w:val="20"/>
          <w:szCs w:val="20"/>
          <w:color w:val="auto"/>
        </w:rPr>
      </w:pPr>
    </w:p>
    <w:p>
      <w:pPr>
        <w:ind w:right="220"/>
        <w:spacing w:after="0" w:line="311" w:lineRule="auto"/>
        <w:rPr>
          <w:sz w:val="20"/>
          <w:szCs w:val="20"/>
          <w:color w:val="auto"/>
        </w:rPr>
      </w:pPr>
      <w:r>
        <w:rPr>
          <w:rFonts w:ascii="Times New Roman" w:cs="Times New Roman" w:eastAsia="Times New Roman" w:hAnsi="Times New Roman"/>
          <w:sz w:val="15"/>
          <w:szCs w:val="15"/>
          <w:color w:val="auto"/>
        </w:rPr>
        <w:t>For the first three quarters of 2024, we excluded from our calculation of diluted earnings per share 646,203 shares underlying SARs that may settle in shares of common stock because the exercise prices of such SARs, which ranged from $93.73 to $173.88, were greater than the average market price of our common stock for the applicable period.</w:t>
      </w:r>
    </w:p>
    <w:p>
      <w:pPr>
        <w:spacing w:after="0" w:line="143"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9.</w:t>
        <w:tab/>
        <w:t>INVENTORY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composition of our inventory balances:</w:t>
      </w:r>
    </w:p>
    <w:p>
      <w:pPr>
        <w:spacing w:after="0" w:line="9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2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100" w:type="dxa"/>
            <w:vAlign w:val="bottom"/>
          </w:tcPr>
          <w:p>
            <w:pPr>
              <w:spacing w:after="0"/>
              <w:rPr>
                <w:sz w:val="16"/>
                <w:szCs w:val="16"/>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inventory</w:t>
            </w:r>
            <w:r>
              <w:rPr>
                <w:rFonts w:ascii="Times New Roman" w:cs="Times New Roman" w:eastAsia="Times New Roman" w:hAnsi="Times New Roman"/>
                <w:sz w:val="8"/>
                <w:szCs w:val="8"/>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725</w:t>
            </w:r>
          </w:p>
        </w:tc>
      </w:tr>
      <w:tr>
        <w:trPr>
          <w:trHeight w:val="225"/>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r>
      <w:tr>
        <w:trPr>
          <w:trHeight w:val="218"/>
        </w:trPr>
        <w:tc>
          <w:tcPr>
            <w:tcW w:w="4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2080" w:right="1860" w:hanging="276"/>
        <w:spacing w:after="0" w:line="223" w:lineRule="auto"/>
        <w:tabs>
          <w:tab w:leader="none" w:pos="2069"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completed inventory that is registered for sale as VOIs and vacation ownership inventory expected to be reacquired pursuant to estimated future defaults on originated vacation ownership notes receivable.</w:t>
      </w:r>
    </w:p>
    <w:p>
      <w:pPr>
        <w:spacing w:after="0" w:line="18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Product cost true-up activity relating to vacation ownership products increased carrying values of inventory by $35 million during the first three quarters of 2025 and $28 million during the first three quarters of 2024.</w:t>
      </w:r>
    </w:p>
    <w:p>
      <w:pPr>
        <w:spacing w:after="0" w:line="50"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In addition to the above, at September 30, 2025 and December 31, 2024, we had $398 million and $271 million, respectively, of completed vacation ownership units which are classified as a component of Property and equipment, net until the time at which they are available and legally registered for sale as vacation ownership products.</w:t>
      </w:r>
    </w:p>
    <w:p>
      <w:pPr>
        <w:spacing w:after="0" w:line="50"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6"/>
          <w:szCs w:val="16"/>
          <w:color w:val="auto"/>
        </w:rPr>
        <w:t>During the third quarter of 2025, we recorded a non-cash impairment charge of $31 million related to completed vacation ownership units and land, which were classified as a component of Property and equipment, net. We estimated the fair value less cost to sell using the market approach, based primarily on Level 3 inputs, including a non-binding offer from a third party.</w:t>
      </w:r>
    </w:p>
    <w:p>
      <w:pPr>
        <w:spacing w:after="0" w:line="6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6"/>
          <w:szCs w:val="16"/>
          <w:color w:val="auto"/>
        </w:rPr>
        <w:t>We also had deposits on future purchases of inventory of $35 million at September 30, 2025, of which $30 million was included in Other assets and $5 million was included in Accounts and contracts receivable, net on our Balance Sheet, and $33 million at December 31, 2024, of which $29 million was included in Other assets and $4 million was included in Accounts and contracts receivable, net on our Balance Sheet.</w:t>
      </w:r>
    </w:p>
    <w:p>
      <w:pPr>
        <w:spacing w:after="0" w:line="167" w:lineRule="exact"/>
        <w:rPr>
          <w:sz w:val="20"/>
          <w:szCs w:val="20"/>
          <w:color w:val="auto"/>
        </w:rPr>
      </w:pPr>
    </w:p>
    <w:p>
      <w:pPr>
        <w:ind w:right="7800" w:firstLine="10"/>
        <w:spacing w:after="0" w:line="380" w:lineRule="auto"/>
        <w:tabs>
          <w:tab w:leader="none" w:pos="430"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CONTINGENCIES AND COMMITMENTS </w:t>
      </w:r>
      <w:r>
        <w:rPr>
          <w:rFonts w:ascii="Times New Roman" w:cs="Times New Roman" w:eastAsia="Times New Roman" w:hAnsi="Times New Roman"/>
          <w:sz w:val="15"/>
          <w:szCs w:val="15"/>
          <w:b w:val="1"/>
          <w:bCs w:val="1"/>
          <w:i w:val="1"/>
          <w:iCs w:val="1"/>
          <w:color w:val="auto"/>
        </w:rPr>
        <w:t>Commitments and Letters of Credit</w:t>
      </w:r>
    </w:p>
    <w:p>
      <w:pPr>
        <w:spacing w:after="0"/>
        <w:rPr>
          <w:sz w:val="20"/>
          <w:szCs w:val="20"/>
          <w:color w:val="auto"/>
        </w:rPr>
      </w:pPr>
      <w:r>
        <w:rPr>
          <w:rFonts w:ascii="Times New Roman" w:cs="Times New Roman" w:eastAsia="Times New Roman" w:hAnsi="Times New Roman"/>
          <w:sz w:val="16"/>
          <w:szCs w:val="16"/>
          <w:color w:val="auto"/>
        </w:rPr>
        <w:t>As of September 30, 2025, we had the following commitments outstanding:</w:t>
      </w:r>
    </w:p>
    <w:p>
      <w:pPr>
        <w:spacing w:after="0" w:line="100" w:lineRule="exact"/>
        <w:rPr>
          <w:sz w:val="20"/>
          <w:szCs w:val="20"/>
          <w:color w:val="auto"/>
        </w:rPr>
      </w:pPr>
    </w:p>
    <w:p>
      <w:pPr>
        <w:ind w:left="340" w:right="240" w:hanging="274"/>
        <w:spacing w:after="0" w:line="261" w:lineRule="auto"/>
        <w:tabs>
          <w:tab w:leader="none" w:pos="33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various agreements for cloud computing and outsourcing of development, maintenance and support related to information technology that we use in the normal course of business. We expect aggregate obligations under these contracts of $145 million, of which we expect $48 million, $49 million, $25 million, $10 million, $5 million and $8 million will be paid in the remainder of 2025, 2026, 2027, 2028, 2029, and thereafter, respectively.</w:t>
      </w:r>
    </w:p>
    <w:p>
      <w:pPr>
        <w:spacing w:after="0" w:line="62" w:lineRule="exact"/>
        <w:rPr>
          <w:rFonts w:ascii="Times New Roman" w:cs="Times New Roman" w:eastAsia="Times New Roman" w:hAnsi="Times New Roman"/>
          <w:sz w:val="16"/>
          <w:szCs w:val="16"/>
          <w:color w:val="auto"/>
        </w:rPr>
      </w:pPr>
    </w:p>
    <w:p>
      <w:pPr>
        <w:ind w:left="340" w:hanging="274"/>
        <w:spacing w:after="0" w:line="276" w:lineRule="auto"/>
        <w:tabs>
          <w:tab w:leader="none" w:pos="33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remaining commitments of $28 million to purchase vacation ownership units located in Bali, Indonesia in two separate transactions, contingent upon completion of construction to agreed-upon standards within specified timeframes, for use in our Vacation Ownership segment.</w:t>
      </w:r>
    </w:p>
    <w:p>
      <w:pPr>
        <w:spacing w:after="0" w:line="50" w:lineRule="exact"/>
        <w:rPr>
          <w:rFonts w:ascii="Times New Roman" w:cs="Times New Roman" w:eastAsia="Times New Roman" w:hAnsi="Times New Roman"/>
          <w:sz w:val="16"/>
          <w:szCs w:val="16"/>
          <w:color w:val="auto"/>
        </w:rPr>
      </w:pPr>
    </w:p>
    <w:p>
      <w:pPr>
        <w:ind w:left="640" w:right="120" w:hanging="290"/>
        <w:spacing w:after="0" w:line="276" w:lineRule="auto"/>
        <w:tabs>
          <w:tab w:leader="none" w:pos="636"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complete the acquisition of 32 vacation ownership units in 2027 pursuant to one of these commitments, and to make remaining payments with respect to these units when specific construction milestones are completed as follows: $10 million in 2026 and $1 million in 2027.</w:t>
      </w:r>
    </w:p>
    <w:p>
      <w:pPr>
        <w:spacing w:after="0" w:line="50" w:lineRule="exact"/>
        <w:rPr>
          <w:rFonts w:ascii="Times New Roman" w:cs="Times New Roman" w:eastAsia="Times New Roman" w:hAnsi="Times New Roman"/>
          <w:sz w:val="16"/>
          <w:szCs w:val="16"/>
          <w:color w:val="auto"/>
        </w:rPr>
      </w:pPr>
    </w:p>
    <w:p>
      <w:pPr>
        <w:ind w:left="640" w:right="20" w:hanging="290"/>
        <w:spacing w:after="0" w:line="276" w:lineRule="auto"/>
        <w:tabs>
          <w:tab w:leader="none" w:pos="636"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complete the acquisition of 26 vacation ownership units in 2027 pursuant to the other commitment, and to make remaining payments with respect to these units when specific construction milestones are completed as follows: $2 million in 2025, $14 million in 2026, and $1 million in 2027.</w:t>
      </w:r>
    </w:p>
    <w:p>
      <w:pPr>
        <w:spacing w:after="0" w:line="200" w:lineRule="exact"/>
        <w:rPr>
          <w:sz w:val="20"/>
          <w:szCs w:val="20"/>
          <w:color w:val="auto"/>
        </w:rPr>
      </w:pPr>
    </w:p>
    <w:p>
      <w:pPr>
        <w:spacing w:after="0" w:line="31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hanging="274"/>
        <w:spacing w:after="0" w:line="256" w:lineRule="auto"/>
        <w:tabs>
          <w:tab w:leader="none" w:pos="33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remaining commitment of $37 million to purchase 60 vacation ownership units located in Khao Lak, Thailand, contingent upon completion of construction to agreed-upon standards within specified timeframes, for use in our Vacation Ownership segment. We expect to complete the acquisition of these vacation ownership units in 2027, and we expect to make remaining payments with respect to these units when specific construction milestones are completed as follows: $35 million in 2026, and $2 million in 2027.</w:t>
      </w:r>
    </w:p>
    <w:p>
      <w:pPr>
        <w:spacing w:after="0" w:line="67" w:lineRule="exact"/>
        <w:rPr>
          <w:rFonts w:ascii="Times New Roman" w:cs="Times New Roman" w:eastAsia="Times New Roman" w:hAnsi="Times New Roman"/>
          <w:sz w:val="16"/>
          <w:szCs w:val="16"/>
          <w:color w:val="auto"/>
        </w:rPr>
      </w:pPr>
    </w:p>
    <w:p>
      <w:pPr>
        <w:ind w:left="340" w:right="20" w:hanging="274"/>
        <w:spacing w:after="0" w:line="261" w:lineRule="auto"/>
        <w:tabs>
          <w:tab w:leader="none" w:pos="33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commitment to purchase property and vacation ownership units located in Nashville, Tennessee, contingent upon completion of construction to agreed-upon standards within specified timeframes, for use in our Vacation Ownership segment. We expect to complete the acquisition of 168 vacation ownership units in 2027, and we expect to make payments when specific construction milestones are completed of $122 million in 2027.</w:t>
      </w:r>
    </w:p>
    <w:p>
      <w:pPr>
        <w:spacing w:after="0" w:line="110" w:lineRule="exact"/>
        <w:rPr>
          <w:rFonts w:ascii="Times New Roman" w:cs="Times New Roman" w:eastAsia="Times New Roman" w:hAnsi="Times New Roman"/>
          <w:sz w:val="16"/>
          <w:szCs w:val="16"/>
          <w:color w:val="auto"/>
        </w:rPr>
      </w:pPr>
    </w:p>
    <w:p>
      <w:pPr>
        <w:ind w:left="340" w:right="380" w:hanging="274"/>
        <w:spacing w:after="0" w:line="261" w:lineRule="auto"/>
        <w:tabs>
          <w:tab w:leader="none" w:pos="33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commitment to acquire real estate in Waikiki, Hawaii for use in our Vacation Ownership segment via our involvement with a VIE. Refer to Footnote 3 “Acquisitions” for information about purchases that occurred during the first three quarters of 2025 and 2024 pursuant to this commitment and Footnote 15 “Variable Interest Entities” for additional information about this commitment and our activities relating to the VIE involved in this commitment.</w:t>
      </w:r>
    </w:p>
    <w:p>
      <w:pPr>
        <w:spacing w:after="0" w:line="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As of September 30, 2025, we had $14 million of letters of credit outstanding under our Revolving Corporate Credit Facility (as defined in Footnote 12 “Debt”), of which $13 million were related to and in lieu of reserves required for certain of our outstanding securitization transactions. In addition, as of September 30, 2025, we had $9 million in letters of credit outstanding that were related to and in lieu of reserves required for a certain other outstanding securitization transaction, which were not issued pursuant to, nor do they impact our borrowing capacity under, the Revolving Corporate Credit Facility.</w:t>
      </w:r>
    </w:p>
    <w:p>
      <w:pPr>
        <w:spacing w:after="0" w:line="67" w:lineRule="exact"/>
        <w:rPr>
          <w:sz w:val="20"/>
          <w:szCs w:val="20"/>
          <w:color w:val="auto"/>
        </w:rPr>
      </w:pPr>
    </w:p>
    <w:p>
      <w:pPr>
        <w:ind w:right="640"/>
        <w:spacing w:after="0" w:line="276" w:lineRule="auto"/>
        <w:rPr>
          <w:sz w:val="20"/>
          <w:szCs w:val="20"/>
          <w:color w:val="auto"/>
        </w:rPr>
      </w:pPr>
      <w:r>
        <w:rPr>
          <w:rFonts w:ascii="Times New Roman" w:cs="Times New Roman" w:eastAsia="Times New Roman" w:hAnsi="Times New Roman"/>
          <w:sz w:val="16"/>
          <w:szCs w:val="16"/>
          <w:color w:val="auto"/>
        </w:rPr>
        <w:t>Surety bonds issued as of September 30, 2025 totaled $122 million, the majority of which were requested by federal, state or local governments in connection with our operations.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Guarantees</w:t>
      </w:r>
    </w:p>
    <w:p>
      <w:pPr>
        <w:spacing w:after="0" w:line="10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September 30, 2025, our expected commitment for the remainder of 2025 is $6 million, which will ultimately be recorded as a component of rental expense on our income statement.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Contingencies</w:t>
      </w:r>
    </w:p>
    <w:p>
      <w:pPr>
        <w:spacing w:after="0" w:line="10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In the ordinary course of our business, various claims and lawsuits have been filed or are pending against us. A number of these lawsuits and claims may exist at any given time.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We have accrued for certain pending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pacing w:after="0" w:line="200" w:lineRule="exact"/>
        <w:rPr>
          <w:sz w:val="20"/>
          <w:szCs w:val="20"/>
          <w:color w:val="auto"/>
        </w:rPr>
      </w:pPr>
    </w:p>
    <w:p>
      <w:pPr>
        <w:spacing w:after="0" w:line="33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hanging="410"/>
        <w:spacing w:after="0"/>
        <w:tabs>
          <w:tab w:leader="none" w:pos="42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SECURITIZED DEBT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detail on our securitized debt, net of unamortized debt discount and issuance costs.</w:t>
      </w:r>
    </w:p>
    <w:p>
      <w:pPr>
        <w:spacing w:after="0" w:line="173"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120" w:type="dxa"/>
            <w:vAlign w:val="bottom"/>
          </w:tcPr>
          <w:p>
            <w:pPr>
              <w:spacing w:after="0"/>
              <w:rPr>
                <w:sz w:val="16"/>
                <w:szCs w:val="16"/>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 notes receivable securitizations, gross</w:t>
            </w:r>
            <w:r>
              <w:rPr>
                <w:rFonts w:ascii="Times New Roman" w:cs="Times New Roman" w:eastAsia="Times New Roman" w:hAnsi="Times New Roman"/>
                <w:sz w:val="9"/>
                <w:szCs w:val="9"/>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2,039</w:t>
            </w:r>
          </w:p>
        </w:tc>
      </w:tr>
      <w:tr>
        <w:trPr>
          <w:trHeight w:val="225"/>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5"/>
        </w:trPr>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2,014</w:t>
            </w: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25"/>
        </w:trPr>
        <w:tc>
          <w:tcPr>
            <w:tcW w:w="43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Warehouse Credit Facility, gross</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w:t>
            </w:r>
          </w:p>
        </w:tc>
      </w:tr>
      <w:tr>
        <w:trPr>
          <w:trHeight w:val="225"/>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w:t>
            </w:r>
          </w:p>
        </w:tc>
      </w:tr>
      <w:tr>
        <w:trPr>
          <w:trHeight w:val="142"/>
        </w:trPr>
        <w:tc>
          <w:tcPr>
            <w:tcW w:w="4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r>
      <w:tr>
        <w:trPr>
          <w:trHeight w:val="218"/>
        </w:trPr>
        <w:tc>
          <w:tcPr>
            <w:tcW w:w="4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2,136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080" w:hanging="276"/>
        <w:spacing w:after="0"/>
        <w:tabs>
          <w:tab w:leader="none" w:pos="20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rates as of September 30, 2025 range from 1.5% to 6.6%, with a weighted average interest rate of 4.8%.</w:t>
      </w:r>
    </w:p>
    <w:p>
      <w:pPr>
        <w:spacing w:after="0" w:line="59" w:lineRule="exact"/>
        <w:rPr>
          <w:rFonts w:ascii="Times New Roman" w:cs="Times New Roman" w:eastAsia="Times New Roman" w:hAnsi="Times New Roman"/>
          <w:sz w:val="21"/>
          <w:szCs w:val="21"/>
          <w:color w:val="auto"/>
          <w:vertAlign w:val="superscript"/>
        </w:rPr>
      </w:pPr>
    </w:p>
    <w:p>
      <w:pPr>
        <w:ind w:left="2080" w:hanging="276"/>
        <w:spacing w:after="0" w:line="211" w:lineRule="auto"/>
        <w:tabs>
          <w:tab w:leader="none" w:pos="208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interest rate as of September 30, 2025 was 5.5%.</w:t>
      </w:r>
    </w:p>
    <w:p>
      <w:pPr>
        <w:spacing w:after="0" w:line="18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All of our securitized debt is non-recourse. See Footnote 15 “Variable Interest Entities” for a discussion of the collateral for the non-recourse debt associated with our securitized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anticipated future principal payments for our securitized debt as of September 30, 2025.</w:t>
      </w:r>
    </w:p>
    <w:p>
      <w:pPr>
        <w:spacing w:after="0" w:line="74"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Warehouse Credit</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4"/>
                <w:szCs w:val="14"/>
                <w:b w:val="1"/>
                <w:bCs w:val="1"/>
                <w:color w:val="auto"/>
                <w:w w:val="94"/>
              </w:rPr>
              <w:t>Facility</w:t>
            </w:r>
            <w:r>
              <w:rPr>
                <w:rFonts w:ascii="Times New Roman" w:cs="Times New Roman" w:eastAsia="Times New Roman" w:hAnsi="Times New Roman"/>
                <w:sz w:val="18"/>
                <w:szCs w:val="18"/>
                <w:b w:val="1"/>
                <w:bCs w:val="1"/>
                <w:color w:val="auto"/>
                <w:w w:val="94"/>
                <w:vertAlign w:val="superscript"/>
              </w:rPr>
              <w:t>(1)</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Payment Year</w:t>
            </w: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2025, remaining</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25"/>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25"/>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1,146</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2,132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2080" w:hanging="270"/>
        <w:spacing w:after="0"/>
        <w:tabs>
          <w:tab w:leader="none" w:pos="208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future Warehouse Credit Facility renewals or refinancing through ABS transactions.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 Securitizations</w:t>
      </w:r>
    </w:p>
    <w:p>
      <w:pPr>
        <w:spacing w:after="0" w:line="104"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third quarter of 2025, and as of September 30, 2025, we had 11 securitized vacation ownership notes receivable pools outstanding, none of which were out of compliance with their respective established parameters.</w:t>
      </w:r>
    </w:p>
    <w:p>
      <w:pPr>
        <w:spacing w:after="0" w:line="72"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5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auto"/>
        </w:rPr>
        <w:t>During the second quarter of 2025, we securitized a pool of $459 million of vacation ownership notes receivable. In connection with the securitization, $450 million in vacation ownership loan backed notes were issued by MVW 2025-1 LLC (the “2025-1 LLC”) in a private placement. Three classes of vacation ownership loan backed notes were issued by the 2025-1 LLC: $277 million of Class A Notes, $93 million of Class B Notes, and $80 million of Class C Notes. The Class A Notes have an interest rate of 4.97%, the Class B Notes have an interest rate of 5.21%, and the Class C Notes have an interest rate of 5.75%, for an overall weighted average interest rate of 5.16%. Proceeds from the transaction, net of fees, were used to repay the outstanding obligations on our warehouse credit facility (as defined below) and for other general corporate purposes.</w:t>
      </w:r>
    </w:p>
    <w:p>
      <w:pPr>
        <w:spacing w:after="0" w:line="200" w:lineRule="exact"/>
        <w:rPr>
          <w:sz w:val="20"/>
          <w:szCs w:val="20"/>
          <w:color w:val="auto"/>
        </w:rPr>
      </w:pPr>
    </w:p>
    <w:p>
      <w:pPr>
        <w:spacing w:after="0" w:line="31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Warehouse Credit Facility</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Our warehouse credit facility (the “Warehouse Credit Facility”), which has a borrowing capacity of $500 million, allows for the securitization of vacation ownership notes receivable on a revolving non-recourse basis. During the second quarter of 2025, we amended certain agreements associated with our Warehouse Credit Facility (the “Warehouse Amendment”). The Warehouse Amendment extended the revolving period of the Warehouse Credit Facility from June 11, 2026 to June 11, 2027, and changed the credit spread from 115 basis points over the Secured Overnight Financing Rate (“SOFR”) to 110 basis points over SOFR. The Warehouse Amendment made no other material changes to the Warehouse Credit Facility.</w:t>
      </w:r>
    </w:p>
    <w:p>
      <w:pPr>
        <w:spacing w:after="0" w:line="232" w:lineRule="exact"/>
        <w:rPr>
          <w:sz w:val="20"/>
          <w:szCs w:val="20"/>
          <w:color w:val="auto"/>
        </w:rPr>
      </w:pPr>
    </w:p>
    <w:p>
      <w:pPr>
        <w:ind w:left="420" w:hanging="410"/>
        <w:spacing w:after="0"/>
        <w:tabs>
          <w:tab w:leader="none" w:pos="420"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detail on our debt balances, net of unamortized debt discount and issuance costs.</w:t>
      </w:r>
    </w:p>
    <w:p>
      <w:pPr>
        <w:spacing w:after="0" w:line="173"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80" w:type="dxa"/>
            <w:vAlign w:val="bottom"/>
          </w:tcPr>
          <w:p>
            <w:pPr>
              <w:spacing w:after="0"/>
              <w:rPr>
                <w:sz w:val="16"/>
                <w:szCs w:val="16"/>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Corporate Credit Facility</w:t>
            </w:r>
          </w:p>
        </w:tc>
        <w:tc>
          <w:tcPr>
            <w:tcW w:w="6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5"/>
        </w:trPr>
        <w:tc>
          <w:tcPr>
            <w:tcW w:w="4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Term Loan</w:t>
            </w:r>
            <w:r>
              <w:rPr>
                <w:rFonts w:ascii="Times New Roman" w:cs="Times New Roman" w:eastAsia="Times New Roman" w:hAnsi="Times New Roman"/>
                <w:sz w:val="9"/>
                <w:szCs w:val="9"/>
                <w:color w:val="auto"/>
              </w:rPr>
              <w:t>(1)</w:t>
            </w:r>
          </w:p>
        </w:tc>
        <w:tc>
          <w:tcPr>
            <w:tcW w:w="600" w:type="dxa"/>
            <w:vAlign w:val="bottom"/>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796</w:t>
            </w:r>
          </w:p>
        </w:tc>
      </w:tr>
      <w:tr>
        <w:trPr>
          <w:trHeight w:val="225"/>
        </w:trPr>
        <w:tc>
          <w:tcPr>
            <w:tcW w:w="4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5"/>
        </w:trPr>
        <w:tc>
          <w:tcPr>
            <w:tcW w:w="4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786</w:t>
            </w:r>
          </w:p>
        </w:tc>
      </w:tr>
      <w:tr>
        <w:trPr>
          <w:trHeight w:val="189"/>
        </w:trPr>
        <w:tc>
          <w:tcPr>
            <w:tcW w:w="4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5"/>
        </w:trPr>
        <w:tc>
          <w:tcPr>
            <w:tcW w:w="4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Revolving Corporate Credit Facility</w:t>
            </w:r>
            <w:r>
              <w:rPr>
                <w:rFonts w:ascii="Times New Roman" w:cs="Times New Roman" w:eastAsia="Times New Roman" w:hAnsi="Times New Roman"/>
                <w:sz w:val="9"/>
                <w:szCs w:val="9"/>
                <w:color w:val="auto"/>
              </w:rPr>
              <w:t>(2)</w:t>
            </w:r>
          </w:p>
        </w:tc>
        <w:tc>
          <w:tcPr>
            <w:tcW w:w="6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w:t>
            </w:r>
          </w:p>
        </w:tc>
      </w:tr>
      <w:tr>
        <w:trPr>
          <w:trHeight w:val="225"/>
        </w:trPr>
        <w:tc>
          <w:tcPr>
            <w:tcW w:w="4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4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r>
      <w:tr>
        <w:trPr>
          <w:trHeight w:val="22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Senior Unsecured Notes</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2028 Notes</w:t>
            </w:r>
          </w:p>
        </w:tc>
        <w:tc>
          <w:tcPr>
            <w:tcW w:w="6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w:t>
            </w:r>
          </w:p>
        </w:tc>
      </w:tr>
      <w:tr>
        <w:trPr>
          <w:trHeight w:val="225"/>
        </w:trPr>
        <w:tc>
          <w:tcPr>
            <w:tcW w:w="4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4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348</w:t>
            </w:r>
          </w:p>
        </w:tc>
      </w:tr>
      <w:tr>
        <w:trPr>
          <w:trHeight w:val="237"/>
        </w:trPr>
        <w:tc>
          <w:tcPr>
            <w:tcW w:w="4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5"/>
        </w:trPr>
        <w:tc>
          <w:tcPr>
            <w:tcW w:w="4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2029 Notes</w:t>
            </w:r>
          </w:p>
        </w:tc>
        <w:tc>
          <w:tcPr>
            <w:tcW w:w="6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r>
      <w:tr>
        <w:trPr>
          <w:trHeight w:val="225"/>
        </w:trPr>
        <w:tc>
          <w:tcPr>
            <w:tcW w:w="4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5"/>
        </w:trPr>
        <w:tc>
          <w:tcPr>
            <w:tcW w:w="4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496</w:t>
            </w:r>
          </w:p>
        </w:tc>
      </w:tr>
      <w:tr>
        <w:trPr>
          <w:trHeight w:val="237"/>
        </w:trPr>
        <w:tc>
          <w:tcPr>
            <w:tcW w:w="4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5"/>
        </w:trPr>
        <w:tc>
          <w:tcPr>
            <w:tcW w:w="4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2033 Notes</w:t>
            </w:r>
          </w:p>
        </w:tc>
        <w:tc>
          <w:tcPr>
            <w:tcW w:w="6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4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Convertible Notes</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2026 Convertible Notes</w:t>
            </w:r>
          </w:p>
        </w:tc>
        <w:tc>
          <w:tcPr>
            <w:tcW w:w="6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r>
      <w:tr>
        <w:trPr>
          <w:trHeight w:val="225"/>
        </w:trPr>
        <w:tc>
          <w:tcPr>
            <w:tcW w:w="4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4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572</w:t>
            </w:r>
          </w:p>
        </w:tc>
      </w:tr>
      <w:tr>
        <w:trPr>
          <w:trHeight w:val="189"/>
        </w:trPr>
        <w:tc>
          <w:tcPr>
            <w:tcW w:w="4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5"/>
        </w:trPr>
        <w:tc>
          <w:tcPr>
            <w:tcW w:w="4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2027 Convertible Notes</w:t>
            </w:r>
          </w:p>
        </w:tc>
        <w:tc>
          <w:tcPr>
            <w:tcW w:w="6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r>
      <w:tr>
        <w:trPr>
          <w:trHeight w:val="225"/>
        </w:trPr>
        <w:tc>
          <w:tcPr>
            <w:tcW w:w="4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5"/>
        </w:trPr>
        <w:tc>
          <w:tcPr>
            <w:tcW w:w="4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566</w:t>
            </w:r>
          </w:p>
        </w:tc>
      </w:tr>
      <w:tr>
        <w:trPr>
          <w:trHeight w:val="189"/>
        </w:trPr>
        <w:tc>
          <w:tcPr>
            <w:tcW w:w="4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5"/>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199</w:t>
            </w:r>
          </w:p>
        </w:tc>
      </w:tr>
      <w:tr>
        <w:trPr>
          <w:trHeight w:val="218"/>
        </w:trPr>
        <w:tc>
          <w:tcPr>
            <w:tcW w:w="45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3,089</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2080" w:hanging="276"/>
        <w:spacing w:after="0"/>
        <w:tabs>
          <w:tab w:leader="none" w:pos="208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effective interest rate as of September 30, 2025 was 6.4%.</w:t>
      </w:r>
    </w:p>
    <w:p>
      <w:pPr>
        <w:spacing w:after="0" w:line="113" w:lineRule="exact"/>
        <w:rPr>
          <w:rFonts w:ascii="Times New Roman" w:cs="Times New Roman" w:eastAsia="Times New Roman" w:hAnsi="Times New Roman"/>
          <w:sz w:val="21"/>
          <w:szCs w:val="21"/>
          <w:color w:val="auto"/>
          <w:vertAlign w:val="superscript"/>
        </w:rPr>
      </w:pPr>
    </w:p>
    <w:p>
      <w:pPr>
        <w:ind w:left="2080" w:right="1940" w:hanging="276"/>
        <w:spacing w:after="0" w:line="230" w:lineRule="auto"/>
        <w:tabs>
          <w:tab w:leader="none" w:pos="2069"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$5 million of unamortized debt issuance costs classified as a component of Other Assets on our Balance Sheet as of September 30, 2025, as no cash borrowings were outstanding under the Revolving Corporate Credit facility at that time.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218"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scheduled principal payments for our debt, excluding finance leases, as of September 30, 2025.</w:t>
      </w:r>
    </w:p>
    <w:p>
      <w:pPr>
        <w:spacing w:after="0" w:line="90" w:lineRule="exact"/>
        <w:rPr>
          <w:sz w:val="20"/>
          <w:szCs w:val="20"/>
          <w:color w:val="auto"/>
        </w:rPr>
      </w:pPr>
    </w:p>
    <w:tbl>
      <w:tblPr>
        <w:tblLayout w:type="fixed"/>
        <w:tblInd w:w="1840" w:type="dxa"/>
        <w:tblCellMar>
          <w:top w:w="0" w:type="dxa"/>
          <w:left w:w="0" w:type="dxa"/>
          <w:bottom w:w="0" w:type="dxa"/>
          <w:right w:w="0" w:type="dxa"/>
        </w:tblCellMar>
      </w:tblPr>
      <w:tr>
        <w:trPr>
          <w:trHeight w:val="189"/>
        </w:trPr>
        <w:tc>
          <w:tcPr>
            <w:tcW w:w="1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Payments Year</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440" w:type="dxa"/>
            <w:vAlign w:val="bottom"/>
          </w:tcPr>
          <w:p>
            <w:pPr>
              <w:spacing w:after="0"/>
              <w:rPr>
                <w:sz w:val="11"/>
                <w:szCs w:val="11"/>
                <w:color w:val="auto"/>
              </w:rPr>
            </w:pPr>
          </w:p>
        </w:tc>
        <w:tc>
          <w:tcPr>
            <w:tcW w:w="94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1"/>
                <w:szCs w:val="11"/>
                <w:color w:val="auto"/>
              </w:rPr>
            </w:pPr>
          </w:p>
        </w:tc>
        <w:tc>
          <w:tcPr>
            <w:tcW w:w="5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9"/>
              </w:rPr>
              <w:t>Thereafter</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225"/>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25"/>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25"/>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2033 Notes</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161"/>
        </w:trPr>
        <w:tc>
          <w:tcPr>
            <w:tcW w:w="14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2026 Convertible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161"/>
        </w:trPr>
        <w:tc>
          <w:tcPr>
            <w:tcW w:w="14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2027 Convertible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8"/>
        </w:trPr>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3,365</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Credit Facility</w:t>
      </w:r>
    </w:p>
    <w:p>
      <w:pPr>
        <w:spacing w:after="0" w:line="104"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6"/>
          <w:szCs w:val="16"/>
          <w:color w:val="auto"/>
        </w:rPr>
        <w:t>Our corporate credit facility (the “Corporate Credit Facility”) provides support for our business, including ongoing liquidity and letters of credit, and consists of a term loan facility (the “Term Loan”), and a revolving credit facility (the “Revolving Corporate Credit Facility”), which includes a letter of credit sub-facility.</w:t>
      </w:r>
    </w:p>
    <w:p>
      <w:pPr>
        <w:spacing w:after="0" w:line="5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6"/>
          <w:szCs w:val="16"/>
          <w:color w:val="auto"/>
        </w:rPr>
        <w:t>During the first quarter of 2025, we entered into an amendment to the Corporate Credit Facility (the “Amendment), which, among other things: increased the borrowing capacity on our Revolving Corporate Credit Facility from $750 million to $800 million; extended the termination date from March 31, 2027 to March 24, 2030; and reduced certain fees and interest costs. The Amendment also increased the letter of credit sub-facility of the Revolving Corporate Credit Facility from $75 million to $150 million.</w:t>
      </w:r>
    </w:p>
    <w:p>
      <w:pPr>
        <w:spacing w:after="0" w:line="6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Additionally, the Amendment provided for a new $450 million senior secured delayed-draw term loan facility (the “Delayed-Draw Term Loan”) scheduled to mature on December 31, 2027, which was subsequently terminated in the third quarter of 2025 in connection with the issuance of the 2033 Notes (as defined and discussed below). We did not draw on the Delayed-Draw Term Loan at any time.</w:t>
      </w:r>
    </w:p>
    <w:p>
      <w:pPr>
        <w:spacing w:after="0" w:line="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During the second quarter of 2025, we entered into a $300 million interest rate swap pursuant to which we pay interest at a fixed rate of 3.344% and receive interest at a floating rate (SOFR) through May 2027 to hedge a portion of our interest rate risk on the Term Loan. This interest rate swap has been designated and qualifies as a cash flow hedge of interest rate risk and is recorded in Other Assets on our Balance Sheets as of September 30, 2025. We characterize payments we make or receive in connection with this derivative instrument as interest expense and a reclassification of accumulated other comprehensive income or loss for presentation purposes.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reflects the activity in accumulated other comprehensive income or loss related to our derivative instruments during the first three quarters of 2025 and 2024.</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reclassifications to the Income Statement for any of the periods presented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6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 adjustment balance, January 1</w:t>
            </w: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6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 adjustment balance, March 31</w:t>
            </w: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3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comprehensive gain (loss) before reclassifications</w:t>
            </w:r>
          </w:p>
        </w:tc>
        <w:tc>
          <w:tcPr>
            <w:tcW w:w="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8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 adjustment balance, June 30</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gridSpan w:val="2"/>
          </w:tcPr>
          <w:p>
            <w:pPr>
              <w:jc w:val="right"/>
              <w:ind w:right="1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instrument adjustment balance, September 30</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senior notes include:</w:t>
      </w:r>
    </w:p>
    <w:p>
      <w:pPr>
        <w:spacing w:after="0" w:line="53" w:lineRule="exact"/>
        <w:rPr>
          <w:sz w:val="20"/>
          <w:szCs w:val="20"/>
          <w:color w:val="auto"/>
        </w:rPr>
      </w:pPr>
    </w:p>
    <w:p>
      <w:pPr>
        <w:ind w:left="560" w:right="60" w:hanging="281"/>
        <w:spacing w:after="0" w:line="276"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$350 million aggregate principal amount of 4.750% Senior Unsecured Notes due 2028 issued in the fourth quarter of 2019 with a maturity date of January 15, 2028 (the “2028 Notes”).</w:t>
      </w:r>
    </w:p>
    <w:p>
      <w:pPr>
        <w:spacing w:after="0" w:line="3" w:lineRule="exact"/>
        <w:rPr>
          <w:rFonts w:ascii="Times New Roman" w:cs="Times New Roman" w:eastAsia="Times New Roman" w:hAnsi="Times New Roman"/>
          <w:sz w:val="16"/>
          <w:szCs w:val="16"/>
          <w:color w:val="auto"/>
        </w:rPr>
      </w:pPr>
    </w:p>
    <w:p>
      <w:pPr>
        <w:ind w:left="560" w:right="220" w:hanging="281"/>
        <w:spacing w:after="0" w:line="276"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 million aggregate principal amount of 4.500% Senior Unsecured Notes due 2029 issued in the second quarter of 2021 with a maturity date of June 15, 2029 (the “2029 Notes”).</w:t>
      </w:r>
    </w:p>
    <w:p>
      <w:pPr>
        <w:spacing w:after="0" w:line="3" w:lineRule="exact"/>
        <w:rPr>
          <w:rFonts w:ascii="Times New Roman" w:cs="Times New Roman" w:eastAsia="Times New Roman" w:hAnsi="Times New Roman"/>
          <w:sz w:val="16"/>
          <w:szCs w:val="16"/>
          <w:color w:val="auto"/>
        </w:rPr>
      </w:pPr>
    </w:p>
    <w:p>
      <w:pPr>
        <w:ind w:left="560" w:right="220" w:hanging="281"/>
        <w:spacing w:after="0" w:line="276"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$575 million aggregate principal amount of 6.500% Senior Unsecured Notes due 2033 issued in the third quarter of 2025 with a maturity date of October 1, 2033 (the “2033 Notes”).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Issuance of Senior Unsecured Notes</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2033 Notes were issued under an indenture dated September 18, 2025 with The Bank of New York Mellon Trust Company, N.A., as trustee. We received net proceeds of $567 million from the offering, after deducting the underwriting fees and transaction expenses. We intend to use these net proceeds to repay our 2026 Convertible Notes (as defined below). We will pay interest on the 2033 Notes on April 1 and October 1 of each year, commencing on April 1, 2026. We may redeem some or all of the 2033 Notes prior to maturity under the terms provided in the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2026 Convertible Notes</w:t>
      </w:r>
    </w:p>
    <w:p>
      <w:pPr>
        <w:spacing w:after="0" w:line="104"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6"/>
          <w:szCs w:val="16"/>
          <w:color w:val="auto"/>
        </w:rPr>
        <w:t>During 2021, we issued $575 million aggregate principal amount of convertible senior notes (the “2026 Convertible Notes”) that bear interest at a rate of 0.00%. The 2026 Convertible Notes mature on January 15, 2026, unless earlier repurchased or converted in accordance with their terms prior to that date.</w:t>
      </w:r>
    </w:p>
    <w:p>
      <w:pPr>
        <w:spacing w:after="0" w:line="5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6"/>
          <w:szCs w:val="16"/>
          <w:color w:val="auto"/>
        </w:rPr>
        <w:t>The conversion rate of the 2026 Convertible Notes is subject to adjustment for certain events as described in the indenture governing the notes and was subject to adjustment as of September 30, 2025 to 6.5958 shares of common stock per $1,000 principal amount of 2026 Convertible Notes (equivalent to a conversion price of $151.61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September 30, 2025, the effective interest rate was 0.55%. Amortization of debt issuance costs related to the 2026 Convertible Notes was less than $1 million during each of the third quarters of 2025 and 2024, and $2 million during the first three quarters of 2025 and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2026 Convertible Note Hedges and Warrants</w:t>
      </w:r>
    </w:p>
    <w:p>
      <w:pPr>
        <w:spacing w:after="0" w:line="10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a total of 3.8 million shares of our common stock, and warrant transactions (the “2026 Warrants”), whereby we sold to the counterparties to the 2026 Convertible Note Hedges warrants to acquire 3.8 million shares of our common stock, in each case, as of September 30, 2025. The strike prices of the 2026 Convertible Note Hedges and the 2026 Warrants were subject to adjustment to $151.61 and $189.51, respectively, as of September 30, 2025, and no 2026 Convertible Note Hedges or 2026 Warrants have been exercised.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2027 Convertible Notes</w:t>
      </w:r>
    </w:p>
    <w:p>
      <w:pPr>
        <w:spacing w:after="0" w:line="104"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6"/>
          <w:szCs w:val="16"/>
          <w:color w:val="auto"/>
        </w:rPr>
        <w:t>During 2022, we issued $575 million aggregate principal amount of convertible senior notes (the “2027 Convertible Notes”) that bear interest at a rate of 3.25%. The 2027 Convertible Notes mature on December 15, 2027, unless earlier repurchased or converted in accordance with their terms prior to that date.</w:t>
      </w:r>
    </w:p>
    <w:p>
      <w:pPr>
        <w:spacing w:after="0" w:line="5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The conversion rate of the 2027 Convertible Notes is subject to adjustment for certain events as described in the indenture governing the notes and was subject to adjustment as of September 30, 2025 to 5.3026 shares of common stock per $1,000 principal amount of 2027 Convertible Notes (equivalent to a conversion price of $188.59 per share of our common stock), as a result of the dividends we declared since issuance of the 2027 Convertible Notes that were greater than the quarterly dividend we paid when the 2027 Convertible notes were issued. Upon conversion, we will pay or deliver, as the case may be, cash, shares of our common stock, or a combination of cash and shares of our common stock, at our election. As of September 30, 2025, the effective interest rate was 3.88%.</w:t>
      </w:r>
    </w:p>
    <w:p>
      <w:pPr>
        <w:spacing w:after="0" w:line="200" w:lineRule="exact"/>
        <w:rPr>
          <w:sz w:val="20"/>
          <w:szCs w:val="20"/>
          <w:color w:val="auto"/>
        </w:rPr>
      </w:pPr>
    </w:p>
    <w:p>
      <w:pPr>
        <w:spacing w:after="0" w:line="33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components of interest expense related to the 2027 Convertible Notes.</w:t>
      </w:r>
    </w:p>
    <w:p>
      <w:pPr>
        <w:spacing w:after="0" w:line="9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260" w:type="dxa"/>
            <w:vAlign w:val="bottom"/>
            <w:gridSpan w:val="4"/>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7"/>
        </w:trPr>
        <w:tc>
          <w:tcPr>
            <w:tcW w:w="2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44"/>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64"/>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8"/>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w:t>
            </w:r>
          </w:p>
        </w:tc>
      </w:tr>
      <w:tr>
        <w:trPr>
          <w:trHeight w:val="225"/>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r>
      <w:tr>
        <w:trPr>
          <w:trHeight w:val="218"/>
        </w:trPr>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2027 Convertible Note Hedges and Warrants</w:t>
      </w:r>
    </w:p>
    <w:p>
      <w:pPr>
        <w:spacing w:after="0" w:line="5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In connection with the offering of the 2027 Convertible Notes, we concurrently entered into the following privately-negotiated separate transactions: convertible note hedge transactions with respect to our common stock (the “2027 Convertible Note Hedges”), covering a total of 3.0 million shares of our common stock, and warrant transactions (the “2027 Warrants”), whereby we sold to the counterparties to the 2027 Convertible Note Hedges warrants to acquire 3.0 million shares of our common stock, in each case, as of September 30, 2025. The strike prices of the 2027 Convertible Note Hedges and the 2027 Warrants were subject to adjustment to $188.59 and $284.65, respectively, as of September 30, 2025, and no 2027 Convertible Note Hedges or 2027 Warrants have been exercised.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Security and Guarantees</w:t>
      </w:r>
    </w:p>
    <w:p>
      <w:pPr>
        <w:spacing w:after="0" w:line="1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entities), subject to certain exceptions. In addition, the Corporate Credit Facility, the 2026 Convertible Notes, the 2027 Convertible Notes, the 2028 Notes, the 2029 Notes, and the 2033 Notes are guaranteed by MVWC and certain of our direct and indirect, existing and future, domestic subsidiaries, excluding certain bankruptcy remote special purpose entities.</w:t>
      </w:r>
    </w:p>
    <w:p>
      <w:pPr>
        <w:spacing w:after="0" w:line="137" w:lineRule="exact"/>
        <w:rPr>
          <w:sz w:val="20"/>
          <w:szCs w:val="20"/>
          <w:color w:val="auto"/>
        </w:rPr>
      </w:pPr>
    </w:p>
    <w:p>
      <w:pPr>
        <w:ind w:left="420" w:hanging="410"/>
        <w:spacing w:after="0"/>
        <w:tabs>
          <w:tab w:leader="none" w:pos="42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STOCKHOLDERS’ EQUITY</w:t>
      </w:r>
    </w:p>
    <w:p>
      <w:pPr>
        <w:spacing w:after="0" w:line="13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Marriott Vacations Worldwide has 100,000,000 authorized shares of common stock, par value of $0.01 per share. At September 30, 2025, there were 75,891,531 shares of Marriott Vacations Worldwide common stock issued, of which 34,613,991 shares were outstanding and 41,277,540 shares were held as treasury stock. At December 31, 2024, there were 75,852,678 shares of Marriott Vacations Worldwide common stock issued, of which 34,877,925 shares were outstanding and 40,974,753 shares were held as treasury stock. Marriott Vacations Worldwide has 2,000,000 authorized shares of preferred stock, par value of $0.01 per share, none of which were issued or outstanding as of September 30, 2025 or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0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6"/>
          <w:szCs w:val="16"/>
          <w:color w:val="auto"/>
        </w:rPr>
        <w:t>From time to time, with the approval of our Board of Directors, we may undertake programs to purchase shares of our common stock (each, a “Share Repurchase Program”). As of September 30, 2025, approximately $347 million remained available for share repurchases under the current Share Repurchase Program, which authorizes share repurchases through December 31, 2025.</w:t>
      </w:r>
    </w:p>
    <w:p>
      <w:pPr>
        <w:spacing w:after="0" w:line="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share repurchase activity under our Share Repurchase Program:</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4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Cost Basis of Shares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88"/>
        </w:trPr>
        <w:tc>
          <w:tcPr>
            <w:tcW w:w="1800" w:type="dxa"/>
            <w:vAlign w:val="bottom"/>
          </w:tcPr>
          <w:p>
            <w:pPr>
              <w:spacing w:after="0"/>
              <w:rPr>
                <w:sz w:val="16"/>
                <w:szCs w:val="16"/>
                <w:color w:val="auto"/>
              </w:rPr>
            </w:pPr>
          </w:p>
        </w:tc>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 except per share amounts)</w:t>
            </w:r>
          </w:p>
        </w:tc>
        <w:tc>
          <w:tcPr>
            <w:tcW w:w="15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tcPr>
          <w:p>
            <w:pPr>
              <w:spacing w:after="0"/>
              <w:rPr>
                <w:sz w:val="16"/>
                <w:szCs w:val="16"/>
                <w:color w:val="auto"/>
              </w:rPr>
            </w:pPr>
          </w:p>
        </w:tc>
      </w:tr>
      <w:tr>
        <w:trPr>
          <w:trHeight w:val="206"/>
        </w:trPr>
        <w:tc>
          <w:tcPr>
            <w:tcW w:w="180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December 31, 2024</w:t>
            </w: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25,790,550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2,461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95.40</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2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For the first three quarters of 2025</w:t>
            </w:r>
          </w:p>
        </w:tc>
        <w:tc>
          <w:tcPr>
            <w:tcW w:w="1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496,484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36</w:t>
            </w:r>
          </w:p>
        </w:tc>
        <w:tc>
          <w:tcPr>
            <w:tcW w:w="34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6"/>
                <w:szCs w:val="16"/>
                <w:color w:val="auto"/>
              </w:rPr>
              <w:t>73.09</w:t>
            </w:r>
          </w:p>
        </w:tc>
        <w:tc>
          <w:tcPr>
            <w:tcW w:w="1800" w:type="dxa"/>
            <w:vAlign w:val="bottom"/>
          </w:tcPr>
          <w:p>
            <w:pPr>
              <w:spacing w:after="0"/>
              <w:rPr>
                <w:sz w:val="19"/>
                <w:szCs w:val="19"/>
                <w:color w:val="auto"/>
              </w:rPr>
            </w:pPr>
          </w:p>
        </w:tc>
      </w:tr>
      <w:tr>
        <w:trPr>
          <w:trHeight w:val="218"/>
        </w:trPr>
        <w:tc>
          <w:tcPr>
            <w:tcW w:w="1800" w:type="dxa"/>
            <w:vAlign w:val="bottom"/>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September 30, 2025</w:t>
            </w: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26,287,034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2,497</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94.98</w:t>
            </w:r>
          </w:p>
        </w:tc>
        <w:tc>
          <w:tcPr>
            <w:tcW w:w="18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04"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6"/>
          <w:szCs w:val="16"/>
          <w:color w:val="auto"/>
        </w:rPr>
        <w:t>We declared cash dividends to holders of our common stock during the first three quarters of 2025 as follows. Any future dividend payments will be subject to the restrictions imposed under the agreements covering our debt and approval of our Board of Directors. There can be no assurance that we will pay dividends in the future.</w:t>
      </w:r>
    </w:p>
    <w:p>
      <w:pPr>
        <w:spacing w:after="0" w:line="88"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 Record Date</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 per Share</w:t>
            </w:r>
          </w:p>
        </w:tc>
      </w:tr>
      <w:tr>
        <w:trPr>
          <w:trHeight w:val="208"/>
        </w:trPr>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February 20, 2025</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March 5, 2025</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March 19, 2025</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$0.79</w:t>
            </w:r>
          </w:p>
        </w:tc>
      </w:tr>
      <w:tr>
        <w:trPr>
          <w:trHeight w:val="219"/>
        </w:trPr>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May 12, 2025</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May 23, 2025</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June 6, 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$0.79</w:t>
            </w:r>
          </w:p>
        </w:tc>
      </w:tr>
      <w:tr>
        <w:trPr>
          <w:trHeight w:val="231"/>
        </w:trPr>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September 3, 2025</w:t>
            </w:r>
          </w:p>
        </w:tc>
        <w:tc>
          <w:tcPr>
            <w:tcW w:w="1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September 17, 2025</w:t>
            </w:r>
          </w:p>
        </w:tc>
        <w:tc>
          <w:tcPr>
            <w:tcW w:w="19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October 1, 2025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$0.79</w:t>
            </w:r>
          </w:p>
        </w:tc>
      </w:tr>
    </w:tbl>
    <w:p>
      <w:pPr>
        <w:spacing w:after="0" w:line="161"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Payment of dividends within Financing activities on our Cash Flows for the nine months ended September 30, 2025, includes $27 million related to the dividend distributed to holders of our common stock (as of the record date) on October 1, 2025, as the payment was funded on September 30, 2025.</w:t>
      </w:r>
    </w:p>
    <w:p>
      <w:pPr>
        <w:spacing w:after="0" w:line="214" w:lineRule="exact"/>
        <w:rPr>
          <w:sz w:val="20"/>
          <w:szCs w:val="20"/>
          <w:color w:val="auto"/>
        </w:rPr>
      </w:pPr>
    </w:p>
    <w:p>
      <w:pPr>
        <w:ind w:left="420" w:hanging="410"/>
        <w:spacing w:after="0"/>
        <w:tabs>
          <w:tab w:leader="none" w:pos="42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COMPENSATION</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maintain the Marriott Vacations Worldwide Corporation 2020 Equity Incentive Plan (the “MVW Equity Plan”)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 total of approximately 3 million shares were authorized for issuance pursuant to grants under the MVW Equity Plan. As of September 30, 2025, approximately 1 million shares were available for grants under the MVW Equity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details our share-based compensation expense related to award grants to our officers, directors, and employees: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80" w:type="dxa"/>
            <w:vAlign w:val="bottom"/>
            <w:gridSpan w:val="6"/>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7"/>
        </w:trPr>
        <w:tc>
          <w:tcPr>
            <w:tcW w:w="18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44"/>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4"/>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62"/>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8"/>
        </w:trPr>
        <w:tc>
          <w:tcPr>
            <w:tcW w:w="1800" w:type="dxa"/>
            <w:vAlign w:val="bottom"/>
          </w:tcPr>
          <w:p>
            <w:pPr>
              <w:spacing w:after="0"/>
              <w:rPr>
                <w:sz w:val="16"/>
                <w:szCs w:val="16"/>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6"/>
        </w:trPr>
        <w:tc>
          <w:tcPr>
            <w:tcW w:w="1800" w:type="dxa"/>
            <w:vAlign w:val="bottom"/>
          </w:tcPr>
          <w:p>
            <w:pPr>
              <w:spacing w:after="0"/>
              <w:rPr>
                <w:sz w:val="17"/>
                <w:szCs w:val="17"/>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Service-based RSUs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r>
      <w:tr>
        <w:trPr>
          <w:trHeight w:val="225"/>
        </w:trPr>
        <w:tc>
          <w:tcPr>
            <w:tcW w:w="18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RSUs</w:t>
            </w:r>
          </w:p>
        </w:tc>
        <w:tc>
          <w:tcPr>
            <w:tcW w:w="120" w:type="dxa"/>
            <w:vAlign w:val="bottom"/>
          </w:tcPr>
          <w:p>
            <w:pPr>
              <w:spacing w:after="0"/>
              <w:rPr>
                <w:sz w:val="19"/>
                <w:szCs w:val="19"/>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1800" w:type="dxa"/>
            <w:vAlign w:val="bottom"/>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r>
      <w:tr>
        <w:trPr>
          <w:trHeight w:val="225"/>
        </w:trPr>
        <w:tc>
          <w:tcPr>
            <w:tcW w:w="1800" w:type="dxa"/>
            <w:vAlign w:val="bottom"/>
          </w:tcPr>
          <w:p>
            <w:pPr>
              <w:spacing w:after="0"/>
              <w:rPr>
                <w:sz w:val="19"/>
                <w:szCs w:val="19"/>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r>
      <w:tr>
        <w:trPr>
          <w:trHeight w:val="218"/>
        </w:trPr>
        <w:tc>
          <w:tcPr>
            <w:tcW w:w="1800" w:type="dxa"/>
            <w:vAlign w:val="bottom"/>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180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371"/>
        </w:trPr>
        <w:tc>
          <w:tcPr>
            <w:tcW w:w="58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following table details our deferred compensation costs related to unvested awards: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4"/>
        </w:trPr>
        <w:tc>
          <w:tcPr>
            <w:tcW w:w="1800" w:type="dxa"/>
            <w:vAlign w:val="bottom"/>
          </w:tcPr>
          <w:p>
            <w:pPr>
              <w:spacing w:after="0"/>
              <w:rPr>
                <w:sz w:val="24"/>
                <w:szCs w:val="24"/>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12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180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Service-based RSUs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r>
      <w:tr>
        <w:trPr>
          <w:trHeight w:val="225"/>
        </w:trPr>
        <w:tc>
          <w:tcPr>
            <w:tcW w:w="1800" w:type="dxa"/>
            <w:vAlign w:val="bottom"/>
          </w:tcPr>
          <w:p>
            <w:pPr>
              <w:spacing w:after="0"/>
              <w:rPr>
                <w:sz w:val="19"/>
                <w:szCs w:val="19"/>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Performance-based RSUs</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180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r>
      <w:tr>
        <w:trPr>
          <w:trHeight w:val="225"/>
        </w:trPr>
        <w:tc>
          <w:tcPr>
            <w:tcW w:w="1800" w:type="dxa"/>
            <w:vAlign w:val="bottom"/>
          </w:tcPr>
          <w:p>
            <w:pPr>
              <w:spacing w:after="0"/>
              <w:rPr>
                <w:sz w:val="19"/>
                <w:szCs w:val="19"/>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r>
      <w:tr>
        <w:trPr>
          <w:trHeight w:val="218"/>
        </w:trPr>
        <w:tc>
          <w:tcPr>
            <w:tcW w:w="1800" w:type="dxa"/>
            <w:vAlign w:val="bottom"/>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180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We granted 530,192 service-based RSUs, which are subject to time-based vesting conditions, with a weighted average grant-date fair value of $64.39, to our employees and non-employee directors during the first three quarters of 2025. During the first three quarters of 2025, we also granted performance-based RSUs, which are subject to performance-based vesting conditions, to members of management. A maximum of 423,863 RSUs may be earned under the performance-based RSU awards granted during the first three quarters of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Appreciation Rights</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We granted 145,440 SARs, with a weighted average grant-date fair value of $23.17 and a weighted average exercise price of $71.17, to members of management during the first three quarters of 2025. We use the Black-Scholes model to estimate the fair value of the SARs granted. The expected stock price volatility was calculated based on the average of the historical and implied volatility of our stock price. The average expected term was calculated using the simplified method, as we have insufficient historical information to provide a basis for estimating average expected term. The risk-</w:t>
      </w:r>
    </w:p>
    <w:p>
      <w:pPr>
        <w:spacing w:after="0" w:line="200" w:lineRule="exact"/>
        <w:rPr>
          <w:sz w:val="20"/>
          <w:szCs w:val="20"/>
          <w:color w:val="auto"/>
        </w:rPr>
      </w:pPr>
    </w:p>
    <w:p>
      <w:pPr>
        <w:spacing w:after="0" w:line="31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6"/>
          <w:szCs w:val="16"/>
          <w:color w:val="auto"/>
        </w:rPr>
        <w:t>free interest rate was calculated based on U.S. Treasury zero-coupon issues with a remaining term equal to the expected life assumed at the date of grant. The dividend yield assumption listed below is based on the expectation of future payouts.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outlines the assumptions used to estimate the fair value of grants during the first three quarters of 2025:</w:t>
      </w:r>
    </w:p>
    <w:p>
      <w:pPr>
        <w:sectPr>
          <w:pgSz w:w="11900" w:h="16838" w:orient="portrait"/>
          <w:cols w:equalWidth="0" w:num="1">
            <w:col w:w="11260"/>
          </w:cols>
          <w:pgMar w:left="320" w:top="218" w:right="319" w:bottom="1440" w:gutter="0" w:footer="0" w:header="0"/>
        </w:sectPr>
      </w:pPr>
    </w:p>
    <w:p>
      <w:pPr>
        <w:spacing w:after="0" w:line="13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Expected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-113030</wp:posOffset>
            </wp:positionV>
            <wp:extent cx="2728595" cy="142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28595" cy="142875"/>
                    </a:xfrm>
                    <a:prstGeom prst="rect">
                      <a:avLst/>
                    </a:prstGeom>
                    <a:noFill/>
                  </pic:spPr>
                </pic:pic>
              </a:graphicData>
            </a:graphic>
          </wp:anchor>
        </w:drawing>
      </w:r>
    </w:p>
    <w:p>
      <w:pPr>
        <w:spacing w:after="0" w:line="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Dividend yield</w:t>
      </w:r>
    </w:p>
    <w:p>
      <w:pPr>
        <w:spacing w:after="0" w:line="4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Risk-free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-113030</wp:posOffset>
            </wp:positionV>
            <wp:extent cx="2728595" cy="142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28595" cy="142875"/>
                    </a:xfrm>
                    <a:prstGeom prst="rect">
                      <a:avLst/>
                    </a:prstGeom>
                    <a:noFill/>
                  </pic:spPr>
                </pic:pic>
              </a:graphicData>
            </a:graphic>
          </wp:anchor>
        </w:drawing>
      </w:r>
    </w:p>
    <w:p>
      <w:pPr>
        <w:spacing w:after="0" w:line="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5"/>
          <w:szCs w:val="15"/>
          <w:color w:val="auto"/>
        </w:rPr>
        <w:t>Expected term (in years)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5"/>
          <w:szCs w:val="15"/>
          <w:color w:val="auto"/>
        </w:rPr>
        <w:t>45.79%</w:t>
      </w:r>
    </w:p>
    <w:p>
      <w:pPr>
        <w:spacing w:after="0" w:line="52"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6"/>
          <w:szCs w:val="16"/>
          <w:color w:val="auto"/>
        </w:rPr>
        <w:t>4.35%</w:t>
      </w:r>
    </w:p>
    <w:p>
      <w:pPr>
        <w:spacing w:after="0" w:line="41"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6"/>
          <w:szCs w:val="16"/>
          <w:color w:val="auto"/>
        </w:rPr>
        <w:t>4.03%</w:t>
      </w:r>
    </w:p>
    <w:p>
      <w:pPr>
        <w:spacing w:after="0" w:line="41"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6"/>
          <w:szCs w:val="16"/>
          <w:color w:val="auto"/>
        </w:rPr>
        <w:t>6.25</w:t>
      </w:r>
    </w:p>
    <w:p>
      <w:pPr>
        <w:spacing w:after="0" w:line="200" w:lineRule="exact"/>
        <w:rPr>
          <w:sz w:val="20"/>
          <w:szCs w:val="20"/>
          <w:color w:val="auto"/>
        </w:rPr>
      </w:pPr>
    </w:p>
    <w:p>
      <w:pPr>
        <w:sectPr>
          <w:pgSz w:w="11900" w:h="16838" w:orient="portrait"/>
          <w:cols w:equalWidth="0" w:num="2">
            <w:col w:w="6080" w:space="720"/>
            <w:col w:w="4460"/>
          </w:cols>
          <w:pgMar w:left="320" w:top="218" w:right="319" w:bottom="1440" w:gutter="0" w:footer="0" w:header="0"/>
          <w:type w:val="continuous"/>
        </w:sectPr>
      </w:pPr>
    </w:p>
    <w:p>
      <w:pPr>
        <w:spacing w:after="0" w:line="147" w:lineRule="exact"/>
        <w:rPr>
          <w:sz w:val="20"/>
          <w:szCs w:val="20"/>
          <w:color w:val="auto"/>
        </w:rPr>
      </w:pPr>
    </w:p>
    <w:p>
      <w:pPr>
        <w:ind w:left="420" w:hanging="410"/>
        <w:spacing w:after="0"/>
        <w:tabs>
          <w:tab w:leader="none" w:pos="420"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VARIABLE INTEREST ENTITIES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Variable Interest Entities Related to Our Vacation Ownership Notes Receivable Securitizations</w:t>
      </w:r>
    </w:p>
    <w:p>
      <w:pPr>
        <w:spacing w:after="0" w:line="104"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6"/>
          <w:szCs w:val="16"/>
          <w:color w:val="auto"/>
        </w:rPr>
        <w:t>The following table shows consolidated assets, which are collateral for the obligations of the VIEs related to our vacation ownership notes receivable securitizations, and consolidated liabilities included on our Balance Sheet at September 30, 2025:</w:t>
      </w:r>
    </w:p>
    <w:p>
      <w:pPr>
        <w:spacing w:after="0" w:line="24"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60" w:type="dxa"/>
            <w:vAlign w:val="bottom"/>
          </w:tcPr>
          <w:p>
            <w:pPr>
              <w:spacing w:after="0"/>
              <w:rPr>
                <w:sz w:val="13"/>
                <w:szCs w:val="13"/>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Warehouse</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Assets</w:t>
            </w: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22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Vacation ownership notes receivable, net of</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reserves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1,640</w:t>
            </w:r>
          </w:p>
        </w:tc>
        <w:tc>
          <w:tcPr>
            <w:tcW w:w="1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1,896</w:t>
            </w: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5"/>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8"/>
        </w:trPr>
        <w:tc>
          <w:tcPr>
            <w:tcW w:w="3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1,730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1,999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Consolidated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5"/>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Securitized debt</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2,132</w:t>
            </w:r>
          </w:p>
        </w:tc>
        <w:tc>
          <w:tcPr>
            <w:tcW w:w="0" w:type="dxa"/>
            <w:vAlign w:val="bottom"/>
          </w:tcPr>
          <w:p>
            <w:pPr>
              <w:spacing w:after="0"/>
              <w:rPr>
                <w:sz w:val="1"/>
                <w:szCs w:val="1"/>
                <w:color w:val="auto"/>
              </w:rPr>
            </w:pPr>
          </w:p>
        </w:tc>
      </w:tr>
      <w:tr>
        <w:trPr>
          <w:trHeight w:val="218"/>
        </w:trPr>
        <w:tc>
          <w:tcPr>
            <w:tcW w:w="3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1,879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2,136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interest income and expense recognized as a result of our involvement with these VIEs during the third quarter of 2025:</w:t>
      </w:r>
    </w:p>
    <w:p>
      <w:pPr>
        <w:spacing w:after="0" w:line="27"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80" w:type="dxa"/>
            <w:vAlign w:val="bottom"/>
          </w:tcPr>
          <w:p>
            <w:pPr>
              <w:spacing w:after="0"/>
              <w:rPr>
                <w:sz w:val="13"/>
                <w:szCs w:val="13"/>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Warehouse</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25"/>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interest income and expense recognized as a result of our involvement with these VIEs during the first three quarters of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80" w:type="dxa"/>
            <w:vAlign w:val="bottom"/>
          </w:tcPr>
          <w:p>
            <w:pPr>
              <w:spacing w:after="0"/>
              <w:rPr>
                <w:sz w:val="13"/>
                <w:szCs w:val="13"/>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Warehouse</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300" w:type="dxa"/>
            <w:vAlign w:val="bottom"/>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221</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80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Administrative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7"/>
        </w:trPr>
        <w:tc>
          <w:tcPr>
            <w:tcW w:w="1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464"/>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cash flows between us and the vacation ownership notes receivable securitization VIEs: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Inflows</w:t>
            </w: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proceeds from vacation ownership notes receivable securitizations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receipts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receipts</w:t>
            </w:r>
          </w:p>
        </w:tc>
        <w:tc>
          <w:tcPr>
            <w:tcW w:w="1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Reserve release</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1,609</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Outflows</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payments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8"/>
              </w:rPr>
              <w:t>Voluntary repurchases of defaulted vacation ownership notes receivable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Voluntary clean-up call</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payments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Funding of restricted cash</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Flows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following table shows cash flows between us and the Warehouse Credit Facility VIE:</w:t>
            </w: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5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Inflows</w:t>
            </w: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vacation ownership notes receivable securitizations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receipts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receipts</w:t>
            </w:r>
          </w:p>
        </w:tc>
        <w:tc>
          <w:tcPr>
            <w:tcW w:w="1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Reserve release</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Outflows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payments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8"/>
              </w:rPr>
              <w:t>Voluntary repurchases of defaulted vacation ownership notes receivable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Warehouse Credit Facility</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payments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Funding of restricted cash</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Flows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Under the terms of our vacation ownership notes receivable securitizations and Warehouse Credit Facility,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Variable Interest Entities</w:t>
      </w:r>
    </w:p>
    <w:p>
      <w:pPr>
        <w:spacing w:after="0" w:line="9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We have a commitment to purchase completed vacation ownership units located in Waikiki, Hawaii for $41 million in 2026. The property is held by a VIE for which we are not the primary beneficiary. We do not control the decisions that most significantly impact the economic performance of the entity as we cannot prevent the variable interest entity from selling the property at a higher price. Accordingly, we have not consolidated the VIE. As of September 30, 2025, our Balance Sheet reflected $1 million in Accounts and contracts receivable, net, including a note receivable of less than $1 million, and $3 million in Property and equipment, net. We believe that our maximum exposure to loss as a result of our involvement with this VIE is approximately $7 million as of September 30, 2025. Refer to Footnote 3 “Acquisitions” for information about purchases pursuant to this commitment that occurred during the first three quarters of 2025 and 2024.</w:t>
      </w:r>
    </w:p>
    <w:p>
      <w:pPr>
        <w:spacing w:after="0" w:line="200" w:lineRule="exact"/>
        <w:rPr>
          <w:sz w:val="20"/>
          <w:szCs w:val="20"/>
          <w:color w:val="auto"/>
        </w:rPr>
      </w:pPr>
    </w:p>
    <w:p>
      <w:pPr>
        <w:spacing w:after="0" w:line="32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2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hanging="410"/>
        <w:spacing w:after="0"/>
        <w:tabs>
          <w:tab w:leader="none" w:pos="42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SEGMENTS</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 Vacation Ownership and Exchange &amp; Third-Party Management.</w:t>
      </w:r>
    </w:p>
    <w:p>
      <w:pPr>
        <w:spacing w:after="0" w:line="6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Our CODM uses Adjusted Earnings before Interest Expense, Taxes, Depreciation and Amortization (“Adjusted EBITDA”) to evaluate the profitability of our operating segments, and the components of net income or loss attributable to common stockholders excluded from Adjusted EBITDA are not separately evaluated. Our CODM reviews budget-to-actual and/or forecast-to-actual variances on a monthly basis using Adjusted EBITDA to make decisions about capital allocation and resource distribution to the segments. Adjusted EBITDA is defined as net income or loss attributable to common stockholders, before interest expense (excluding consumer financing interest expense associated with term securitization transactions), income taxes, depreciation and amortization, excluding share-based compensation expense and amortization of cloud computing software implementation costs, and adjusted for certain items that affect the comparability of our operating performance.</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During the first quarter of 2025, we began excluding Amortization of cloud computing software implementation costs, which are not included in Depreciation and amortization, from Adjusted EBITDA for comparability purposes, to address the considerable variability among companies in the utilization of productive assets, and have reclassified prior year amounts to conform with our current year presentation.</w:t>
      </w:r>
    </w:p>
    <w:p>
      <w:pPr>
        <w:spacing w:after="0" w:line="63"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Additionally, during the third quarter of 2025, we reclassified $1 million of certain prior year amounts related to ongoing litigation from General and administrative expense to Litigation charges in order to conform with our current year presentation.</w:t>
      </w:r>
    </w:p>
    <w:p>
      <w:pPr>
        <w:spacing w:after="0" w:line="5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Our reconciliation of the aggregate amount of Adjusted EBITDA for our reportable segments to consolidated net income or loss attributable to common stockholders is presented below.</w:t>
      </w:r>
    </w:p>
    <w:p>
      <w:pPr>
        <w:spacing w:after="0" w:line="200" w:lineRule="exact"/>
        <w:rPr>
          <w:sz w:val="20"/>
          <w:szCs w:val="20"/>
          <w:color w:val="auto"/>
        </w:rPr>
      </w:pPr>
    </w:p>
    <w:p>
      <w:pPr>
        <w:spacing w:after="0" w:line="30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3" w:name="page34"/>
    <w:bookmarkEnd w:id="33"/>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 and Adjusted EBITDA</w:t>
      </w:r>
    </w:p>
    <w:p>
      <w:pPr>
        <w:spacing w:after="0" w:line="104" w:lineRule="exact"/>
        <w:rPr>
          <w:sz w:val="20"/>
          <w:szCs w:val="20"/>
          <w:color w:val="auto"/>
        </w:rPr>
      </w:pPr>
    </w:p>
    <w:p>
      <w:pPr>
        <w:ind w:left="5" w:right="360"/>
        <w:spacing w:after="0" w:line="261" w:lineRule="auto"/>
        <w:rPr>
          <w:sz w:val="20"/>
          <w:szCs w:val="20"/>
          <w:color w:val="auto"/>
        </w:rPr>
      </w:pPr>
      <w:r>
        <w:rPr>
          <w:rFonts w:ascii="Times New Roman" w:cs="Times New Roman" w:eastAsia="Times New Roman" w:hAnsi="Times New Roman"/>
          <w:sz w:val="16"/>
          <w:szCs w:val="16"/>
          <w:color w:val="auto"/>
        </w:rPr>
        <w:t>The table below presents the following for the periods presented: revenues, disaggregated by segment, reconciled to consolidated revenue; segment expenses, including significant expense categories and amounts that align with segment-level information regularly provided to our CODM; and segment Adjusted EBITDA reconciled to Net income or loss attributable to common stockholders.</w:t>
      </w:r>
    </w:p>
    <w:p>
      <w:pPr>
        <w:spacing w:after="0" w:line="100" w:lineRule="exact"/>
        <w:rPr>
          <w:sz w:val="20"/>
          <w:szCs w:val="20"/>
          <w:color w:val="auto"/>
        </w:rPr>
      </w:pPr>
    </w:p>
    <w:tbl>
      <w:tblPr>
        <w:tblLayout w:type="fixed"/>
        <w:tblInd w:w="185" w:type="dxa"/>
        <w:tblCellMar>
          <w:top w:w="0" w:type="dxa"/>
          <w:left w:w="0" w:type="dxa"/>
          <w:bottom w:w="0" w:type="dxa"/>
          <w:right w:w="0" w:type="dxa"/>
        </w:tblCellMar>
      </w:tblPr>
      <w:tr>
        <w:trPr>
          <w:trHeight w:val="189"/>
        </w:trPr>
        <w:tc>
          <w:tcPr>
            <w:tcW w:w="1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8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Vacation</w:t>
            </w:r>
          </w:p>
        </w:tc>
        <w:tc>
          <w:tcPr>
            <w:tcW w:w="8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Exchange &amp;</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Vacation</w:t>
            </w:r>
          </w:p>
        </w:tc>
        <w:tc>
          <w:tcPr>
            <w:tcW w:w="94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rPr>
              <w:t>Exchange &amp;</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Vacation</w:t>
            </w:r>
          </w:p>
        </w:tc>
        <w:tc>
          <w:tcPr>
            <w:tcW w:w="96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rPr>
              <w:t>Exchange &amp;</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Vacation</w:t>
            </w:r>
          </w:p>
        </w:tc>
        <w:tc>
          <w:tcPr>
            <w:tcW w:w="98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rPr>
              <w:t>Exchange &amp;</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820" w:type="dxa"/>
            <w:vAlign w:val="bottom"/>
            <w:gridSpan w:val="3"/>
            <w:vMerge w:val="continue"/>
          </w:tcPr>
          <w:p>
            <w:pPr>
              <w:spacing w:after="0"/>
              <w:rPr>
                <w:sz w:val="11"/>
                <w:szCs w:val="11"/>
                <w:color w:val="auto"/>
              </w:rPr>
            </w:pPr>
          </w:p>
        </w:tc>
        <w:tc>
          <w:tcPr>
            <w:tcW w:w="8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Third-Party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94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Third-Party</w:t>
            </w:r>
          </w:p>
        </w:tc>
        <w:tc>
          <w:tcPr>
            <w:tcW w:w="120" w:type="dxa"/>
            <w:vAlign w:val="bottom"/>
          </w:tcPr>
          <w:p>
            <w:pPr>
              <w:spacing w:after="0"/>
              <w:rPr>
                <w:sz w:val="11"/>
                <w:szCs w:val="11"/>
                <w:color w:val="auto"/>
              </w:rPr>
            </w:pPr>
          </w:p>
        </w:tc>
        <w:tc>
          <w:tcPr>
            <w:tcW w:w="460" w:type="dxa"/>
            <w:vAlign w:val="bottom"/>
            <w:vMerge w:val="restart"/>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6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Third-Party</w:t>
            </w:r>
          </w:p>
        </w:tc>
        <w:tc>
          <w:tcPr>
            <w:tcW w:w="120" w:type="dxa"/>
            <w:vAlign w:val="bottom"/>
          </w:tcPr>
          <w:p>
            <w:pPr>
              <w:spacing w:after="0"/>
              <w:rPr>
                <w:sz w:val="11"/>
                <w:szCs w:val="11"/>
                <w:color w:val="auto"/>
              </w:rPr>
            </w:pPr>
          </w:p>
        </w:tc>
        <w:tc>
          <w:tcPr>
            <w:tcW w:w="460" w:type="dxa"/>
            <w:vAlign w:val="bottom"/>
            <w:vMerge w:val="restart"/>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8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rPr>
              <w:t>Third-Party</w:t>
            </w:r>
          </w:p>
        </w:tc>
        <w:tc>
          <w:tcPr>
            <w:tcW w:w="120" w:type="dxa"/>
            <w:vAlign w:val="bottom"/>
          </w:tcPr>
          <w:p>
            <w:pPr>
              <w:spacing w:after="0"/>
              <w:rPr>
                <w:sz w:val="11"/>
                <w:szCs w:val="11"/>
                <w:color w:val="auto"/>
              </w:rPr>
            </w:pPr>
          </w:p>
        </w:tc>
        <w:tc>
          <w:tcPr>
            <w:tcW w:w="460" w:type="dxa"/>
            <w:vAlign w:val="bottom"/>
            <w:vMerge w:val="restart"/>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1140" w:type="dxa"/>
            <w:vAlign w:val="bottom"/>
            <w:vMerge w:val="continue"/>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Revenues from</w:t>
            </w:r>
          </w:p>
        </w:tc>
        <w:tc>
          <w:tcPr>
            <w:tcW w:w="2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external</w:t>
            </w:r>
          </w:p>
        </w:tc>
        <w:tc>
          <w:tcPr>
            <w:tcW w:w="26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4"/>
              </w:rPr>
              <w:t>1,210</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1,263</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shd w:val="clear" w:color="auto" w:fill="CCEEFF"/>
          </w:tcPr>
          <w:p>
            <w:pPr>
              <w:jc w:val="center"/>
              <w:ind w:left="141"/>
              <w:spacing w:after="0"/>
              <w:rPr>
                <w:sz w:val="20"/>
                <w:szCs w:val="20"/>
                <w:color w:val="auto"/>
              </w:rPr>
            </w:pPr>
            <w:r>
              <w:rPr>
                <w:rFonts w:ascii="Times New Roman" w:cs="Times New Roman" w:eastAsia="Times New Roman" w:hAnsi="Times New Roman"/>
                <w:sz w:val="16"/>
                <w:szCs w:val="16"/>
                <w:color w:val="auto"/>
                <w:w w:val="99"/>
              </w:rPr>
              <w:t>56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1,306</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3,697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3,637</w:t>
            </w:r>
          </w:p>
        </w:tc>
        <w:tc>
          <w:tcPr>
            <w:tcW w:w="0" w:type="dxa"/>
            <w:vAlign w:val="bottom"/>
          </w:tcPr>
          <w:p>
            <w:pPr>
              <w:spacing w:after="0"/>
              <w:rPr>
                <w:sz w:val="1"/>
                <w:szCs w:val="1"/>
                <w:color w:val="auto"/>
              </w:rPr>
            </w:pPr>
          </w:p>
        </w:tc>
      </w:tr>
      <w:tr>
        <w:trPr>
          <w:trHeight w:val="201"/>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customers</w:t>
            </w:r>
          </w:p>
        </w:tc>
        <w:tc>
          <w:tcPr>
            <w:tcW w:w="26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Reconciliation of</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6"/>
                <w:szCs w:val="16"/>
                <w:color w:val="auto"/>
              </w:rPr>
              <w:t>Corporate and</w:t>
            </w: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41"/>
        </w:trPr>
        <w:tc>
          <w:tcPr>
            <w:tcW w:w="1140" w:type="dxa"/>
            <w:vAlign w:val="bottom"/>
          </w:tcPr>
          <w:p>
            <w:pPr>
              <w:spacing w:after="0" w:line="141" w:lineRule="exact"/>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consolidated</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9"/>
              </w:rPr>
              <w:t>1,263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9"/>
              </w:rPr>
              <w:t>1,305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9"/>
              </w:rPr>
              <w:t>3,709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99"/>
              </w:rPr>
              <w:t>3,640</w:t>
            </w:r>
          </w:p>
        </w:tc>
        <w:tc>
          <w:tcPr>
            <w:tcW w:w="0" w:type="dxa"/>
            <w:vAlign w:val="bottom"/>
          </w:tcPr>
          <w:p>
            <w:pPr>
              <w:spacing w:after="0"/>
              <w:rPr>
                <w:sz w:val="1"/>
                <w:szCs w:val="1"/>
                <w:color w:val="auto"/>
              </w:rPr>
            </w:pPr>
          </w:p>
        </w:tc>
      </w:tr>
      <w:tr>
        <w:trPr>
          <w:trHeight w:val="178"/>
        </w:trPr>
        <w:tc>
          <w:tcPr>
            <w:tcW w:w="11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1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Cost of</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color w:val="auto"/>
              </w:rPr>
              <w:t>vacation</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4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ownership</w:t>
            </w:r>
          </w:p>
        </w:tc>
        <w:tc>
          <w:tcPr>
            <w:tcW w:w="260" w:type="dxa"/>
            <w:vAlign w:val="bottom"/>
            <w:vMerge w:val="restart"/>
          </w:tcPr>
          <w:p>
            <w:pPr>
              <w:jc w:val="right"/>
              <w:ind w:right="87"/>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vMerge w:val="restart"/>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3"/>
                <w:szCs w:val="13"/>
                <w:color w:val="auto"/>
              </w:rPr>
            </w:pP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products</w:t>
            </w:r>
          </w:p>
        </w:tc>
        <w:tc>
          <w:tcPr>
            <w:tcW w:w="2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14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Marketing and</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14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Management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exchange</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center"/>
              <w:ind w:left="81"/>
              <w:spacing w:after="0"/>
              <w:rPr>
                <w:sz w:val="20"/>
                <w:szCs w:val="20"/>
                <w:color w:val="auto"/>
              </w:rPr>
            </w:pPr>
            <w:r>
              <w:rPr>
                <w:rFonts w:ascii="Times New Roman" w:cs="Times New Roman" w:eastAsia="Times New Roman" w:hAnsi="Times New Roman"/>
                <w:sz w:val="16"/>
                <w:szCs w:val="16"/>
                <w:color w:val="auto"/>
                <w:w w:val="97"/>
              </w:rPr>
              <w:t>(33)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Rental</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Financing</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Royalty fee</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Other segment</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Pr>
          <w:p>
            <w:pPr>
              <w:ind w:left="100"/>
              <w:spacing w:after="0" w:line="207" w:lineRule="exact"/>
              <w:rPr>
                <w:sz w:val="20"/>
                <w:szCs w:val="20"/>
                <w:color w:val="auto"/>
              </w:rPr>
            </w:pPr>
            <w:r>
              <w:rPr>
                <w:rFonts w:ascii="Times New Roman" w:cs="Times New Roman" w:eastAsia="Times New Roman" w:hAnsi="Times New Roman"/>
                <w:sz w:val="24"/>
                <w:szCs w:val="24"/>
                <w:color w:val="auto"/>
                <w:vertAlign w:val="subscript"/>
              </w:rPr>
              <w:t>items</w:t>
            </w:r>
            <w:r>
              <w:rPr>
                <w:rFonts w:ascii="Times New Roman" w:cs="Times New Roman" w:eastAsia="Times New Roman" w:hAnsi="Times New Roman"/>
                <w:sz w:val="9"/>
                <w:szCs w:val="9"/>
                <w:color w:val="auto"/>
              </w:rPr>
              <w:t>(2)(3)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1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6"/>
                <w:szCs w:val="16"/>
                <w:color w:val="auto"/>
              </w:rPr>
              <w:t>Segment</w:t>
            </w:r>
          </w:p>
        </w:tc>
        <w:tc>
          <w:tcPr>
            <w:tcW w:w="2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26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center"/>
              <w:ind w:left="141"/>
              <w:spacing w:after="0"/>
              <w:rPr>
                <w:sz w:val="20"/>
                <w:szCs w:val="20"/>
                <w:color w:val="auto"/>
              </w:rPr>
            </w:pPr>
            <w:r>
              <w:rPr>
                <w:rFonts w:ascii="Times New Roman" w:cs="Times New Roman" w:eastAsia="Times New Roman" w:hAnsi="Times New Roman"/>
                <w:sz w:val="16"/>
                <w:szCs w:val="16"/>
                <w:color w:val="auto"/>
                <w:w w:val="99"/>
              </w:rPr>
              <w:t>23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201"/>
        </w:trPr>
        <w:tc>
          <w:tcPr>
            <w:tcW w:w="1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EBITDA</w:t>
            </w:r>
            <w:r>
              <w:rPr>
                <w:rFonts w:ascii="Times New Roman" w:cs="Times New Roman" w:eastAsia="Times New Roman" w:hAnsi="Times New Roman"/>
                <w:sz w:val="20"/>
                <w:szCs w:val="20"/>
                <w:color w:val="auto"/>
                <w:vertAlign w:val="superscript"/>
              </w:rPr>
              <w:t>(3)</w:t>
            </w:r>
          </w:p>
        </w:tc>
        <w:tc>
          <w:tcPr>
            <w:tcW w:w="26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Corporate and</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other</w:t>
            </w:r>
            <w:r>
              <w:rPr>
                <w:rFonts w:ascii="Times New Roman" w:cs="Times New Roman" w:eastAsia="Times New Roman" w:hAnsi="Times New Roman"/>
                <w:sz w:val="9"/>
                <w:szCs w:val="9"/>
                <w:color w:val="auto"/>
              </w:rPr>
              <w:t>(1)(3)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161"/>
        </w:trPr>
        <w:tc>
          <w:tcPr>
            <w:tcW w:w="11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61"/>
        </w:trPr>
        <w:tc>
          <w:tcPr>
            <w:tcW w:w="11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Depreciation and</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61"/>
        </w:trPr>
        <w:tc>
          <w:tcPr>
            <w:tcW w:w="1960" w:type="dxa"/>
            <w:vAlign w:val="bottom"/>
            <w:gridSpan w:val="4"/>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61"/>
        </w:trPr>
        <w:tc>
          <w:tcPr>
            <w:tcW w:w="14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w w:val="97"/>
              </w:rPr>
              <w:t>Amortization of cloud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4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computing software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1"/>
        </w:trPr>
        <w:tc>
          <w:tcPr>
            <w:tcW w:w="1960" w:type="dxa"/>
            <w:vAlign w:val="bottom"/>
            <w:gridSpan w:val="4"/>
          </w:tcPr>
          <w:p>
            <w:pPr>
              <w:spacing w:after="0" w:line="202" w:lineRule="exact"/>
              <w:rPr>
                <w:sz w:val="20"/>
                <w:szCs w:val="20"/>
                <w:color w:val="auto"/>
              </w:rPr>
            </w:pPr>
            <w:r>
              <w:rPr>
                <w:rFonts w:ascii="Times New Roman" w:cs="Times New Roman" w:eastAsia="Times New Roman" w:hAnsi="Times New Roman"/>
                <w:sz w:val="16"/>
                <w:szCs w:val="16"/>
                <w:color w:val="auto"/>
              </w:rPr>
              <w:t>implementation costs</w:t>
            </w:r>
            <w:r>
              <w:rPr>
                <w:rFonts w:ascii="Times New Roman" w:cs="Times New Roman" w:eastAsia="Times New Roman" w:hAnsi="Times New Roman"/>
                <w:sz w:val="20"/>
                <w:szCs w:val="20"/>
                <w:color w:val="auto"/>
                <w:vertAlign w:val="superscript"/>
              </w:rPr>
              <w:t>(3)</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Certain items</w:t>
            </w:r>
            <w:r>
              <w:rPr>
                <w:rFonts w:ascii="Times New Roman" w:cs="Times New Roman" w:eastAsia="Times New Roman" w:hAnsi="Times New Roman"/>
                <w:sz w:val="20"/>
                <w:szCs w:val="20"/>
                <w:color w:val="auto"/>
                <w:vertAlign w:val="superscript"/>
              </w:rPr>
              <w:t>(3)</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61"/>
        </w:trPr>
        <w:tc>
          <w:tcPr>
            <w:tcW w:w="11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Provision for</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41"/>
        </w:trPr>
        <w:tc>
          <w:tcPr>
            <w:tcW w:w="1960" w:type="dxa"/>
            <w:vAlign w:val="bottom"/>
            <w:gridSpan w:val="4"/>
            <w:shd w:val="clear" w:color="auto" w:fill="CCEEFF"/>
          </w:tcPr>
          <w:p>
            <w:pPr>
              <w:spacing w:after="0" w:line="141" w:lineRule="exact"/>
              <w:rPr>
                <w:sz w:val="20"/>
                <w:szCs w:val="20"/>
                <w:color w:val="auto"/>
              </w:rPr>
            </w:pPr>
            <w:r>
              <w:rPr>
                <w:rFonts w:ascii="Times New Roman" w:cs="Times New Roman" w:eastAsia="Times New Roman" w:hAnsi="Times New Roman"/>
                <w:sz w:val="16"/>
                <w:szCs w:val="16"/>
                <w:color w:val="auto"/>
              </w:rPr>
              <w:t>Net income attributable to</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2"/>
        </w:trPr>
        <w:tc>
          <w:tcPr>
            <w:tcW w:w="14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7"/>
              </w:rPr>
              <w:t>common stockholders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285" w:hanging="285"/>
        <w:spacing w:after="0" w:line="230" w:lineRule="auto"/>
        <w:tabs>
          <w:tab w:leader="none" w:pos="274"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Corporate and Other consists of results that are not allocable to our segments, including company-wide general and administrative expenses, and transaction and integration costs. In addition, Corporate and Other includes revenues and expenses from Consolidated Property Owners’ Associations. Our CODM does not use this information for operating segment resource allocations.</w:t>
      </w:r>
    </w:p>
    <w:p>
      <w:pPr>
        <w:spacing w:after="0" w:line="1" w:lineRule="exact"/>
        <w:rPr>
          <w:rFonts w:ascii="Times New Roman" w:cs="Times New Roman" w:eastAsia="Times New Roman" w:hAnsi="Times New Roman"/>
          <w:sz w:val="21"/>
          <w:szCs w:val="21"/>
          <w:color w:val="auto"/>
          <w:vertAlign w:val="superscript"/>
        </w:rPr>
      </w:pPr>
    </w:p>
    <w:p>
      <w:pPr>
        <w:ind w:left="265" w:hanging="265"/>
        <w:spacing w:after="0" w:line="235" w:lineRule="auto"/>
        <w:tabs>
          <w:tab w:leader="none" w:pos="265"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segment items include cost reimbursements, share-based compensation, amortization of cloud computing software implementation costs, and other.</w:t>
      </w:r>
    </w:p>
    <w:p>
      <w:pPr>
        <w:spacing w:after="0" w:line="48" w:lineRule="exact"/>
        <w:rPr>
          <w:rFonts w:ascii="Times New Roman" w:cs="Times New Roman" w:eastAsia="Times New Roman" w:hAnsi="Times New Roman"/>
          <w:sz w:val="21"/>
          <w:szCs w:val="21"/>
          <w:color w:val="auto"/>
          <w:vertAlign w:val="superscript"/>
        </w:rPr>
      </w:pPr>
    </w:p>
    <w:p>
      <w:pPr>
        <w:ind w:left="265" w:hanging="265"/>
        <w:spacing w:after="0" w:line="187" w:lineRule="auto"/>
        <w:tabs>
          <w:tab w:leader="none" w:pos="265"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Prior year amounts have been reclassified to conform with our current year presentation.</w:t>
      </w:r>
    </w:p>
    <w:p>
      <w:pPr>
        <w:spacing w:after="0" w:line="200" w:lineRule="exact"/>
        <w:rPr>
          <w:sz w:val="20"/>
          <w:szCs w:val="20"/>
          <w:color w:val="auto"/>
        </w:rPr>
      </w:pPr>
    </w:p>
    <w:p>
      <w:pPr>
        <w:spacing w:after="0" w:line="257" w:lineRule="exact"/>
        <w:rPr>
          <w:sz w:val="20"/>
          <w:szCs w:val="20"/>
          <w:color w:val="auto"/>
        </w:rPr>
      </w:pPr>
    </w:p>
    <w:p>
      <w:pPr>
        <w:ind w:left="5825"/>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5"/>
          </w:cols>
          <w:pgMar w:left="315" w:top="218"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p>
      <w:pPr>
        <w:spacing w:after="0" w:line="237"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At September 30, 2025</w:t>
            </w:r>
          </w:p>
        </w:tc>
        <w:tc>
          <w:tcPr>
            <w:tcW w:w="80" w:type="dxa"/>
            <w:vAlign w:val="bottom"/>
          </w:tcPr>
          <w:p>
            <w:pPr>
              <w:spacing w:after="0"/>
              <w:rPr>
                <w:sz w:val="16"/>
                <w:szCs w:val="16"/>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At December 31, 2024</w:t>
            </w:r>
          </w:p>
        </w:tc>
      </w:tr>
      <w:tr>
        <w:trPr>
          <w:trHeight w:val="208"/>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w:t>
            </w:r>
          </w:p>
        </w:tc>
        <w:tc>
          <w:tcPr>
            <w:tcW w:w="560" w:type="dxa"/>
            <w:vAlign w:val="bottom"/>
            <w:tcBorders>
              <w:top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8,443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8,296</w:t>
            </w:r>
          </w:p>
        </w:tc>
      </w:tr>
      <w:tr>
        <w:trPr>
          <w:trHeight w:val="225"/>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Exchange &amp; Third-Party Management</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777</w:t>
            </w:r>
          </w:p>
        </w:tc>
      </w:tr>
      <w:tr>
        <w:trPr>
          <w:trHeight w:val="205"/>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segment assets</w:t>
            </w: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9,073</w:t>
            </w:r>
          </w:p>
        </w:tc>
      </w:tr>
      <w:tr>
        <w:trPr>
          <w:trHeight w:val="219"/>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735</w:t>
            </w:r>
          </w:p>
        </w:tc>
      </w:tr>
      <w:tr>
        <w:trPr>
          <w:trHeight w:val="224"/>
        </w:trPr>
        <w:tc>
          <w:tcPr>
            <w:tcW w:w="45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10,149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9,808</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540" w:hanging="530"/>
        <w:spacing w:after="0"/>
        <w:tabs>
          <w:tab w:leader="none" w:pos="540"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MODERNIZATION</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In November 2024, we announced the creation of a Strategic Business Operations (“SBO”) office focused on accelerating our growth and driving operating efficiencies in all areas of our business while increasing organizational agility. We are working to: modernize and optimize our processes and systems, including through advanced technology and automation; increase sales efficiency and inventory optimization; and capture significant savings from initiatives related to procurement and corporate overhead.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composition of our Modernization expense, by segment, for the three and nine months ended September 30,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10"/>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100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1020" w:type="dxa"/>
            <w:vAlign w:val="bottom"/>
            <w:gridSpan w:val="4"/>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840" w:type="dxa"/>
            <w:vAlign w:val="bottom"/>
            <w:gridSpan w:val="3"/>
            <w:vMerge w:val="continue"/>
          </w:tcPr>
          <w:p>
            <w:pPr>
              <w:spacing w:after="0"/>
              <w:rPr>
                <w:sz w:val="12"/>
                <w:szCs w:val="12"/>
                <w:color w:val="auto"/>
              </w:rPr>
            </w:pPr>
          </w:p>
        </w:tc>
        <w:tc>
          <w:tcPr>
            <w:tcW w:w="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2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860" w:type="dxa"/>
            <w:vAlign w:val="bottom"/>
            <w:gridSpan w:val="3"/>
            <w:vMerge w:val="continue"/>
          </w:tcPr>
          <w:p>
            <w:pPr>
              <w:spacing w:after="0"/>
              <w:rPr>
                <w:sz w:val="12"/>
                <w:szCs w:val="12"/>
                <w:color w:val="auto"/>
              </w:rPr>
            </w:pPr>
          </w:p>
        </w:tc>
        <w:tc>
          <w:tcPr>
            <w:tcW w:w="48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0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&amp; Other</w:t>
            </w:r>
          </w:p>
        </w:tc>
        <w:tc>
          <w:tcPr>
            <w:tcW w:w="580" w:type="dxa"/>
            <w:vAlign w:val="bottom"/>
            <w:gridSpan w:val="3"/>
            <w:vMerge w:val="continue"/>
          </w:tcPr>
          <w:p>
            <w:pPr>
              <w:spacing w:after="0"/>
              <w:rPr>
                <w:sz w:val="16"/>
                <w:szCs w:val="16"/>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10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Advisory</w:t>
            </w: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110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Transition</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10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costs</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110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Technology</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5800" w:type="dxa"/>
            <w:vAlign w:val="bottom"/>
            <w:gridSpan w:val="12"/>
          </w:tcPr>
          <w:p>
            <w:pPr>
              <w:jc w:val="right"/>
              <w:ind w:right="4"/>
              <w:spacing w:after="0"/>
              <w:rPr>
                <w:sz w:val="20"/>
                <w:szCs w:val="20"/>
                <w:color w:val="auto"/>
              </w:rPr>
            </w:pPr>
            <w:r>
              <w:rPr>
                <w:rFonts w:ascii="Times New Roman" w:cs="Times New Roman" w:eastAsia="Times New Roman" w:hAnsi="Times New Roman"/>
                <w:sz w:val="20"/>
                <w:szCs w:val="20"/>
                <w:color w:val="auto"/>
                <w:w w:val="98"/>
                <w:vertAlign w:val="superscript"/>
              </w:rPr>
              <w:t>(1)</w:t>
            </w:r>
            <w:r>
              <w:rPr>
                <w:rFonts w:ascii="Times New Roman" w:cs="Times New Roman" w:eastAsia="Times New Roman" w:hAnsi="Times New Roman"/>
                <w:sz w:val="16"/>
                <w:szCs w:val="16"/>
                <w:color w:val="auto"/>
                <w:w w:val="98"/>
              </w:rPr>
              <w:t xml:space="preserve">   Includes implementation costs associated with corporate overhead outsourcing efforts.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500" w:type="dxa"/>
            <w:vAlign w:val="bottom"/>
            <w:gridSpan w:val="18"/>
          </w:tcPr>
          <w:p>
            <w:pPr>
              <w:jc w:val="right"/>
              <w:ind w:right="186"/>
              <w:spacing w:after="0"/>
              <w:rPr>
                <w:sz w:val="20"/>
                <w:szCs w:val="20"/>
                <w:color w:val="auto"/>
              </w:rPr>
            </w:pPr>
            <w:r>
              <w:rPr>
                <w:rFonts w:ascii="Times New Roman" w:cs="Times New Roman" w:eastAsia="Times New Roman" w:hAnsi="Times New Roman"/>
                <w:sz w:val="16"/>
                <w:szCs w:val="16"/>
                <w:color w:val="auto"/>
                <w:w w:val="98"/>
              </w:rPr>
              <w:t>The following table presents the activity for this accrual on our Balance Sheet related to our Modernization efforts.</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1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SBO Initiatives</w:t>
            </w:r>
          </w:p>
        </w:tc>
        <w:tc>
          <w:tcPr>
            <w:tcW w:w="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1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Balance at December 31, 2024</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Modernization charges</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payments</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(61)</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1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w w:val="97"/>
              </w:rPr>
              <w:t>Balance at September 30, 2025</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During the third quarter of 2025, we entered into outsourced service arrangements and completed the transition of a portion of certain corporate overhead functions to outsourced service providers. The arrangements are for terms of five to six years, and are cancellable for convenience subject to a termination penalty. Our aggregate expected obligation under these arrangements is $151 million, of which $10 million, $42 million, $27 million, $26 million, $26 million, and $20 million is expected to be paid in the remainder of 2025, 2026, 2027, 2028, 2029, and thereafter, respectively. As of September 30, 2025, the total penalties for early termination are $9 million.</w:t>
      </w:r>
    </w:p>
    <w:p>
      <w:pPr>
        <w:spacing w:after="0" w:line="200" w:lineRule="exact"/>
        <w:rPr>
          <w:sz w:val="20"/>
          <w:szCs w:val="20"/>
          <w:color w:val="auto"/>
        </w:rPr>
      </w:pPr>
    </w:p>
    <w:p>
      <w:pPr>
        <w:spacing w:after="0" w:line="3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2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620"/>
        <w:spacing w:after="0" w:line="371"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We make forward-looking statements throughout this Management’s Discussion and Analysis of Financial Condition and Results of Operations, and elsewhere in this Quarterly Report on Form 10-Q (this “Quarterly Report”), based on our management’s beliefs and assumptions and on information currently available to our management. Forward-looking statements include, among other things, the information concerning: our possible or assumed future results of operations and growth opportunities, revenues, financial condition, leverage, liquidity, returns on investments, margins and related financing, development and rental profits; dividend payments; business strategies; financing plans and the adequacy of capital to meet short-term and long-term liquidity requirements; use of proceeds from senior notes due 2033;our competitive position; our plans to pursue growth opportunities; our expectations regarding average consumer financing interest rates and our financing profit margin; our expectations regarding the objectives, costs and benefits of our Strategic Business Operations office including revenue growth, operational efficiencies and savings, and benefits for our owners; our ability to reduce our corporate debt, net of cash and equivalents, to Adjusted EBITDA ratio; our expectations regarding inventory spending, the impact of inventory repurchases and timing of payments for inventory; taxes; our ability to securitize consumer loans; and expectations related to sales reserves, delinquencies and default rates relating to vacation ownership notes receivable.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5"/>
          <w:szCs w:val="15"/>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uncertainty in the current global macroeconomic environment created by rapid governmental policy and regulatory changes, including those affecting international trade; a future health crisis and responses to a health crisis, including possible quarantines or other government imposed travel or health-related restrictions and the effects of a health crisis, including the short and longer-term impact on consumer confidence and demand for travel and the pace of recovery following a health crisis; variations in demand for vacation ownership and exchange products and services; failure of vendors and other third parties to timely comply with their contractual obligations; worker absenteeism; price inflation; difficulties associated with implementing new or maintaining existing technologies; the ability to use artificial intelligence (“AI”) technologies successfully and potential business, compliance, or reputational risks associated with the use of AI technologies; changes in privacy laws; the impact of a future banking crisis; impacts from natural or man-made disasters and wildfires, including the Maui and Los Angeles area wildfires; delinquency and default rates; global supply chain disruptions; volatility in the international and national economy and credit markets, including as a result of the ongoing conflicts between Russia and Ukraine, Israel and Hamas, and elsewhere in the world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and accelerate growth and profitability; political or social strife; and other matters referred to under the heading “Risk Factors” contained herein and also in our 2024 Annual Report and Quarterly Report for the quarter ended June 30, 2025, and which may be updated in our future periodic filings with the U.S. Securities and Exchange Commission (the “SEC”).</w:t>
      </w:r>
    </w:p>
    <w:p>
      <w:pPr>
        <w:spacing w:after="0" w:line="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All forward-looking statements in this Quarterly Report apply only as of the date of this Quarterly Report or as of the date they were made or as otherwise specified herein. We do not undertake any obligation to publicly update or revise any forward-looking statement, whether as a result of new information, future events, or otherwise, except as required by law. You should not put undue reliance on any forward-looking statements in this Quarterly Report.</w:t>
      </w:r>
    </w:p>
    <w:p>
      <w:pPr>
        <w:spacing w:after="0" w:line="9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color w:val="auto"/>
        </w:rPr>
        <w:t>The risk factors discussed in “Risk Factors” in our 2024 Annual Report, our Quarterly Report for the quarter ended June 30, 2025, and under Item 1A of Part II of this Quarterly Report could cause actual results to differ materially from those expressed or implied in forward-looking statements in this Quarterly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61"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5"/>
          <w:szCs w:val="15"/>
          <w:color w:val="auto"/>
        </w:rPr>
        <w:t>Our Financial Statements (as defined below), which we discuss below, reflect our historical financial condition, results of operations and cash flows. The financial information discussed below and included in this Quarterly Report may not, however, necessarily reflect what our financial condition, results of operations or cash flows may be in the future.</w:t>
      </w:r>
    </w:p>
    <w:p>
      <w:pPr>
        <w:spacing w:after="0" w:line="200" w:lineRule="exact"/>
        <w:rPr>
          <w:sz w:val="20"/>
          <w:szCs w:val="20"/>
          <w:color w:val="auto"/>
        </w:rPr>
      </w:pPr>
    </w:p>
    <w:p>
      <w:pPr>
        <w:spacing w:after="0" w:line="27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References throughout to numbered “Footnotes” refer to the numbered Notes in the Interim Condensed Notes to Consolidated Financial Statements included in this Quarterly Report.</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We routinely post important information, including news releases, announcements and other statements about our business and results of operations, that may be deemed material to investors on the Investor Relations section of our website, www.marriottvacationsworldwide.com. We use our website as a means of disclosing material, nonpublic information and for complying with our disclosure obligations under Regulation FD. Investors should monitor the Investor Relations section of our website in addition to following our press releases, filings with the SEC, public conference calls and webcasts. The information on our website is not part of, and is not incorporated by reference into, this Quarterly Report.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90"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6"/>
          <w:szCs w:val="16"/>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5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6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5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5"/>
          <w:szCs w:val="15"/>
          <w:color w:val="auto"/>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We provide these services through our Interval International and Aqua-Aston businesses.</w:t>
      </w:r>
    </w:p>
    <w:p>
      <w:pPr>
        <w:spacing w:after="0" w:line="44" w:lineRule="exact"/>
        <w:rPr>
          <w:sz w:val="20"/>
          <w:szCs w:val="20"/>
          <w:color w:val="auto"/>
        </w:rPr>
      </w:pPr>
    </w:p>
    <w:p>
      <w:pPr>
        <w:ind w:right="780"/>
        <w:spacing w:after="0" w:line="276" w:lineRule="auto"/>
        <w:rPr>
          <w:sz w:val="20"/>
          <w:szCs w:val="20"/>
          <w:color w:val="auto"/>
        </w:rPr>
      </w:pPr>
      <w:r>
        <w:rPr>
          <w:rFonts w:ascii="Times New Roman" w:cs="Times New Roman" w:eastAsia="Times New Roman" w:hAnsi="Times New Roman"/>
          <w:sz w:val="16"/>
          <w:szCs w:val="16"/>
          <w:color w:val="auto"/>
        </w:rPr>
        <w:t>Corporate and other represents that portion of our results that are not allocable to our segments, including those relating to consolidated property owners’ associations (“Consolidated Property Owners’ Associations”).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Business Operations</w:t>
      </w:r>
    </w:p>
    <w:p>
      <w:pPr>
        <w:spacing w:after="0" w:line="1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In the fourth quarter of 2024, we announced the creation of a Strategic Business Operations office focused on accelerating our growth and driving operating efficiencies in all areas of our business while increasing organizational agility. We are working to: modernize and optimize our processes and systems, including through advanced technology and automation; increase sales efficiency and inventory optimization; and capture significant savings from initiatives related to procurement and corporate overhead. We believe that we can drive $150 million to $200 million of annualized benefits from these initiatives by the end of 2026, with approximately half of these benefits coming from cost savings and efficiencies and the balance from accelerating revenue growth. We also expect to realize additional savings that will benefit our owners’ maintenance fees. We expect to incur non-recurring cash costs related to these modernization initiatives of approximately $100 million in each of 2025 and 2026.</w:t>
      </w:r>
    </w:p>
    <w:p>
      <w:pPr>
        <w:spacing w:after="0" w:line="7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In the third quarter of 2025, we reorganized a portion of our corporate overhead in our human resources and finance and accounting functions and transitioned work to third-party providers, which we expect will result in annual cost savings of approximately $20 million which will be reflected in multiple expense lines on our income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2026 Outlook</w:t>
      </w:r>
    </w:p>
    <w:p>
      <w:pPr>
        <w:spacing w:after="0" w:line="102"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6"/>
          <w:szCs w:val="16"/>
          <w:color w:val="auto"/>
        </w:rPr>
        <w:t>We expect our cost of vacation ownership products in 2026 will increase due to a change in the mix of inventory sold in North America and Asia Pacific. In addition, we expect higher costs associated with increased developer-owned inventory partially offset by higher rental revenues.</w:t>
      </w:r>
    </w:p>
    <w:p>
      <w:pPr>
        <w:spacing w:after="0" w:line="200" w:lineRule="exact"/>
        <w:rPr>
          <w:sz w:val="20"/>
          <w:szCs w:val="20"/>
          <w:color w:val="auto"/>
        </w:rPr>
      </w:pPr>
    </w:p>
    <w:p>
      <w:pPr>
        <w:spacing w:after="0" w:line="30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Measures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measure operating performance using the key metrics described below:</w:t>
      </w:r>
    </w:p>
    <w:p>
      <w:pPr>
        <w:spacing w:after="0" w:line="98" w:lineRule="exact"/>
        <w:rPr>
          <w:sz w:val="20"/>
          <w:szCs w:val="20"/>
          <w:color w:val="auto"/>
        </w:rPr>
      </w:pPr>
    </w:p>
    <w:p>
      <w:pPr>
        <w:ind w:left="560" w:hanging="281"/>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Contract sales from the sale of vacation ownership products </w:t>
      </w:r>
      <w:r>
        <w:rPr>
          <w:rFonts w:ascii="Times New Roman" w:cs="Times New Roman" w:eastAsia="Times New Roman" w:hAnsi="Times New Roman"/>
          <w:sz w:val="16"/>
          <w:szCs w:val="16"/>
          <w:color w:val="auto"/>
        </w:rPr>
        <w:t>is considered to be an important operating measure because it reflects the pace of sales in our business.</w:t>
      </w:r>
    </w:p>
    <w:p>
      <w:pPr>
        <w:spacing w:after="0" w:line="102" w:lineRule="exact"/>
        <w:rPr>
          <w:rFonts w:ascii="Times New Roman" w:cs="Times New Roman" w:eastAsia="Times New Roman" w:hAnsi="Times New Roman"/>
          <w:sz w:val="16"/>
          <w:szCs w:val="16"/>
          <w:color w:val="auto"/>
        </w:rPr>
      </w:pPr>
    </w:p>
    <w:p>
      <w:pPr>
        <w:ind w:left="1120" w:hanging="273"/>
        <w:spacing w:after="0"/>
        <w:tabs>
          <w:tab w:leader="none" w:pos="112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contract sales include contract sales from the sale of vacation ownership products, including non-consolidated joint ventures.</w:t>
      </w:r>
    </w:p>
    <w:p>
      <w:pPr>
        <w:spacing w:after="0" w:line="100" w:lineRule="exact"/>
        <w:rPr>
          <w:rFonts w:ascii="Times New Roman" w:cs="Times New Roman" w:eastAsia="Times New Roman" w:hAnsi="Times New Roman"/>
          <w:sz w:val="16"/>
          <w:szCs w:val="16"/>
          <w:color w:val="auto"/>
        </w:rPr>
      </w:pPr>
    </w:p>
    <w:p>
      <w:pPr>
        <w:ind w:left="1120" w:hanging="273"/>
        <w:spacing w:after="0"/>
        <w:tabs>
          <w:tab w:leader="none" w:pos="112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contract sales exclude contract sales from the sale of vacation ownership products for non-consolidated joint ventures.</w:t>
      </w:r>
    </w:p>
    <w:p>
      <w:pPr>
        <w:spacing w:after="0" w:line="98" w:lineRule="exact"/>
        <w:rPr>
          <w:rFonts w:ascii="Times New Roman" w:cs="Times New Roman" w:eastAsia="Times New Roman" w:hAnsi="Times New Roman"/>
          <w:sz w:val="16"/>
          <w:szCs w:val="16"/>
          <w:color w:val="auto"/>
        </w:rPr>
      </w:pPr>
    </w:p>
    <w:p>
      <w:pPr>
        <w:ind w:left="560" w:right="60" w:hanging="281"/>
        <w:spacing w:after="0" w:line="263" w:lineRule="auto"/>
        <w:tabs>
          <w:tab w:leader="none" w:pos="55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Volume per guest </w:t>
      </w:r>
      <w:r>
        <w:rPr>
          <w:rFonts w:ascii="Times New Roman" w:cs="Times New Roman" w:eastAsia="Times New Roman" w:hAnsi="Times New Roman"/>
          <w:sz w:val="16"/>
          <w:szCs w:val="16"/>
          <w:color w:val="auto"/>
        </w:rPr>
        <w:t>(“VPG”) is calculated by dividing consolidated vacation ownership contract sales, excluding fractional sales, telesales, resales, and other sales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not attributed to a sales tour (referred to as </w:t>
      </w:r>
      <w:r>
        <w:rPr>
          <w:rFonts w:ascii="Times New Roman" w:cs="Times New Roman" w:eastAsia="Times New Roman" w:hAnsi="Times New Roman"/>
          <w:sz w:val="16"/>
          <w:szCs w:val="16"/>
          <w:i w:val="1"/>
          <w:iCs w:val="1"/>
          <w:color w:val="auto"/>
        </w:rPr>
        <w:t>Tours</w:t>
      </w:r>
      <w:r>
        <w:rPr>
          <w:rFonts w:ascii="Times New Roman" w:cs="Times New Roman" w:eastAsia="Times New Roman" w:hAnsi="Times New Roman"/>
          <w:sz w:val="16"/>
          <w:szCs w:val="16"/>
          <w:color w:val="auto"/>
        </w:rPr>
        <w:t>, see below), by the number of tours in a given period. We believe that VPG is valuable in evaluating the effectiveness of the sales process as it combines the impact of average contract price with the number of touring guests who make a purchase.</w:t>
      </w:r>
    </w:p>
    <w:p>
      <w:pPr>
        <w:spacing w:after="0" w:line="58" w:lineRule="exact"/>
        <w:rPr>
          <w:rFonts w:ascii="Times New Roman" w:cs="Times New Roman" w:eastAsia="Times New Roman" w:hAnsi="Times New Roman"/>
          <w:sz w:val="16"/>
          <w:szCs w:val="16"/>
          <w:color w:val="auto"/>
        </w:rPr>
      </w:pPr>
    </w:p>
    <w:p>
      <w:pPr>
        <w:ind w:left="560" w:right="160" w:hanging="281"/>
        <w:spacing w:after="0" w:line="279" w:lineRule="auto"/>
        <w:tabs>
          <w:tab w:leader="none" w:pos="55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Tours </w:t>
      </w:r>
      <w:r>
        <w:rPr>
          <w:rFonts w:ascii="Times New Roman" w:cs="Times New Roman" w:eastAsia="Times New Roman" w:hAnsi="Times New Roman"/>
          <w:sz w:val="16"/>
          <w:szCs w:val="16"/>
          <w:color w:val="auto"/>
        </w:rPr>
        <w:t>is the number of sales tours performed during the applicable period, and generally includes virtual and offsite sales tours, and excludes telesales. We believe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Tours is a valuable metric because it represents the volume of touring guests.</w:t>
      </w:r>
    </w:p>
    <w:p>
      <w:pPr>
        <w:spacing w:after="0" w:line="45" w:lineRule="exact"/>
        <w:rPr>
          <w:rFonts w:ascii="Times New Roman" w:cs="Times New Roman" w:eastAsia="Times New Roman" w:hAnsi="Times New Roman"/>
          <w:sz w:val="16"/>
          <w:szCs w:val="16"/>
          <w:color w:val="auto"/>
        </w:rPr>
      </w:pPr>
    </w:p>
    <w:p>
      <w:pPr>
        <w:ind w:left="560" w:hanging="281"/>
        <w:spacing w:after="0" w:line="263" w:lineRule="auto"/>
        <w:tabs>
          <w:tab w:leader="none" w:pos="55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Development profit margin </w:t>
      </w:r>
      <w:r>
        <w:rPr>
          <w:rFonts w:ascii="Times New Roman" w:cs="Times New Roman" w:eastAsia="Times New Roman" w:hAnsi="Times New Roman"/>
          <w:sz w:val="16"/>
          <w:szCs w:val="16"/>
          <w:color w:val="auto"/>
        </w:rPr>
        <w:t>is calculated by dividing Development profit by revenues from the sale of vacation ownership products. We refer to revenues from the sale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vacation ownership products less the cost of vacation ownership products and marketing and sales costs as Development profit. We believe that Development profit margin is an important measure of the profitability of our development and subsequent marketing and sales of VOIs.</w:t>
      </w:r>
    </w:p>
    <w:p>
      <w:pPr>
        <w:spacing w:after="0" w:line="58" w:lineRule="exact"/>
        <w:rPr>
          <w:rFonts w:ascii="Times New Roman" w:cs="Times New Roman" w:eastAsia="Times New Roman" w:hAnsi="Times New Roman"/>
          <w:sz w:val="16"/>
          <w:szCs w:val="16"/>
          <w:color w:val="auto"/>
        </w:rPr>
      </w:pPr>
    </w:p>
    <w:p>
      <w:pPr>
        <w:ind w:left="560" w:right="400" w:hanging="281"/>
        <w:spacing w:after="0" w:line="279" w:lineRule="auto"/>
        <w:tabs>
          <w:tab w:leader="none" w:pos="55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Total active members </w:t>
      </w:r>
      <w:r>
        <w:rPr>
          <w:rFonts w:ascii="Times New Roman" w:cs="Times New Roman" w:eastAsia="Times New Roman" w:hAnsi="Times New Roman"/>
          <w:sz w:val="16"/>
          <w:szCs w:val="16"/>
          <w:color w:val="auto"/>
        </w:rPr>
        <w:t>is the number of Interval Network active members at the end of the applicable period. We consider active members to be an important metric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because it represents the population of owners eligible to book transactions using the Interval Network.</w:t>
      </w:r>
    </w:p>
    <w:p>
      <w:pPr>
        <w:spacing w:after="0" w:line="45" w:lineRule="exact"/>
        <w:rPr>
          <w:rFonts w:ascii="Times New Roman" w:cs="Times New Roman" w:eastAsia="Times New Roman" w:hAnsi="Times New Roman"/>
          <w:sz w:val="16"/>
          <w:szCs w:val="16"/>
          <w:color w:val="auto"/>
        </w:rPr>
      </w:pPr>
    </w:p>
    <w:p>
      <w:pPr>
        <w:ind w:left="560" w:right="20" w:hanging="281"/>
        <w:spacing w:after="0" w:line="263" w:lineRule="auto"/>
        <w:tabs>
          <w:tab w:leader="none" w:pos="55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Average revenue per member </w:t>
      </w:r>
      <w:r>
        <w:rPr>
          <w:rFonts w:ascii="Times New Roman" w:cs="Times New Roman" w:eastAsia="Times New Roman" w:hAnsi="Times New Roman"/>
          <w:sz w:val="16"/>
          <w:szCs w:val="16"/>
          <w:color w:val="auto"/>
        </w:rPr>
        <w:t>is calculated by dividing membership fee revenue, transaction revenue, rental revenue, and other member revenue for the Interval Network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the monthly weighted average number of Interval Network active members during the applicable period. We believe this metric is valuable in measuring the overall engagement of our Interval Network active members.</w:t>
      </w:r>
    </w:p>
    <w:p>
      <w:pPr>
        <w:spacing w:after="0" w:line="58" w:lineRule="exact"/>
        <w:rPr>
          <w:rFonts w:ascii="Times New Roman" w:cs="Times New Roman" w:eastAsia="Times New Roman" w:hAnsi="Times New Roman"/>
          <w:sz w:val="16"/>
          <w:szCs w:val="16"/>
          <w:color w:val="auto"/>
        </w:rPr>
      </w:pPr>
    </w:p>
    <w:p>
      <w:pPr>
        <w:jc w:val="both"/>
        <w:ind w:left="560" w:right="260" w:hanging="281"/>
        <w:spacing w:after="0" w:line="263" w:lineRule="auto"/>
        <w:tabs>
          <w:tab w:leader="none" w:pos="55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Segment financial results attributable to common stockholders </w:t>
      </w:r>
      <w:r>
        <w:rPr>
          <w:rFonts w:ascii="Times New Roman" w:cs="Times New Roman" w:eastAsia="Times New Roman" w:hAnsi="Times New Roman"/>
          <w:sz w:val="16"/>
          <w:szCs w:val="16"/>
          <w:color w:val="auto"/>
        </w:rPr>
        <w:t>represents revenues less expenses directly attributable to each applicable reportable business segment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(Vacation Ownership and Exchange &amp; Third-Party Management). We consider this measure to be important in evaluating the performance of our reportable business segments. See Footnote 16 “Business Segments” to our Financial Statements for further information about our reportable business segments.</w:t>
      </w:r>
    </w:p>
    <w:p>
      <w:pPr>
        <w:spacing w:after="0" w:line="58" w:lineRule="exact"/>
        <w:rPr>
          <w:rFonts w:ascii="Times New Roman" w:cs="Times New Roman" w:eastAsia="Times New Roman" w:hAnsi="Times New Roman"/>
          <w:sz w:val="16"/>
          <w:szCs w:val="16"/>
          <w:color w:val="auto"/>
        </w:rPr>
      </w:pPr>
    </w:p>
    <w:p>
      <w:pPr>
        <w:ind w:left="560" w:hanging="281"/>
        <w:spacing w:after="0"/>
        <w:tabs>
          <w:tab w:leader="none" w:pos="560"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Adjusted EBITDA margin </w:t>
      </w:r>
      <w:r>
        <w:rPr>
          <w:rFonts w:ascii="Times New Roman" w:cs="Times New Roman" w:eastAsia="Times New Roman" w:hAnsi="Times New Roman"/>
          <w:sz w:val="16"/>
          <w:szCs w:val="16"/>
          <w:color w:val="auto"/>
        </w:rPr>
        <w:t>represents Adjusted EBITDA divided by the Company’s total revenues less cost reimbursements revenues.</w:t>
      </w:r>
    </w:p>
    <w:p>
      <w:pPr>
        <w:spacing w:after="0" w:line="100" w:lineRule="exact"/>
        <w:rPr>
          <w:rFonts w:ascii="Times New Roman" w:cs="Times New Roman" w:eastAsia="Times New Roman" w:hAnsi="Times New Roman"/>
          <w:sz w:val="16"/>
          <w:szCs w:val="16"/>
          <w:b w:val="1"/>
          <w:bCs w:val="1"/>
          <w:color w:val="auto"/>
        </w:rPr>
      </w:pPr>
    </w:p>
    <w:p>
      <w:pPr>
        <w:ind w:left="560" w:hanging="281"/>
        <w:spacing w:after="0"/>
        <w:tabs>
          <w:tab w:leader="none" w:pos="5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Segment Adjusted EBITDA margin </w:t>
      </w:r>
      <w:r>
        <w:rPr>
          <w:rFonts w:ascii="Times New Roman" w:cs="Times New Roman" w:eastAsia="Times New Roman" w:hAnsi="Times New Roman"/>
          <w:sz w:val="16"/>
          <w:szCs w:val="16"/>
          <w:color w:val="auto"/>
        </w:rPr>
        <w:t>represents Segment Adjusted EBITDA divided by the applicable segment’s total revenues less cost reimbursements revenues.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35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Results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Borders>
              <w:top w:val="single" w:sz="8" w:color="auto"/>
            </w:tcBorders>
            <w:gridSpan w:val="6"/>
          </w:tcPr>
          <w:p>
            <w:pPr>
              <w:jc w:val="right"/>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top w:val="single" w:sz="8" w:color="auto"/>
            </w:tcBorders>
            <w:gridSpan w:val="4"/>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1"/>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5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358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4"/>
              </w:rPr>
              <w:t>1,048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150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451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473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4"/>
              </w:rPr>
              <w:t>1,242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54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3,640</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Cost of vacation ownership products</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Marketing and sales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234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129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54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Litigation charges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Modernization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Royalty fee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451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1,242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540" w:type="dxa"/>
            <w:vAlign w:val="bottom"/>
            <w:tcBorders>
              <w:bottom w:val="single" w:sz="8" w:color="CCEEFF"/>
            </w:tcBorders>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1,157</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3,435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4"/>
              </w:rPr>
              <w:t>3,253</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rPr>
                <w:sz w:val="12"/>
                <w:szCs w:val="12"/>
                <w:color w:val="auto"/>
              </w:rPr>
            </w:pPr>
          </w:p>
        </w:tc>
        <w:tc>
          <w:tcPr>
            <w:tcW w:w="3340" w:type="dxa"/>
            <w:vAlign w:val="bottom"/>
            <w:tcBorders>
              <w:top w:val="single" w:sz="8" w:color="CCEEFF"/>
            </w:tcBorders>
            <w:gridSpan w:val="6"/>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INCOME BEFORE INCOME TAXES AND</w:t>
            </w: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2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NONCONTROLLING INTERESTS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w w:val="98"/>
              </w:rPr>
              <w:t>Provision for income taxes</w:t>
            </w: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NET (LOSS) INCOME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40" w:type="dxa"/>
            <w:vAlign w:val="bottom"/>
            <w:gridSpan w:val="2"/>
          </w:tcPr>
          <w:p>
            <w:pPr>
              <w:jc w:val="right"/>
              <w:ind w:right="1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9"/>
        </w:trPr>
        <w:tc>
          <w:tcPr>
            <w:tcW w:w="1800" w:type="dxa"/>
            <w:vAlign w:val="bottom"/>
          </w:tcPr>
          <w:p>
            <w:pPr>
              <w:spacing w:after="0"/>
              <w:rPr>
                <w:sz w:val="12"/>
                <w:szCs w:val="12"/>
                <w:color w:val="auto"/>
              </w:rPr>
            </w:pPr>
          </w:p>
        </w:tc>
        <w:tc>
          <w:tcPr>
            <w:tcW w:w="3340" w:type="dxa"/>
            <w:vAlign w:val="bottom"/>
            <w:tcBorders>
              <w:top w:val="single" w:sz="8" w:color="CCEEFF"/>
            </w:tcBorders>
            <w:gridSpan w:val="6"/>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NET (LOSS) INCOME ATTRIBUTABLE TO</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vMerge w:val="restart"/>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800" w:type="dxa"/>
            <w:vAlign w:val="bottom"/>
          </w:tcPr>
          <w:p>
            <w:pPr>
              <w:spacing w:after="0"/>
              <w:rPr>
                <w:sz w:val="17"/>
                <w:szCs w:val="17"/>
                <w:color w:val="auto"/>
              </w:rPr>
            </w:pPr>
          </w:p>
        </w:tc>
        <w:tc>
          <w:tcPr>
            <w:tcW w:w="25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STOCKHOLDERS</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vMerge w:val="continue"/>
            <w:shd w:val="clear" w:color="auto" w:fill="CCEEFF"/>
          </w:tcPr>
          <w:p>
            <w:pPr>
              <w:spacing w:after="0"/>
              <w:rPr>
                <w:sz w:val="17"/>
                <w:szCs w:val="17"/>
                <w:color w:val="auto"/>
              </w:rPr>
            </w:pPr>
          </w:p>
        </w:tc>
        <w:tc>
          <w:tcPr>
            <w:tcW w:w="800" w:type="dxa"/>
            <w:vAlign w:val="bottom"/>
            <w:tcBorders>
              <w:bottom w:val="single" w:sz="8" w:color="auto"/>
            </w:tcBorders>
            <w:gridSpan w:val="2"/>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Statistics</w:t>
            </w:r>
          </w:p>
        </w:tc>
        <w:tc>
          <w:tcPr>
            <w:tcW w:w="16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80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6"/>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Borders>
              <w:bottom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2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800" w:type="dxa"/>
            <w:vAlign w:val="bottom"/>
            <w:gridSpan w:val="2"/>
          </w:tcPr>
          <w:p>
            <w:pPr>
              <w:jc w:val="right"/>
              <w:ind w:right="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4"/>
          </w:tcPr>
          <w:p>
            <w:pPr>
              <w:jc w:val="right"/>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60" w:type="dxa"/>
            <w:vAlign w:val="bottom"/>
          </w:tcPr>
          <w:p>
            <w:pPr>
              <w:spacing w:after="0"/>
              <w:rPr>
                <w:sz w:val="11"/>
                <w:szCs w:val="11"/>
                <w:color w:val="auto"/>
              </w:rPr>
            </w:pPr>
          </w:p>
        </w:tc>
        <w:tc>
          <w:tcPr>
            <w:tcW w:w="920" w:type="dxa"/>
            <w:vAlign w:val="bottom"/>
            <w:gridSpan w:val="3"/>
          </w:tcPr>
          <w:p>
            <w:pPr>
              <w:jc w:val="right"/>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(Contract sales $ in millions)</w:t>
            </w:r>
          </w:p>
        </w:tc>
        <w:tc>
          <w:tcPr>
            <w:tcW w:w="120" w:type="dxa"/>
            <w:vAlign w:val="bottom"/>
          </w:tcPr>
          <w:p>
            <w:pPr>
              <w:spacing w:after="0"/>
              <w:rPr>
                <w:sz w:val="16"/>
                <w:szCs w:val="16"/>
                <w:color w:val="auto"/>
              </w:rPr>
            </w:pPr>
          </w:p>
        </w:tc>
        <w:tc>
          <w:tcPr>
            <w:tcW w:w="7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contract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(32)</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800" w:type="dxa"/>
            <w:vAlign w:val="bottom"/>
          </w:tcPr>
          <w:p>
            <w:pPr>
              <w:spacing w:after="0"/>
              <w:rPr>
                <w:sz w:val="21"/>
                <w:szCs w:val="21"/>
                <w:color w:val="auto"/>
              </w:rPr>
            </w:pPr>
          </w:p>
        </w:tc>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Consolidated contract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(32)</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1800" w:type="dxa"/>
            <w:vAlign w:val="bottom"/>
          </w:tcPr>
          <w:p>
            <w:pPr>
              <w:spacing w:after="0"/>
              <w:rPr>
                <w:sz w:val="11"/>
                <w:szCs w:val="11"/>
                <w:color w:val="auto"/>
              </w:rPr>
            </w:pPr>
          </w:p>
        </w:tc>
        <w:tc>
          <w:tcPr>
            <w:tcW w:w="1620" w:type="dxa"/>
            <w:vAlign w:val="bottom"/>
            <w:shd w:val="clear" w:color="auto" w:fill="CCEEFF"/>
          </w:tcPr>
          <w:p>
            <w:pPr>
              <w:ind w:left="120"/>
              <w:spacing w:after="0" w:line="131" w:lineRule="exact"/>
              <w:rPr>
                <w:sz w:val="20"/>
                <w:szCs w:val="20"/>
                <w:color w:val="auto"/>
              </w:rPr>
            </w:pPr>
            <w:r>
              <w:rPr>
                <w:rFonts w:ascii="Times New Roman" w:cs="Times New Roman" w:eastAsia="Times New Roman" w:hAnsi="Times New Roman"/>
                <w:sz w:val="15"/>
                <w:szCs w:val="15"/>
                <w:color w:val="auto"/>
              </w:rPr>
              <w:t>sales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Joint venture contract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1800" w:type="dxa"/>
            <w:vAlign w:val="bottom"/>
          </w:tcPr>
          <w:p>
            <w:pPr>
              <w:spacing w:after="0"/>
              <w:rPr>
                <w:sz w:val="11"/>
                <w:szCs w:val="11"/>
                <w:color w:val="auto"/>
              </w:rPr>
            </w:pPr>
          </w:p>
        </w:tc>
        <w:tc>
          <w:tcPr>
            <w:tcW w:w="1620" w:type="dxa"/>
            <w:vAlign w:val="bottom"/>
          </w:tcPr>
          <w:p>
            <w:pPr>
              <w:ind w:left="120"/>
              <w:spacing w:after="0" w:line="131" w:lineRule="exact"/>
              <w:rPr>
                <w:sz w:val="20"/>
                <w:szCs w:val="20"/>
                <w:color w:val="auto"/>
              </w:rPr>
            </w:pPr>
            <w:r>
              <w:rPr>
                <w:rFonts w:ascii="Times New Roman" w:cs="Times New Roman" w:eastAsia="Times New Roman" w:hAnsi="Times New Roman"/>
                <w:sz w:val="15"/>
                <w:szCs w:val="15"/>
                <w:color w:val="auto"/>
              </w:rPr>
              <w:t>sales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VPG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3,888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3,910</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(150)</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Tours</w:t>
            </w:r>
          </w:p>
        </w:tc>
        <w:tc>
          <w:tcPr>
            <w:tcW w:w="1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109,609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110,557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318,888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w w:val="99"/>
              </w:rPr>
              <w:t>3,121</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6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Exchange &amp; Third-</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Party Management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1620" w:type="dxa"/>
            <w:vAlign w:val="bottom"/>
          </w:tcPr>
          <w:p>
            <w:pPr>
              <w:ind w:left="120"/>
              <w:spacing w:after="0" w:line="154" w:lineRule="exact"/>
              <w:rPr>
                <w:sz w:val="20"/>
                <w:szCs w:val="20"/>
                <w:color w:val="auto"/>
              </w:rPr>
            </w:pPr>
            <w:r>
              <w:rPr>
                <w:rFonts w:ascii="Times New Roman" w:cs="Times New Roman" w:eastAsia="Times New Roman" w:hAnsi="Times New Roman"/>
                <w:sz w:val="16"/>
                <w:szCs w:val="16"/>
                <w:color w:val="auto"/>
              </w:rPr>
              <w:t>Total active members</w:t>
            </w:r>
          </w:p>
        </w:tc>
        <w:tc>
          <w:tcPr>
            <w:tcW w:w="1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1,545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5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83"/>
              <w:spacing w:after="0"/>
              <w:rPr>
                <w:sz w:val="20"/>
                <w:szCs w:val="20"/>
                <w:color w:val="auto"/>
              </w:rPr>
            </w:pPr>
            <w:r>
              <w:rPr>
                <w:rFonts w:ascii="Times New Roman" w:cs="Times New Roman" w:eastAsia="Times New Roman" w:hAnsi="Times New Roman"/>
                <w:sz w:val="16"/>
                <w:szCs w:val="16"/>
                <w:color w:val="auto"/>
              </w:rPr>
              <w:t>(46)</w:t>
            </w:r>
          </w:p>
        </w:tc>
        <w:tc>
          <w:tcPr>
            <w:tcW w:w="4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00" w:type="dxa"/>
            <w:vAlign w:val="bottom"/>
          </w:tcPr>
          <w:p>
            <w:pPr>
              <w:spacing w:after="0"/>
              <w:rPr>
                <w:sz w:val="11"/>
                <w:szCs w:val="11"/>
                <w:color w:val="auto"/>
              </w:rPr>
            </w:pPr>
          </w:p>
        </w:tc>
        <w:tc>
          <w:tcPr>
            <w:tcW w:w="16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at end of period (000's)</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5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8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162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6"/>
                <w:szCs w:val="16"/>
                <w:color w:val="auto"/>
              </w:rPr>
              <w:t>Average revenue per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37.91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38.93</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5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118.98</w:t>
            </w:r>
          </w:p>
        </w:tc>
        <w:tc>
          <w:tcPr>
            <w:tcW w:w="10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(3.71)</w:t>
            </w:r>
          </w:p>
        </w:tc>
        <w:tc>
          <w:tcPr>
            <w:tcW w:w="4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00" w:type="dxa"/>
            <w:vAlign w:val="bottom"/>
          </w:tcPr>
          <w:p>
            <w:pPr>
              <w:spacing w:after="0"/>
              <w:rPr>
                <w:sz w:val="11"/>
                <w:szCs w:val="11"/>
                <w:color w:val="auto"/>
              </w:rPr>
            </w:pPr>
          </w:p>
        </w:tc>
        <w:tc>
          <w:tcPr>
            <w:tcW w:w="16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member</w:t>
            </w:r>
          </w:p>
        </w:tc>
        <w:tc>
          <w:tcPr>
            <w:tcW w:w="12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560" w:type="dxa"/>
            <w:vAlign w:val="bottom"/>
            <w:gridSpan w:val="4"/>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800" w:type="dxa"/>
            <w:vAlign w:val="bottom"/>
          </w:tcPr>
          <w:p>
            <w:pPr>
              <w:spacing w:after="0"/>
              <w:rPr>
                <w:sz w:val="7"/>
                <w:szCs w:val="7"/>
                <w:color w:val="auto"/>
              </w:rPr>
            </w:pPr>
          </w:p>
        </w:tc>
        <w:tc>
          <w:tcPr>
            <w:tcW w:w="16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5"/>
        </w:trPr>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45" w:lineRule="exact"/>
        <w:rPr>
          <w:sz w:val="20"/>
          <w:szCs w:val="20"/>
          <w:color w:val="auto"/>
        </w:rPr>
      </w:pPr>
    </w:p>
    <w:tbl>
      <w:tblPr>
        <w:tblLayout w:type="fixed"/>
        <w:tblInd w:w="186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560" w:type="dxa"/>
            <w:vAlign w:val="bottom"/>
          </w:tcPr>
          <w:p>
            <w:pPr>
              <w:spacing w:after="0"/>
              <w:rPr>
                <w:sz w:val="11"/>
                <w:szCs w:val="11"/>
                <w:color w:val="auto"/>
              </w:rPr>
            </w:pPr>
          </w:p>
        </w:tc>
        <w:tc>
          <w:tcPr>
            <w:tcW w:w="820" w:type="dxa"/>
            <w:vAlign w:val="bottom"/>
            <w:gridSpan w:val="2"/>
          </w:tcPr>
          <w:p>
            <w:pPr>
              <w:jc w:val="right"/>
              <w:ind w:right="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11"/>
                <w:szCs w:val="11"/>
                <w:color w:val="auto"/>
              </w:rPr>
            </w:pPr>
          </w:p>
        </w:tc>
        <w:tc>
          <w:tcPr>
            <w:tcW w:w="92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6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40" w:type="dxa"/>
            <w:vAlign w:val="bottom"/>
            <w:gridSpan w:val="2"/>
          </w:tcPr>
          <w:p>
            <w:pPr>
              <w:jc w:val="right"/>
              <w:ind w:right="2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9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60" w:type="dxa"/>
            <w:vAlign w:val="bottom"/>
          </w:tcPr>
          <w:p>
            <w:pPr>
              <w:spacing w:after="0"/>
              <w:rPr>
                <w:sz w:val="11"/>
                <w:szCs w:val="11"/>
                <w:color w:val="auto"/>
              </w:rPr>
            </w:pPr>
          </w:p>
        </w:tc>
        <w:tc>
          <w:tcPr>
            <w:tcW w:w="92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58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3,533</w:t>
            </w:r>
          </w:p>
        </w:tc>
        <w:tc>
          <w:tcPr>
            <w:tcW w:w="9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1"/>
        </w:trPr>
        <w:tc>
          <w:tcPr>
            <w:tcW w:w="15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Exchange &amp; Third-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Party Management</w:t>
            </w:r>
          </w:p>
        </w:tc>
        <w:tc>
          <w:tcPr>
            <w:tcW w:w="14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5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164</w:t>
            </w:r>
          </w:p>
        </w:tc>
        <w:tc>
          <w:tcPr>
            <w:tcW w:w="9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5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41"/>
        </w:trPr>
        <w:tc>
          <w:tcPr>
            <w:tcW w:w="1560" w:type="dxa"/>
            <w:vAlign w:val="bottom"/>
            <w:tcBorders>
              <w:top w:val="single" w:sz="8" w:color="CCEEFF"/>
            </w:tcBorders>
            <w:shd w:val="clear" w:color="auto" w:fill="CCEEFF"/>
          </w:tcPr>
          <w:p>
            <w:pPr>
              <w:ind w:left="180"/>
              <w:spacing w:after="0" w:line="141" w:lineRule="exact"/>
              <w:rPr>
                <w:sz w:val="20"/>
                <w:szCs w:val="20"/>
                <w:color w:val="auto"/>
              </w:rPr>
            </w:pPr>
            <w:r>
              <w:rPr>
                <w:rFonts w:ascii="Times New Roman" w:cs="Times New Roman" w:eastAsia="Times New Roman" w:hAnsi="Times New Roman"/>
                <w:sz w:val="16"/>
                <w:szCs w:val="16"/>
                <w:color w:val="auto"/>
              </w:rPr>
              <w:t>Total Segment</w:t>
            </w: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58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3,697</w:t>
            </w:r>
          </w:p>
        </w:tc>
        <w:tc>
          <w:tcPr>
            <w:tcW w:w="9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3,637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1"/>
        </w:trPr>
        <w:tc>
          <w:tcPr>
            <w:tcW w:w="15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Consolidated Property</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Owners’ Associations</w:t>
            </w:r>
          </w:p>
        </w:tc>
        <w:tc>
          <w:tcPr>
            <w:tcW w:w="14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9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8"/>
        </w:trPr>
        <w:tc>
          <w:tcPr>
            <w:tcW w:w="1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580" w:type="dxa"/>
            <w:vAlign w:val="bottom"/>
            <w:tcBorders>
              <w:top w:val="single" w:sz="8" w:color="CCEEFF"/>
              <w:bottom w:val="single" w:sz="8" w:color="CCEEFF"/>
            </w:tcBorders>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3,640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w:t>
            </w:r>
          </w:p>
        </w:tc>
        <w:tc>
          <w:tcPr>
            <w:tcW w:w="56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Before Interest Expense, Taxes, Depreciation and Amortization (“EBITDA”) and Adjusted EBITDA</w:t>
      </w:r>
    </w:p>
    <w:p>
      <w:pPr>
        <w:spacing w:after="0" w:line="10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EBITDA, a financial measure that is not prescribed by GAAP, is defined as earnings, or net income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and amortization of cloud computing software implementation costs. Share-based compensation expense is excluded to address considerable variability among companies in recording compensation expense because companies use share-based payment awards differently, both in the type and quantity of awards granted. During the first quarter of 2025, we began excluding Amortization of cloud computing software implementation costs, which are not included in depreciation and amortization, from Adjusted EBITDA for comparability purposes to address the considerable variability among companies in the utilization of productive assets, and have reclassified prior year amounts to conform with our current year presentation.</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For purposes of our EBITDA, Adjusted EBITDA, and Adjusted EBITDA margin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consider Adjusted EBITDA margin to be an indicator of our operating profitability.</w:t>
      </w:r>
    </w:p>
    <w:p>
      <w:pPr>
        <w:spacing w:after="0" w:line="6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We also use Adjusted EBITDA and Adjusted EBITDA margin,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Adjusted EBITDA, and Adjusted EBITDA margin also exclude depreciation and amortization as well as amortization of cloud computing software implementation costs because companies utilize productive assets of different ages and use different methods of both acquiring and depreciating or amortizing productive assets. These differences can result in considerable variability in the relative costs of productive assets and the depreciation and amortization expense among companies.</w:t>
      </w:r>
    </w:p>
    <w:p>
      <w:pPr>
        <w:spacing w:after="0" w:line="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We believe Adjusted EBITDA and Adjusted EBITDA margin are useful as indicators of operating performance and profitability, respectively, because they allow for period-over-period comparisons of our ongoing core operations before the impact of the excluded items. Adjusted EBITDA and Adjusted EBITDA margin also facilitate comparisons by us, analysts, investors, and others of results from our ongoing core operations before the impact of these items with results from other companies.</w:t>
      </w:r>
    </w:p>
    <w:p>
      <w:pPr>
        <w:spacing w:after="0" w:line="1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EBITDA, Adjusted EBITDA, and Adjusted EBITDA margin have limitations and should not be considered in isolation or as a substitute for performance measures calculated in accordance with GAAP. In addition, other companies in our industry may calculate EBITDA, Adjusted EBITDA, and Adjusted EBITDA margin differently than we do or may not calculate them at all, limiting their usefulness as comparative measures.</w:t>
      </w:r>
    </w:p>
    <w:p>
      <w:pPr>
        <w:spacing w:after="0" w:line="110"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Additionally, during the third quarter of 2025, we reclassified $1 million of certain prior year amounts related to ongoing litigation from General and administrative expense to Litigation charges in order to conform with our current year presentation.</w:t>
      </w:r>
    </w:p>
    <w:p>
      <w:pPr>
        <w:spacing w:after="0" w:line="200" w:lineRule="exact"/>
        <w:rPr>
          <w:sz w:val="20"/>
          <w:szCs w:val="20"/>
          <w:color w:val="auto"/>
        </w:rPr>
      </w:pPr>
    </w:p>
    <w:p>
      <w:pPr>
        <w:spacing w:after="0" w:line="30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40" w:name="page41"/>
    <w:bookmarkEnd w:id="40"/>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
        <w:spacing w:after="0" w:line="276" w:lineRule="auto"/>
        <w:rPr>
          <w:sz w:val="20"/>
          <w:szCs w:val="20"/>
          <w:color w:val="auto"/>
        </w:rPr>
      </w:pPr>
      <w:r>
        <w:rPr>
          <w:rFonts w:ascii="Times New Roman" w:cs="Times New Roman" w:eastAsia="Times New Roman" w:hAnsi="Times New Roman"/>
          <w:sz w:val="16"/>
          <w:szCs w:val="16"/>
          <w:color w:val="auto"/>
        </w:rPr>
        <w:t>The table below shows our EBITDA and Adjusted EBITDA calculation and reconciles these measures with net income or loss attributable to common stockholders, which is the most directly comparable GAAP financial measure.</w:t>
      </w:r>
    </w:p>
    <w:p>
      <w:pPr>
        <w:spacing w:after="0" w:line="88"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580" w:type="dxa"/>
            <w:vAlign w:val="bottom"/>
          </w:tcPr>
          <w:p>
            <w:pPr>
              <w:spacing w:after="0"/>
              <w:rPr>
                <w:sz w:val="11"/>
                <w:szCs w:val="11"/>
                <w:color w:val="auto"/>
              </w:rPr>
            </w:pPr>
          </w:p>
        </w:tc>
        <w:tc>
          <w:tcPr>
            <w:tcW w:w="800" w:type="dxa"/>
            <w:vAlign w:val="bottom"/>
            <w:gridSpan w:val="2"/>
          </w:tcPr>
          <w:p>
            <w:pPr>
              <w:jc w:val="right"/>
              <w:ind w:right="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9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11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gridSpan w:val="2"/>
          </w:tcPr>
          <w:p>
            <w:pPr>
              <w:jc w:val="right"/>
              <w:ind w:right="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11"/>
                <w:szCs w:val="11"/>
                <w:color w:val="auto"/>
              </w:rPr>
            </w:pPr>
          </w:p>
        </w:tc>
        <w:tc>
          <w:tcPr>
            <w:tcW w:w="9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40" w:type="dxa"/>
            <w:vAlign w:val="bottom"/>
          </w:tcPr>
          <w:p>
            <w:pPr>
              <w:spacing w:after="0"/>
              <w:rPr>
                <w:sz w:val="11"/>
                <w:szCs w:val="11"/>
                <w:color w:val="auto"/>
              </w:rPr>
            </w:pPr>
          </w:p>
        </w:tc>
        <w:tc>
          <w:tcPr>
            <w:tcW w:w="1000" w:type="dxa"/>
            <w:vAlign w:val="bottom"/>
            <w:gridSpan w:val="2"/>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6"/>
                <w:szCs w:val="16"/>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5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attributable to common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680" w:type="dxa"/>
            <w:vAlign w:val="bottom"/>
            <w:vMerge w:val="restart"/>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5"/>
              </w:rPr>
              <w:t>(103%)</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40" w:type="dxa"/>
            <w:vAlign w:val="bottom"/>
            <w:vMerge w:val="restart"/>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(27%)</w:t>
            </w:r>
          </w:p>
        </w:tc>
        <w:tc>
          <w:tcPr>
            <w:tcW w:w="0" w:type="dxa"/>
            <w:vAlign w:val="bottom"/>
          </w:tcPr>
          <w:p>
            <w:pPr>
              <w:spacing w:after="0"/>
              <w:rPr>
                <w:sz w:val="1"/>
                <w:szCs w:val="1"/>
                <w:color w:val="auto"/>
              </w:rPr>
            </w:pPr>
          </w:p>
        </w:tc>
      </w:tr>
      <w:tr>
        <w:trPr>
          <w:trHeight w:val="201"/>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6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64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3"/>
              </w:rPr>
              <w:t>1%</w:t>
            </w:r>
          </w:p>
        </w:tc>
        <w:tc>
          <w:tcPr>
            <w:tcW w:w="0" w:type="dxa"/>
            <w:vAlign w:val="bottom"/>
          </w:tcPr>
          <w:p>
            <w:pPr>
              <w:spacing w:after="0"/>
              <w:rPr>
                <w:sz w:val="1"/>
                <w:szCs w:val="1"/>
                <w:color w:val="auto"/>
              </w:rPr>
            </w:pPr>
          </w:p>
        </w:tc>
      </w:tr>
      <w:tr>
        <w:trPr>
          <w:trHeight w:val="161"/>
        </w:trPr>
        <w:tc>
          <w:tcPr>
            <w:tcW w:w="15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Provision for income</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4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161"/>
        </w:trPr>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Depreciation and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680" w:type="dxa"/>
            <w:vAlign w:val="bottom"/>
            <w:tcBorders>
              <w:bottom w:val="single" w:sz="8" w:color="CCEEFF"/>
            </w:tcBorders>
          </w:tcPr>
          <w:p>
            <w:pPr>
              <w:jc w:val="center"/>
              <w:ind w:left="2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640" w:type="dxa"/>
            <w:vAlign w:val="bottom"/>
            <w:tcBorders>
              <w:bottom w:val="single" w:sz="8" w:color="CCEEFF"/>
            </w:tcBorders>
          </w:tcPr>
          <w:p>
            <w:pPr>
              <w:jc w:val="center"/>
              <w:ind w:left="1"/>
              <w:spacing w:after="0"/>
              <w:rPr>
                <w:sz w:val="20"/>
                <w:szCs w:val="20"/>
                <w:color w:val="auto"/>
              </w:rPr>
            </w:pPr>
            <w:r>
              <w:rPr>
                <w:rFonts w:ascii="Times New Roman" w:cs="Times New Roman" w:eastAsia="Times New Roman" w:hAnsi="Times New Roman"/>
                <w:sz w:val="16"/>
                <w:szCs w:val="16"/>
                <w:color w:val="auto"/>
                <w:w w:val="93"/>
              </w:rPr>
              <w:t>4%</w:t>
            </w:r>
          </w:p>
        </w:tc>
        <w:tc>
          <w:tcPr>
            <w:tcW w:w="0" w:type="dxa"/>
            <w:vAlign w:val="bottom"/>
          </w:tcPr>
          <w:p>
            <w:pPr>
              <w:spacing w:after="0"/>
              <w:rPr>
                <w:sz w:val="1"/>
                <w:szCs w:val="1"/>
                <w:color w:val="auto"/>
              </w:rPr>
            </w:pPr>
          </w:p>
        </w:tc>
      </w:tr>
      <w:tr>
        <w:trPr>
          <w:trHeight w:val="205"/>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(112)</w:t>
            </w:r>
          </w:p>
        </w:tc>
        <w:tc>
          <w:tcPr>
            <w:tcW w:w="68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4"/>
              </w:rPr>
              <w:t>(58%)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4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161"/>
        </w:trPr>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Share-based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expense</w:t>
            </w:r>
          </w:p>
        </w:tc>
        <w:tc>
          <w:tcPr>
            <w:tcW w:w="12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64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5"/>
              </w:rPr>
              <w:t>19%</w:t>
            </w:r>
          </w:p>
        </w:tc>
        <w:tc>
          <w:tcPr>
            <w:tcW w:w="0" w:type="dxa"/>
            <w:vAlign w:val="bottom"/>
          </w:tcPr>
          <w:p>
            <w:pPr>
              <w:spacing w:after="0"/>
              <w:rPr>
                <w:sz w:val="1"/>
                <w:szCs w:val="1"/>
                <w:color w:val="auto"/>
              </w:rPr>
            </w:pPr>
          </w:p>
        </w:tc>
      </w:tr>
      <w:tr>
        <w:trPr>
          <w:trHeight w:val="161"/>
        </w:trPr>
        <w:tc>
          <w:tcPr>
            <w:tcW w:w="15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Amortization of cloud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5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computing software</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5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color w:val="auto"/>
              </w:rPr>
              <w:t>implementation costs</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6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54"/>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58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6"/>
                <w:szCs w:val="16"/>
                <w:color w:val="auto"/>
              </w:rPr>
              <w:t>Certain items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8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8"/>
        </w:trPr>
        <w:tc>
          <w:tcPr>
            <w:tcW w:w="158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0"/>
                <w:szCs w:val="20"/>
                <w:b w:val="1"/>
                <w:bCs w:val="1"/>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80" w:type="dxa"/>
            <w:vAlign w:val="bottom"/>
            <w:tcBorders>
              <w:bottom w:val="single" w:sz="8" w:color="auto"/>
            </w:tcBorders>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4"/>
              </w:rPr>
              <w:t>(15%)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640" w:type="dxa"/>
            <w:vAlign w:val="bottom"/>
            <w:tcBorders>
              <w:bottom w:val="single" w:sz="8" w:color="auto"/>
            </w:tcBorders>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3"/>
              </w:rPr>
              <w:t>4%</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(3.2 pts)</w:t>
            </w:r>
          </w:p>
        </w:tc>
        <w:tc>
          <w:tcPr>
            <w:tcW w:w="120" w:type="dxa"/>
            <w:vAlign w:val="bottom"/>
          </w:tcPr>
          <w:p>
            <w:pPr>
              <w:spacing w:after="0"/>
              <w:rPr>
                <w:sz w:val="8"/>
                <w:szCs w:val="8"/>
                <w:color w:val="auto"/>
              </w:rPr>
            </w:pPr>
          </w:p>
        </w:tc>
        <w:tc>
          <w:tcPr>
            <w:tcW w:w="68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restart"/>
          </w:tcPr>
          <w:p>
            <w:pPr>
              <w:jc w:val="center"/>
              <w:ind w:right="81"/>
              <w:spacing w:after="0"/>
              <w:rPr>
                <w:sz w:val="20"/>
                <w:szCs w:val="20"/>
                <w:color w:val="auto"/>
              </w:rPr>
            </w:pPr>
            <w:r>
              <w:rPr>
                <w:rFonts w:ascii="Times New Roman" w:cs="Times New Roman" w:eastAsia="Times New Roman" w:hAnsi="Times New Roman"/>
                <w:sz w:val="16"/>
                <w:szCs w:val="16"/>
                <w:color w:val="auto"/>
              </w:rPr>
              <w:t>0.1 pts</w:t>
            </w:r>
          </w:p>
        </w:tc>
        <w:tc>
          <w:tcPr>
            <w:tcW w:w="0" w:type="dxa"/>
            <w:vAlign w:val="bottom"/>
          </w:tcPr>
          <w:p>
            <w:pPr>
              <w:spacing w:after="0"/>
              <w:rPr>
                <w:sz w:val="1"/>
                <w:szCs w:val="1"/>
                <w:color w:val="auto"/>
              </w:rPr>
            </w:pPr>
          </w:p>
        </w:tc>
      </w:tr>
      <w:tr>
        <w:trPr>
          <w:trHeight w:val="270"/>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Margin</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23"/>
                <w:szCs w:val="23"/>
                <w:color w:val="auto"/>
              </w:rPr>
            </w:pPr>
          </w:p>
        </w:tc>
        <w:tc>
          <w:tcPr>
            <w:tcW w:w="6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3"/>
            <w:vMerge w:val="continue"/>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25" w:hanging="225"/>
        <w:spacing w:after="0"/>
        <w:tabs>
          <w:tab w:leader="none" w:pos="225"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Prior year amounts have been reclassified to conform with our current year presentation.</w:t>
      </w:r>
    </w:p>
    <w:p>
      <w:pPr>
        <w:spacing w:after="0" w:line="77" w:lineRule="exact"/>
        <w:rPr>
          <w:rFonts w:ascii="Times New Roman" w:cs="Times New Roman" w:eastAsia="Times New Roman" w:hAnsi="Times New Roman"/>
          <w:sz w:val="21"/>
          <w:szCs w:val="21"/>
          <w:color w:val="auto"/>
          <w:vertAlign w:val="superscript"/>
        </w:rPr>
      </w:pPr>
    </w:p>
    <w:p>
      <w:pPr>
        <w:ind w:left="285" w:right="720" w:hanging="285"/>
        <w:spacing w:after="0" w:line="223" w:lineRule="auto"/>
        <w:tabs>
          <w:tab w:leader="none" w:pos="223"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first quarter of 2025, we began excluding Amortization of cloud computing software implementation costs, which are not included in Depreciation and amortization, from Adjusted EBITDA, and have reclassified prior year amounts to conform with our current year presentation.</w:t>
      </w:r>
    </w:p>
    <w:p>
      <w:pPr>
        <w:spacing w:after="0" w:line="12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table below details the components of Certain items for the periods presented.</w:t>
      </w:r>
    </w:p>
    <w:p>
      <w:pPr>
        <w:spacing w:after="0" w:line="138"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760" w:type="dxa"/>
            <w:vAlign w:val="bottom"/>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7"/>
        </w:trPr>
        <w:tc>
          <w:tcPr>
            <w:tcW w:w="3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2"/>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r>
      <w:tr>
        <w:trPr>
          <w:trHeight w:val="188"/>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30, 2024</w:t>
            </w:r>
          </w:p>
        </w:tc>
      </w:tr>
      <w:tr>
        <w:trPr>
          <w:trHeight w:val="20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disposition of hotel, land, and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Insurance proceeds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indemnification asset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154"/>
        </w:trPr>
        <w:tc>
          <w:tcPr>
            <w:tcW w:w="3820" w:type="dxa"/>
            <w:vAlign w:val="bottom"/>
            <w:shd w:val="clear" w:color="auto" w:fill="CCEEFF"/>
          </w:tcPr>
          <w:p>
            <w:pPr>
              <w:ind w:left="120"/>
              <w:spacing w:after="0" w:line="154" w:lineRule="exact"/>
              <w:rPr>
                <w:sz w:val="20"/>
                <w:szCs w:val="20"/>
                <w:color w:val="auto"/>
              </w:rPr>
            </w:pPr>
            <w:r>
              <w:rPr>
                <w:rFonts w:ascii="Times New Roman" w:cs="Times New Roman" w:eastAsia="Times New Roman" w:hAnsi="Times New Roman"/>
                <w:sz w:val="16"/>
                <w:szCs w:val="16"/>
                <w:color w:val="auto"/>
              </w:rPr>
              <w:t>Change in estimates relating to pre-acquisition</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1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contingencies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r>
      <w:tr>
        <w:trPr>
          <w:trHeight w:val="225"/>
        </w:trPr>
        <w:tc>
          <w:tcPr>
            <w:tcW w:w="3820" w:type="dxa"/>
            <w:vAlign w:val="bottom"/>
          </w:tcPr>
          <w:p>
            <w:pPr>
              <w:ind w:left="20"/>
              <w:spacing w:after="0" w:line="225" w:lineRule="exact"/>
              <w:rPr>
                <w:sz w:val="20"/>
                <w:szCs w:val="20"/>
                <w:color w:val="auto"/>
              </w:rPr>
            </w:pPr>
            <w:r>
              <w:rPr>
                <w:rFonts w:ascii="Times New Roman" w:cs="Times New Roman" w:eastAsia="Times New Roman" w:hAnsi="Times New Roman"/>
                <w:sz w:val="16"/>
                <w:szCs w:val="16"/>
                <w:color w:val="auto"/>
              </w:rPr>
              <w:t>Litigation charges</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Modernization</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r>
      <w:tr>
        <w:trPr>
          <w:trHeight w:val="218"/>
        </w:trPr>
        <w:tc>
          <w:tcPr>
            <w:tcW w:w="3820" w:type="dxa"/>
            <w:vAlign w:val="bottom"/>
            <w:tcBorders>
              <w:top w:val="single" w:sz="8" w:color="CCEEFF"/>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6"/>
                <w:szCs w:val="16"/>
                <w:b w:val="1"/>
                <w:bCs w:val="1"/>
                <w:color w:val="auto"/>
              </w:rPr>
              <w:t>Total Certain items</w:t>
            </w:r>
            <w:r>
              <w:rPr>
                <w:rFonts w:ascii="Times New Roman" w:cs="Times New Roman" w:eastAsia="Times New Roman" w:hAnsi="Times New Roman"/>
                <w:sz w:val="20"/>
                <w:szCs w:val="20"/>
                <w:b w:val="1"/>
                <w:bCs w:val="1"/>
                <w:color w:val="auto"/>
                <w:vertAlign w:val="superscript"/>
              </w:rPr>
              <w:t>(1)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25" w:hanging="225"/>
        <w:spacing w:after="0"/>
        <w:tabs>
          <w:tab w:leader="none" w:pos="225"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Prior year amounts have been reclassified to conform with our current year presentation.</w:t>
      </w:r>
    </w:p>
    <w:p>
      <w:pPr>
        <w:spacing w:after="0" w:line="125" w:lineRule="exact"/>
        <w:rPr>
          <w:sz w:val="20"/>
          <w:szCs w:val="20"/>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During the second quarter of 2024, we discontinued classifying costs associated with the continued integration of Welk in Transaction and integration costs. Welk integration costs incurred after this period are reflected in the operating results of each of our segments and/or General and administrative expenses.</w:t>
      </w:r>
    </w:p>
    <w:p>
      <w:pPr>
        <w:spacing w:after="0" w:line="200" w:lineRule="exact"/>
        <w:rPr>
          <w:sz w:val="20"/>
          <w:szCs w:val="20"/>
          <w:color w:val="auto"/>
        </w:rPr>
      </w:pPr>
    </w:p>
    <w:p>
      <w:pPr>
        <w:spacing w:after="0" w:line="300" w:lineRule="exact"/>
        <w:rPr>
          <w:sz w:val="20"/>
          <w:szCs w:val="20"/>
          <w:color w:val="auto"/>
        </w:rPr>
      </w:pPr>
    </w:p>
    <w:p>
      <w:pPr>
        <w:ind w:left="5825"/>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5"/>
          </w:cols>
          <w:pgMar w:left="315" w:top="218" w:right="399" w:bottom="1440" w:gutter="0" w:footer="0" w:header="0"/>
        </w:sectPr>
      </w:pPr>
    </w:p>
    <w:bookmarkStart w:id="41" w:name="page42"/>
    <w:bookmarkEnd w:id="41"/>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Segment Adjusted EBITDA</w:t>
      </w:r>
    </w:p>
    <w:p>
      <w:pPr>
        <w:spacing w:after="0" w:line="45"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1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7"/>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740" w:type="dxa"/>
            <w:vAlign w:val="bottom"/>
          </w:tcPr>
          <w:p>
            <w:pPr>
              <w:spacing w:after="0"/>
              <w:rPr>
                <w:sz w:val="11"/>
                <w:szCs w:val="11"/>
                <w:color w:val="auto"/>
              </w:rPr>
            </w:pPr>
          </w:p>
        </w:tc>
        <w:tc>
          <w:tcPr>
            <w:tcW w:w="7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4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20" w:type="dxa"/>
            <w:vAlign w:val="bottom"/>
            <w:gridSpan w:val="2"/>
          </w:tcPr>
          <w:p>
            <w:pPr>
              <w:jc w:val="right"/>
              <w:ind w:right="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92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2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Vacation Ownership</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87"/>
              </w:rPr>
              <w:t>21</w:t>
            </w:r>
          </w:p>
        </w:tc>
        <w:tc>
          <w:tcPr>
            <w:tcW w:w="6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3"/>
              </w:rPr>
              <w:t>4%</w:t>
            </w:r>
          </w:p>
        </w:tc>
        <w:tc>
          <w:tcPr>
            <w:tcW w:w="0" w:type="dxa"/>
            <w:vAlign w:val="bottom"/>
          </w:tcPr>
          <w:p>
            <w:pPr>
              <w:spacing w:after="0"/>
              <w:rPr>
                <w:sz w:val="1"/>
                <w:szCs w:val="1"/>
                <w:color w:val="auto"/>
              </w:rPr>
            </w:pPr>
          </w:p>
        </w:tc>
      </w:tr>
      <w:tr>
        <w:trPr>
          <w:trHeight w:val="161"/>
        </w:trPr>
        <w:tc>
          <w:tcPr>
            <w:tcW w:w="17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Exchange &amp; Third-Party</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Management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0" w:type="dxa"/>
            <w:vAlign w:val="bottom"/>
            <w:tcBorders>
              <w:bottom w:val="single" w:sz="8" w:color="CCEEFF"/>
            </w:tcBorders>
          </w:tcPr>
          <w:p>
            <w:pPr>
              <w:jc w:val="center"/>
              <w:ind w:left="1"/>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(8)</w:t>
            </w:r>
          </w:p>
        </w:tc>
        <w:tc>
          <w:tcPr>
            <w:tcW w:w="600" w:type="dxa"/>
            <w:vAlign w:val="bottom"/>
            <w:tcBorders>
              <w:bottom w:val="single" w:sz="8" w:color="CCEEFF"/>
            </w:tcBorders>
          </w:tcPr>
          <w:p>
            <w:pPr>
              <w:jc w:val="center"/>
              <w:ind w:left="1"/>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137"/>
        </w:trPr>
        <w:tc>
          <w:tcPr>
            <w:tcW w:w="17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5"/>
                <w:szCs w:val="15"/>
                <w:b w:val="1"/>
                <w:bCs w:val="1"/>
                <w:color w:val="auto"/>
              </w:rPr>
              <w:t>Segment adjusted</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EBITDA</w:t>
            </w:r>
            <w:r>
              <w:rPr>
                <w:rFonts w:ascii="Times New Roman" w:cs="Times New Roman" w:eastAsia="Times New Roman" w:hAnsi="Times New Roman"/>
                <w:sz w:val="20"/>
                <w:szCs w:val="20"/>
                <w:b w:val="1"/>
                <w:bCs w:val="1"/>
                <w:color w:val="auto"/>
                <w:vertAlign w:val="superscript"/>
              </w:rPr>
              <w:t>(1)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87"/>
              </w:rPr>
              <w:t>13</w:t>
            </w:r>
          </w:p>
        </w:tc>
        <w:tc>
          <w:tcPr>
            <w:tcW w:w="6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3"/>
              </w:rPr>
              <w:t>2%</w:t>
            </w:r>
          </w:p>
        </w:tc>
        <w:tc>
          <w:tcPr>
            <w:tcW w:w="0" w:type="dxa"/>
            <w:vAlign w:val="bottom"/>
          </w:tcPr>
          <w:p>
            <w:pPr>
              <w:spacing w:after="0"/>
              <w:rPr>
                <w:sz w:val="1"/>
                <w:szCs w:val="1"/>
                <w:color w:val="auto"/>
              </w:rPr>
            </w:pPr>
          </w:p>
        </w:tc>
      </w:tr>
      <w:tr>
        <w:trPr>
          <w:trHeight w:val="159"/>
        </w:trPr>
        <w:tc>
          <w:tcPr>
            <w:tcW w:w="17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General and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7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administrative</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60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6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3"/>
              </w:rPr>
              <w:t>1%</w:t>
            </w:r>
          </w:p>
        </w:tc>
        <w:tc>
          <w:tcPr>
            <w:tcW w:w="0" w:type="dxa"/>
            <w:vAlign w:val="bottom"/>
          </w:tcPr>
          <w:p>
            <w:pPr>
              <w:spacing w:after="0"/>
              <w:rPr>
                <w:sz w:val="1"/>
                <w:szCs w:val="1"/>
                <w:color w:val="auto"/>
              </w:rPr>
            </w:pPr>
          </w:p>
        </w:tc>
      </w:tr>
      <w:tr>
        <w:trPr>
          <w:trHeight w:val="225"/>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93"/>
        </w:trPr>
        <w:tc>
          <w:tcPr>
            <w:tcW w:w="1740" w:type="dxa"/>
            <w:vAlign w:val="bottom"/>
          </w:tcPr>
          <w:p>
            <w:pPr>
              <w:ind w:left="20"/>
              <w:spacing w:after="0" w:line="193"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0"/>
                <w:szCs w:val="20"/>
                <w:b w:val="1"/>
                <w:bCs w:val="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87"/>
              </w:rPr>
              <w:t>20</w:t>
            </w:r>
          </w:p>
        </w:tc>
        <w:tc>
          <w:tcPr>
            <w:tcW w:w="6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3"/>
              </w:rPr>
              <w:t>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25" w:hanging="225"/>
        <w:spacing w:after="0"/>
        <w:tabs>
          <w:tab w:leader="none" w:pos="225"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Prior year amounts have been reclassified to conform with our current year presentation.</w:t>
      </w:r>
    </w:p>
    <w:p>
      <w:pPr>
        <w:spacing w:after="0" w:line="1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tables present segment financial results attributable to common stockholders reconciled to segment Adjusted EBITDA.</w:t>
      </w:r>
    </w:p>
    <w:p>
      <w:pPr>
        <w:spacing w:after="0" w:line="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Vacation Ownership</w:t>
      </w:r>
    </w:p>
    <w:p>
      <w:pPr>
        <w:spacing w:after="0" w:line="45"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1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740" w:type="dxa"/>
            <w:vAlign w:val="bottom"/>
          </w:tcPr>
          <w:p>
            <w:pPr>
              <w:spacing w:after="0"/>
              <w:rPr>
                <w:sz w:val="11"/>
                <w:szCs w:val="11"/>
                <w:color w:val="auto"/>
              </w:rPr>
            </w:pPr>
          </w:p>
        </w:tc>
        <w:tc>
          <w:tcPr>
            <w:tcW w:w="820" w:type="dxa"/>
            <w:vAlign w:val="bottom"/>
            <w:gridSpan w:val="2"/>
          </w:tcPr>
          <w:p>
            <w:pPr>
              <w:jc w:val="right"/>
              <w:ind w:right="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92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20" w:type="dxa"/>
            <w:vAlign w:val="bottom"/>
            <w:gridSpan w:val="2"/>
          </w:tcPr>
          <w:p>
            <w:pPr>
              <w:jc w:val="right"/>
              <w:ind w:right="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92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20" w:type="dxa"/>
            <w:vAlign w:val="bottom"/>
          </w:tcPr>
          <w:p>
            <w:pPr>
              <w:spacing w:after="0"/>
              <w:rPr>
                <w:sz w:val="11"/>
                <w:szCs w:val="11"/>
                <w:color w:val="auto"/>
              </w:rPr>
            </w:pPr>
          </w:p>
        </w:tc>
        <w:tc>
          <w:tcPr>
            <w:tcW w:w="82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financial results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60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4"/>
              </w:rPr>
              <w:t>(33%)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5"/>
              </w:rPr>
              <w:t>—%</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Depreciation and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58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3"/>
              </w:rPr>
              <w:t>7%</w:t>
            </w:r>
          </w:p>
        </w:tc>
        <w:tc>
          <w:tcPr>
            <w:tcW w:w="0" w:type="dxa"/>
            <w:vAlign w:val="bottom"/>
          </w:tcPr>
          <w:p>
            <w:pPr>
              <w:spacing w:after="0"/>
              <w:rPr>
                <w:sz w:val="1"/>
                <w:szCs w:val="1"/>
                <w:color w:val="auto"/>
              </w:rPr>
            </w:pPr>
          </w:p>
        </w:tc>
      </w:tr>
      <w:tr>
        <w:trPr>
          <w:trHeight w:val="154"/>
        </w:trPr>
        <w:tc>
          <w:tcPr>
            <w:tcW w:w="17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w w:val="99"/>
              </w:rPr>
              <w:t>Share-based compensation</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5"/>
              </w:rPr>
              <w:t>10%</w:t>
            </w:r>
          </w:p>
        </w:tc>
        <w:tc>
          <w:tcPr>
            <w:tcW w:w="0" w:type="dxa"/>
            <w:vAlign w:val="bottom"/>
          </w:tcPr>
          <w:p>
            <w:pPr>
              <w:spacing w:after="0"/>
              <w:rPr>
                <w:sz w:val="1"/>
                <w:szCs w:val="1"/>
                <w:color w:val="auto"/>
              </w:rPr>
            </w:pPr>
          </w:p>
        </w:tc>
      </w:tr>
      <w:tr>
        <w:trPr>
          <w:trHeight w:val="154"/>
        </w:trPr>
        <w:tc>
          <w:tcPr>
            <w:tcW w:w="174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Amortization of cloud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computing software</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7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implementation costs</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5"/>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Certain items</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w:t>
            </w:r>
          </w:p>
        </w:tc>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34"/>
        </w:trPr>
        <w:tc>
          <w:tcPr>
            <w:tcW w:w="174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color w:val="auto"/>
              </w:rPr>
              <w:t>Segment adjusted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195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w w:val="94"/>
              </w:rPr>
              <w:t>(16%)</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Pr>
          <w:p>
            <w:pPr>
              <w:spacing w:after="0"/>
              <w:rPr>
                <w:sz w:val="11"/>
                <w:szCs w:val="11"/>
                <w:color w:val="auto"/>
              </w:rPr>
            </w:pPr>
          </w:p>
        </w:tc>
        <w:tc>
          <w:tcPr>
            <w:tcW w:w="2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21</w:t>
            </w:r>
          </w:p>
        </w:tc>
        <w:tc>
          <w:tcPr>
            <w:tcW w:w="58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w w:val="93"/>
              </w:rPr>
              <w:t>4%</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line="189" w:lineRule="exact"/>
              <w:rPr>
                <w:sz w:val="20"/>
                <w:szCs w:val="20"/>
                <w:color w:val="auto"/>
              </w:rPr>
            </w:pPr>
            <w:r>
              <w:rPr>
                <w:rFonts w:ascii="Times New Roman" w:cs="Times New Roman" w:eastAsia="Times New Roman" w:hAnsi="Times New Roman"/>
                <w:sz w:val="16"/>
                <w:szCs w:val="16"/>
                <w:color w:val="auto"/>
              </w:rPr>
              <w:t>EBITDA</w:t>
            </w:r>
            <w:r>
              <w:rPr>
                <w:rFonts w:ascii="Times New Roman" w:cs="Times New Roman" w:eastAsia="Times New Roman" w:hAnsi="Times New Roman"/>
                <w:sz w:val="20"/>
                <w:szCs w:val="20"/>
                <w:color w:val="auto"/>
                <w:vertAlign w:val="superscript"/>
              </w:rPr>
              <w:t>(1)</w:t>
            </w: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74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Segment Adjusted</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gridSpan w:val="3"/>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7"/>
              </w:rPr>
              <w:t>(4.1 pts)</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w w:val="97"/>
              </w:rPr>
              <w:t>(0.2 pts)</w:t>
            </w:r>
          </w:p>
        </w:tc>
        <w:tc>
          <w:tcPr>
            <w:tcW w:w="0" w:type="dxa"/>
            <w:vAlign w:val="bottom"/>
          </w:tcPr>
          <w:p>
            <w:pPr>
              <w:spacing w:after="0"/>
              <w:rPr>
                <w:sz w:val="1"/>
                <w:szCs w:val="1"/>
                <w:color w:val="auto"/>
              </w:rPr>
            </w:pPr>
          </w:p>
        </w:tc>
      </w:tr>
      <w:tr>
        <w:trPr>
          <w:trHeight w:val="213"/>
        </w:trPr>
        <w:tc>
          <w:tcPr>
            <w:tcW w:w="174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EBITDA Margin</w:t>
            </w:r>
            <w:r>
              <w:rPr>
                <w:rFonts w:ascii="Times New Roman" w:cs="Times New Roman" w:eastAsia="Times New Roman" w:hAnsi="Times New Roman"/>
                <w:sz w:val="20"/>
                <w:szCs w:val="20"/>
                <w:color w:val="auto"/>
                <w:vertAlign w:val="superscript"/>
              </w:rPr>
              <w:t>(1)</w:t>
            </w: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25" w:hanging="225"/>
        <w:spacing w:after="0"/>
        <w:tabs>
          <w:tab w:leader="none" w:pos="225"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Prior year amounts have been reclassified to conform with our current year presentation.</w:t>
      </w:r>
    </w:p>
    <w:p>
      <w:pPr>
        <w:spacing w:after="0" w:line="17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table below details the components of Certain items for Vacation Ownership segment financial results.</w:t>
      </w:r>
    </w:p>
    <w:p>
      <w:pPr>
        <w:spacing w:after="0" w:line="138"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5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7"/>
        </w:trPr>
        <w:tc>
          <w:tcPr>
            <w:tcW w:w="18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2"/>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2"/>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800" w:type="dxa"/>
            <w:vAlign w:val="bottom"/>
          </w:tcPr>
          <w:p>
            <w:pPr>
              <w:spacing w:after="0"/>
              <w:rPr>
                <w:sz w:val="11"/>
                <w:szCs w:val="11"/>
                <w:color w:val="auto"/>
              </w:rPr>
            </w:pPr>
          </w:p>
        </w:tc>
      </w:tr>
      <w:tr>
        <w:trPr>
          <w:trHeight w:val="188"/>
        </w:trPr>
        <w:tc>
          <w:tcPr>
            <w:tcW w:w="1800" w:type="dxa"/>
            <w:vAlign w:val="bottom"/>
          </w:tcPr>
          <w:p>
            <w:pPr>
              <w:spacing w:after="0"/>
              <w:rPr>
                <w:sz w:val="16"/>
                <w:szCs w:val="16"/>
                <w:color w:val="auto"/>
              </w:rPr>
            </w:pPr>
          </w:p>
        </w:tc>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800" w:type="dxa"/>
            <w:vAlign w:val="bottom"/>
          </w:tcPr>
          <w:p>
            <w:pPr>
              <w:spacing w:after="0"/>
              <w:rPr>
                <w:sz w:val="16"/>
                <w:szCs w:val="16"/>
                <w:color w:val="auto"/>
              </w:rPr>
            </w:pPr>
          </w:p>
        </w:tc>
      </w:tr>
      <w:tr>
        <w:trPr>
          <w:trHeight w:val="206"/>
        </w:trPr>
        <w:tc>
          <w:tcPr>
            <w:tcW w:w="1800" w:type="dxa"/>
            <w:vAlign w:val="bottom"/>
          </w:tcPr>
          <w:p>
            <w:pPr>
              <w:spacing w:after="0"/>
              <w:rPr>
                <w:sz w:val="17"/>
                <w:szCs w:val="17"/>
                <w:color w:val="auto"/>
              </w:rPr>
            </w:pP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disposition of hotel, land, and other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Insurance proceeds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2"/>
          </w:tcPr>
          <w:p>
            <w:pPr>
              <w:jc w:val="right"/>
              <w:ind w:right="1880"/>
              <w:spacing w:after="0"/>
              <w:rPr>
                <w:sz w:val="20"/>
                <w:szCs w:val="20"/>
                <w:color w:val="auto"/>
              </w:rPr>
            </w:pPr>
            <w:r>
              <w:rPr>
                <w:rFonts w:ascii="Times New Roman" w:cs="Times New Roman" w:eastAsia="Times New Roman" w:hAnsi="Times New Roman"/>
                <w:sz w:val="16"/>
                <w:szCs w:val="16"/>
                <w:color w:val="auto"/>
              </w:rPr>
              <w:t>—</w:t>
            </w:r>
          </w:p>
        </w:tc>
      </w:tr>
      <w:tr>
        <w:trPr>
          <w:trHeight w:val="154"/>
        </w:trPr>
        <w:tc>
          <w:tcPr>
            <w:tcW w:w="1800" w:type="dxa"/>
            <w:vAlign w:val="bottom"/>
          </w:tcPr>
          <w:p>
            <w:pPr>
              <w:spacing w:after="0"/>
              <w:rPr>
                <w:sz w:val="13"/>
                <w:szCs w:val="13"/>
                <w:color w:val="auto"/>
              </w:rPr>
            </w:pPr>
          </w:p>
        </w:tc>
        <w:tc>
          <w:tcPr>
            <w:tcW w:w="3820" w:type="dxa"/>
            <w:vAlign w:val="bottom"/>
            <w:shd w:val="clear" w:color="auto" w:fill="CCEEFF"/>
          </w:tcPr>
          <w:p>
            <w:pPr>
              <w:ind w:left="100"/>
              <w:spacing w:after="0" w:line="154" w:lineRule="exact"/>
              <w:rPr>
                <w:sz w:val="20"/>
                <w:szCs w:val="20"/>
                <w:color w:val="auto"/>
              </w:rPr>
            </w:pPr>
            <w:r>
              <w:rPr>
                <w:rFonts w:ascii="Times New Roman" w:cs="Times New Roman" w:eastAsia="Times New Roman" w:hAnsi="Times New Roman"/>
                <w:sz w:val="16"/>
                <w:szCs w:val="16"/>
                <w:color w:val="auto"/>
              </w:rPr>
              <w:t>Change in estimates relating to pre-acquisition</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0" w:type="dxa"/>
            <w:vAlign w:val="bottom"/>
          </w:tcPr>
          <w:p>
            <w:pPr>
              <w:spacing w:after="0"/>
              <w:rPr>
                <w:sz w:val="13"/>
                <w:szCs w:val="13"/>
                <w:color w:val="auto"/>
              </w:rPr>
            </w:pPr>
          </w:p>
        </w:tc>
      </w:tr>
      <w:tr>
        <w:trPr>
          <w:trHeight w:val="213"/>
        </w:trPr>
        <w:tc>
          <w:tcPr>
            <w:tcW w:w="1800" w:type="dxa"/>
            <w:vAlign w:val="bottom"/>
          </w:tcPr>
          <w:p>
            <w:pPr>
              <w:spacing w:after="0"/>
              <w:rPr>
                <w:sz w:val="18"/>
                <w:szCs w:val="18"/>
                <w:color w:val="auto"/>
              </w:rPr>
            </w:pP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contingencies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0" w:type="dxa"/>
            <w:vAlign w:val="bottom"/>
          </w:tcPr>
          <w:p>
            <w:pPr>
              <w:spacing w:after="0"/>
              <w:rPr>
                <w:sz w:val="18"/>
                <w:szCs w:val="18"/>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2"/>
          </w:tcPr>
          <w:p>
            <w:pPr>
              <w:jc w:val="right"/>
              <w:ind w:right="188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180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Litigation charges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800" w:type="dxa"/>
            <w:vAlign w:val="bottom"/>
          </w:tcPr>
          <w:p>
            <w:pPr>
              <w:spacing w:after="0"/>
              <w:rPr>
                <w:sz w:val="19"/>
                <w:szCs w:val="19"/>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Modernization</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2"/>
          </w:tcPr>
          <w:p>
            <w:pPr>
              <w:jc w:val="right"/>
              <w:ind w:right="18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2"/>
          </w:tcPr>
          <w:p>
            <w:pPr>
              <w:jc w:val="right"/>
              <w:ind w:right="188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180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Certain items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8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43"/>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42" w:name="page43"/>
    <w:bookmarkEnd w:id="42"/>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Exchange &amp; Third-Party Management</w:t>
      </w:r>
    </w:p>
    <w:p>
      <w:pPr>
        <w:spacing w:after="0" w:line="45"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1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740" w:type="dxa"/>
            <w:vAlign w:val="bottom"/>
          </w:tcPr>
          <w:p>
            <w:pPr>
              <w:spacing w:after="0"/>
              <w:rPr>
                <w:sz w:val="11"/>
                <w:szCs w:val="11"/>
                <w:color w:val="auto"/>
              </w:rPr>
            </w:pPr>
          </w:p>
        </w:tc>
        <w:tc>
          <w:tcPr>
            <w:tcW w:w="7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6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40" w:type="dxa"/>
            <w:vAlign w:val="bottom"/>
            <w:gridSpan w:val="2"/>
          </w:tcPr>
          <w:p>
            <w:pPr>
              <w:jc w:val="right"/>
              <w:ind w:right="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940" w:type="dxa"/>
            <w:vAlign w:val="bottom"/>
            <w:gridSpan w:val="3"/>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0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financial results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(6)</w:t>
            </w:r>
          </w:p>
        </w:tc>
        <w:tc>
          <w:tcPr>
            <w:tcW w:w="6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161"/>
        </w:trPr>
        <w:tc>
          <w:tcPr>
            <w:tcW w:w="17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Depreciation and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161"/>
        </w:trPr>
        <w:tc>
          <w:tcPr>
            <w:tcW w:w="17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w w:val="99"/>
              </w:rPr>
              <w:t>Share-based compensation</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5"/>
              </w:rPr>
              <w:t>11%</w:t>
            </w:r>
          </w:p>
        </w:tc>
        <w:tc>
          <w:tcPr>
            <w:tcW w:w="0" w:type="dxa"/>
            <w:vAlign w:val="bottom"/>
          </w:tcPr>
          <w:p>
            <w:pPr>
              <w:spacing w:after="0"/>
              <w:rPr>
                <w:sz w:val="1"/>
                <w:szCs w:val="1"/>
                <w:color w:val="auto"/>
              </w:rPr>
            </w:pPr>
          </w:p>
        </w:tc>
      </w:tr>
      <w:tr>
        <w:trPr>
          <w:trHeight w:val="225"/>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Certain items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1"/>
        </w:trPr>
        <w:tc>
          <w:tcPr>
            <w:tcW w:w="17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6"/>
                <w:szCs w:val="16"/>
                <w:color w:val="auto"/>
              </w:rPr>
              <w:t>Segment adjusted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w:t>
            </w:r>
          </w:p>
        </w:tc>
        <w:tc>
          <w:tcPr>
            <w:tcW w:w="600" w:type="dxa"/>
            <w:vAlign w:val="bottom"/>
            <w:vMerge w:val="restart"/>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(8)</w:t>
            </w:r>
          </w:p>
        </w:tc>
        <w:tc>
          <w:tcPr>
            <w:tcW w:w="600" w:type="dxa"/>
            <w:vAlign w:val="bottom"/>
            <w:vMerge w:val="restart"/>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EBITDA</w:t>
            </w:r>
          </w:p>
        </w:tc>
        <w:tc>
          <w:tcPr>
            <w:tcW w:w="1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80" w:type="dxa"/>
            <w:vAlign w:val="bottom"/>
            <w:gridSpan w:val="3"/>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vMerge w:val="restart"/>
          </w:tcPr>
          <w:p>
            <w:pPr>
              <w:ind w:left="20"/>
              <w:spacing w:after="0" w:line="143" w:lineRule="exact"/>
              <w:rPr>
                <w:sz w:val="20"/>
                <w:szCs w:val="20"/>
                <w:color w:val="auto"/>
              </w:rPr>
            </w:pPr>
            <w:r>
              <w:rPr>
                <w:rFonts w:ascii="Times New Roman" w:cs="Times New Roman" w:eastAsia="Times New Roman" w:hAnsi="Times New Roman"/>
                <w:sz w:val="16"/>
                <w:szCs w:val="16"/>
                <w:color w:val="auto"/>
              </w:rPr>
              <w:t>Segment Adjusted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rPr>
              <w:t>42.3%</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(1.0 pts)</w:t>
            </w:r>
          </w:p>
        </w:tc>
        <w:tc>
          <w:tcPr>
            <w:tcW w:w="140" w:type="dxa"/>
            <w:vAlign w:val="bottom"/>
          </w:tcPr>
          <w:p>
            <w:pPr>
              <w:spacing w:after="0"/>
              <w:rPr>
                <w:sz w:val="8"/>
                <w:szCs w:val="8"/>
                <w:color w:val="auto"/>
              </w:rPr>
            </w:pPr>
          </w:p>
        </w:tc>
        <w:tc>
          <w:tcPr>
            <w:tcW w:w="7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(0.8 pts)</w:t>
            </w:r>
          </w:p>
        </w:tc>
        <w:tc>
          <w:tcPr>
            <w:tcW w:w="0" w:type="dxa"/>
            <w:vAlign w:val="bottom"/>
          </w:tcPr>
          <w:p>
            <w:pPr>
              <w:spacing w:after="0"/>
              <w:rPr>
                <w:sz w:val="1"/>
                <w:szCs w:val="1"/>
                <w:color w:val="auto"/>
              </w:rPr>
            </w:pPr>
          </w:p>
        </w:tc>
      </w:tr>
      <w:tr>
        <w:trPr>
          <w:trHeight w:val="268"/>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Margin</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3"/>
                <w:szCs w:val="23"/>
                <w:color w:val="auto"/>
              </w:rPr>
            </w:pPr>
          </w:p>
        </w:tc>
        <w:tc>
          <w:tcPr>
            <w:tcW w:w="6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3"/>
            <w:vMerge w:val="continue"/>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25" w:hanging="225"/>
        <w:spacing w:after="0"/>
        <w:tabs>
          <w:tab w:leader="none" w:pos="225"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Prior year amounts have been reclassified to conform with our current year presentation.</w:t>
      </w:r>
    </w:p>
    <w:p>
      <w:pPr>
        <w:spacing w:after="0" w:line="1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table below details the components of Certain items for Exchange and Third-Party Management segment financial results.</w:t>
      </w:r>
    </w:p>
    <w:p>
      <w:pPr>
        <w:spacing w:after="0" w:line="4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5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7"/>
        </w:trPr>
        <w:tc>
          <w:tcPr>
            <w:tcW w:w="18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3"/>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800" w:type="dxa"/>
            <w:vAlign w:val="bottom"/>
          </w:tcPr>
          <w:p>
            <w:pPr>
              <w:spacing w:after="0"/>
              <w:rPr>
                <w:sz w:val="11"/>
                <w:szCs w:val="11"/>
                <w:color w:val="auto"/>
              </w:rPr>
            </w:pPr>
          </w:p>
        </w:tc>
      </w:tr>
      <w:tr>
        <w:trPr>
          <w:trHeight w:val="188"/>
        </w:trPr>
        <w:tc>
          <w:tcPr>
            <w:tcW w:w="1800" w:type="dxa"/>
            <w:vAlign w:val="bottom"/>
          </w:tcPr>
          <w:p>
            <w:pPr>
              <w:spacing w:after="0"/>
              <w:rPr>
                <w:sz w:val="16"/>
                <w:szCs w:val="16"/>
                <w:color w:val="auto"/>
              </w:rPr>
            </w:pPr>
          </w:p>
        </w:tc>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800" w:type="dxa"/>
            <w:vAlign w:val="bottom"/>
          </w:tcPr>
          <w:p>
            <w:pPr>
              <w:spacing w:after="0"/>
              <w:rPr>
                <w:sz w:val="16"/>
                <w:szCs w:val="16"/>
                <w:color w:val="auto"/>
              </w:rPr>
            </w:pPr>
          </w:p>
        </w:tc>
      </w:tr>
      <w:tr>
        <w:trPr>
          <w:trHeight w:val="206"/>
        </w:trPr>
        <w:tc>
          <w:tcPr>
            <w:tcW w:w="1800" w:type="dxa"/>
            <w:vAlign w:val="bottom"/>
          </w:tcPr>
          <w:p>
            <w:pPr>
              <w:spacing w:after="0"/>
              <w:rPr>
                <w:sz w:val="17"/>
                <w:szCs w:val="17"/>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Modernization</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2"/>
          </w:tcPr>
          <w:p>
            <w:pPr>
              <w:jc w:val="right"/>
              <w:ind w:right="18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9"/>
                <w:szCs w:val="19"/>
                <w:color w:val="auto"/>
              </w:rPr>
            </w:pPr>
          </w:p>
        </w:tc>
      </w:tr>
      <w:tr>
        <w:trPr>
          <w:trHeight w:val="218"/>
        </w:trPr>
        <w:tc>
          <w:tcPr>
            <w:tcW w:w="180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Certain items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44"/>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55"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Our business is grouped into two reportable business segments: Vacation Ownership and Exchange &amp; Third-Party Management. See Footnote 16 “Business Segments” to our Financial Statements for further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Vacation Ownership</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5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2"/>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1,048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1,268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1,210</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3,458</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of vacation ownership products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Marketing and sales</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Litigation charges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Modernization</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2"/>
          </w:tcPr>
          <w:p>
            <w:pPr>
              <w:jc w:val="right"/>
              <w:ind w:right="1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Restructuring</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Royalty fee</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1,268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3,019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2,931</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rPr>
                <w:sz w:val="12"/>
                <w:szCs w:val="12"/>
                <w:color w:val="auto"/>
              </w:rPr>
            </w:pPr>
          </w:p>
        </w:tc>
        <w:tc>
          <w:tcPr>
            <w:tcW w:w="3820" w:type="dxa"/>
            <w:vAlign w:val="bottom"/>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w w:val="98"/>
              </w:rPr>
              <w:t>SEGMENT FINANCIAL RESULTS ATTRIBUTABLE</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2"/>
                <w:szCs w:val="12"/>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531</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 COMMON STOCKHOLDERS</w:t>
            </w:r>
          </w:p>
        </w:tc>
        <w:tc>
          <w:tcPr>
            <w:tcW w:w="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4" w:name="page45"/>
    <w:bookmarkEnd w:id="44"/>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Sale of Vacation Ownership Products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Third Quarter and First Three Quarters</w:t>
      </w:r>
    </w:p>
    <w:p>
      <w:pPr>
        <w:spacing w:after="0" w:line="140" w:lineRule="exact"/>
        <w:rPr>
          <w:sz w:val="20"/>
          <w:szCs w:val="20"/>
          <w:color w:val="auto"/>
        </w:rPr>
      </w:pPr>
    </w:p>
    <w:tbl>
      <w:tblPr>
        <w:tblLayout w:type="fixed"/>
        <w:tblInd w:w="245"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9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9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8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9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Sales, Net of</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Sales, Net of</w:t>
            </w:r>
          </w:p>
        </w:tc>
        <w:tc>
          <w:tcPr>
            <w:tcW w:w="120" w:type="dxa"/>
            <w:vAlign w:val="bottom"/>
          </w:tcPr>
          <w:p>
            <w:pPr>
              <w:spacing w:after="0"/>
              <w:rPr>
                <w:sz w:val="12"/>
                <w:szCs w:val="12"/>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Sales, Net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Sales, Net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2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6"/>
                <w:szCs w:val="16"/>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Resales</w:t>
            </w:r>
          </w:p>
        </w:tc>
        <w:tc>
          <w:tcPr>
            <w:tcW w:w="120" w:type="dxa"/>
            <w:vAlign w:val="bottom"/>
          </w:tcPr>
          <w:p>
            <w:pPr>
              <w:spacing w:after="0"/>
              <w:rPr>
                <w:sz w:val="16"/>
                <w:szCs w:val="16"/>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Resales</w:t>
            </w: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Resales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Resales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Consolidated</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1,336</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1"/>
        </w:trPr>
        <w:tc>
          <w:tcPr>
            <w:tcW w:w="1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Joint venture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contract sales</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Total contract sales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1,348</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1"/>
        </w:trPr>
        <w:tc>
          <w:tcPr>
            <w:tcW w:w="1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Less: Resales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contract sales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Less: Joint venture</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sales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line="141" w:lineRule="exact"/>
              <w:rPr>
                <w:sz w:val="20"/>
                <w:szCs w:val="20"/>
                <w:color w:val="auto"/>
              </w:rPr>
            </w:pPr>
            <w:r>
              <w:rPr>
                <w:rFonts w:ascii="Times New Roman" w:cs="Times New Roman" w:eastAsia="Times New Roman" w:hAnsi="Times New Roman"/>
                <w:sz w:val="16"/>
                <w:szCs w:val="16"/>
                <w:color w:val="auto"/>
              </w:rPr>
              <w:t>Consolidated</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contract sales, net</w:t>
            </w:r>
          </w:p>
        </w:tc>
        <w:tc>
          <w:tcPr>
            <w:tcW w:w="120" w:type="dxa"/>
            <w:vAlign w:val="bottom"/>
          </w:tcPr>
          <w:p>
            <w:pPr>
              <w:spacing w:after="0"/>
              <w:rPr>
                <w:sz w:val="13"/>
                <w:szCs w:val="13"/>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1"/>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of resales</w:t>
            </w:r>
          </w:p>
        </w:tc>
        <w:tc>
          <w:tcPr>
            <w:tcW w:w="1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Plus: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26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Settlement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98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3"/>
              </w:rPr>
              <w:t>2%</w:t>
            </w:r>
          </w:p>
        </w:tc>
        <w:tc>
          <w:tcPr>
            <w:tcW w:w="5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96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auto"/>
                <w:w w:val="93"/>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2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Resales revenue</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w:t>
            </w:r>
          </w:p>
        </w:tc>
        <w:tc>
          <w:tcPr>
            <w:tcW w:w="9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3"/>
              </w:rPr>
              <w:t>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960" w:type="dxa"/>
            <w:vAlign w:val="bottom"/>
            <w:gridSpan w:val="2"/>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3"/>
              </w:rPr>
              <w:t>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02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6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8"/>
              </w:rPr>
              <w:t>Revenue recognition adjustments: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Reportability</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9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3"/>
              </w:rPr>
              <w:t>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 reserve</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98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960" w:type="dxa"/>
            <w:vAlign w:val="bottom"/>
            <w:gridSpan w:val="2"/>
          </w:tcPr>
          <w:p>
            <w:pPr>
              <w:jc w:val="center"/>
              <w:ind w:left="81"/>
              <w:spacing w:after="0"/>
              <w:rPr>
                <w:sz w:val="20"/>
                <w:szCs w:val="20"/>
                <w:color w:val="auto"/>
              </w:rPr>
            </w:pPr>
            <w:r>
              <w:rPr>
                <w:rFonts w:ascii="Times New Roman" w:cs="Times New Roman" w:eastAsia="Times New Roman" w:hAnsi="Times New Roman"/>
                <w:sz w:val="16"/>
                <w:szCs w:val="16"/>
                <w:color w:val="auto"/>
                <w:w w:val="99"/>
              </w:rPr>
              <w:t>(13%)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9"/>
                <w:szCs w:val="9"/>
                <w:color w:val="auto"/>
              </w:rPr>
              <w:t>(1)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98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w:t>
            </w:r>
          </w:p>
        </w:tc>
        <w:tc>
          <w:tcPr>
            <w:tcW w:w="5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960" w:type="dxa"/>
            <w:vAlign w:val="bottom"/>
            <w:gridSpan w:val="2"/>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9"/>
              </w:rPr>
              <w:t>(6%)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2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line="141" w:lineRule="exact"/>
              <w:rPr>
                <w:sz w:val="20"/>
                <w:szCs w:val="20"/>
                <w:color w:val="auto"/>
              </w:rPr>
            </w:pPr>
            <w:r>
              <w:rPr>
                <w:rFonts w:ascii="Times New Roman" w:cs="Times New Roman" w:eastAsia="Times New Roman" w:hAnsi="Times New Roman"/>
                <w:sz w:val="16"/>
                <w:szCs w:val="16"/>
                <w:color w:val="auto"/>
              </w:rPr>
              <w:t>Sale of vacation</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ownership</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83%</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387</w:t>
            </w:r>
          </w:p>
        </w:tc>
        <w:tc>
          <w:tcPr>
            <w:tcW w:w="98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w w:val="95"/>
              </w:rPr>
              <w:t>86%</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(29)</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1,083</w:t>
            </w:r>
          </w:p>
        </w:tc>
        <w:tc>
          <w:tcPr>
            <w:tcW w:w="96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16"/>
                <w:szCs w:val="16"/>
                <w:color w:val="auto"/>
                <w:w w:val="95"/>
              </w:rPr>
              <w:t>85%</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1,048</w:t>
            </w:r>
          </w:p>
        </w:tc>
        <w:tc>
          <w:tcPr>
            <w:tcW w:w="102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w w:val="95"/>
              </w:rPr>
              <w:t>80%</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78"/>
        </w:trPr>
        <w:tc>
          <w:tcPr>
            <w:tcW w:w="12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products</w:t>
            </w: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VPG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3,888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3,910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Tours</w:t>
            </w:r>
          </w:p>
        </w:tc>
        <w:tc>
          <w:tcPr>
            <w:tcW w:w="12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109,609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110,557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(948)</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322,009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318,888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3,121</w:t>
            </w: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1"/>
        </w:trPr>
        <w:tc>
          <w:tcPr>
            <w:tcW w:w="1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Financing</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propensity</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0.9 pts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1.0 pts</w:t>
            </w:r>
          </w:p>
        </w:tc>
        <w:tc>
          <w:tcPr>
            <w:tcW w:w="0" w:type="dxa"/>
            <w:vAlign w:val="bottom"/>
          </w:tcPr>
          <w:p>
            <w:pPr>
              <w:spacing w:after="0"/>
              <w:rPr>
                <w:sz w:val="1"/>
                <w:szCs w:val="1"/>
                <w:color w:val="auto"/>
              </w:rPr>
            </w:pPr>
          </w:p>
        </w:tc>
      </w:tr>
      <w:tr>
        <w:trPr>
          <w:trHeight w:val="161"/>
        </w:trPr>
        <w:tc>
          <w:tcPr>
            <w:tcW w:w="12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Average FICO</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Score </w:t>
            </w:r>
            <w:r>
              <w:rPr>
                <w:rFonts w:ascii="Times New Roman" w:cs="Times New Roman" w:eastAsia="Times New Roman" w:hAnsi="Times New Roman"/>
                <w:sz w:val="9"/>
                <w:szCs w:val="9"/>
                <w:color w:val="auto"/>
              </w:rPr>
              <w:t>(2)</w:t>
            </w:r>
          </w:p>
        </w:tc>
        <w:tc>
          <w:tcPr>
            <w:tcW w:w="12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85" w:right="80" w:hanging="285"/>
        <w:spacing w:after="0" w:line="223" w:lineRule="auto"/>
        <w:tabs>
          <w:tab w:leader="none" w:pos="274"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Adjustment for sales incentives that will not be recognized as Sale of vacation ownership products revenue and other adjustments to Sale of vacation ownership products revenue.</w:t>
      </w:r>
    </w:p>
    <w:p>
      <w:pPr>
        <w:spacing w:after="0" w:line="43" w:lineRule="exact"/>
        <w:rPr>
          <w:rFonts w:ascii="Times New Roman" w:cs="Times New Roman" w:eastAsia="Times New Roman" w:hAnsi="Times New Roman"/>
          <w:sz w:val="21"/>
          <w:szCs w:val="21"/>
          <w:color w:val="auto"/>
          <w:vertAlign w:val="superscript"/>
        </w:rPr>
      </w:pPr>
    </w:p>
    <w:p>
      <w:pPr>
        <w:ind w:left="265" w:hanging="265"/>
        <w:spacing w:after="0"/>
        <w:tabs>
          <w:tab w:leader="none" w:pos="265"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customers who financed a vacation ownership purchase and for whom a credit score was available, generally U.S. and Canadian residents.</w:t>
      </w:r>
    </w:p>
    <w:p>
      <w:pPr>
        <w:spacing w:after="0" w:line="200" w:lineRule="exact"/>
        <w:rPr>
          <w:sz w:val="20"/>
          <w:szCs w:val="20"/>
          <w:color w:val="auto"/>
        </w:rPr>
      </w:pPr>
    </w:p>
    <w:p>
      <w:pPr>
        <w:spacing w:after="0" w:line="327" w:lineRule="exact"/>
        <w:rPr>
          <w:sz w:val="20"/>
          <w:szCs w:val="20"/>
          <w:color w:val="auto"/>
        </w:rPr>
      </w:pPr>
    </w:p>
    <w:p>
      <w:pPr>
        <w:ind w:left="5825"/>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25"/>
          </w:cols>
          <w:pgMar w:left="315" w:top="218"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w:t>
      </w:r>
    </w:p>
    <w:p>
      <w:pPr>
        <w:spacing w:after="0" w:line="102"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6"/>
          <w:szCs w:val="16"/>
          <w:color w:val="auto"/>
        </w:rPr>
        <w:t>The decrease in Sale of vacation ownership products for the third quarter of 2025 is attributed to lower contract sales, lower revenue reportability and an increase in the sales reserve due to higher financing propensity compared to the prior year comparable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sales decreased during the third quarter of 2025 due to a 5% decrease in VPG and a 1% decrease in tours.</w:t>
      </w:r>
    </w:p>
    <w:p>
      <w:pPr>
        <w:spacing w:after="0" w:line="53" w:lineRule="exact"/>
        <w:rPr>
          <w:sz w:val="20"/>
          <w:szCs w:val="20"/>
          <w:color w:val="auto"/>
        </w:rPr>
      </w:pPr>
    </w:p>
    <w:p>
      <w:pPr>
        <w:ind w:left="420" w:hanging="141"/>
        <w:spacing w:after="0"/>
        <w:tabs>
          <w:tab w:leader="none" w:pos="4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time buyer contract sales decreased 2% on lower VPG and tours.</w:t>
      </w:r>
    </w:p>
    <w:p>
      <w:pPr>
        <w:spacing w:after="0" w:line="52" w:lineRule="exact"/>
        <w:rPr>
          <w:rFonts w:ascii="Times New Roman" w:cs="Times New Roman" w:eastAsia="Times New Roman" w:hAnsi="Times New Roman"/>
          <w:sz w:val="16"/>
          <w:szCs w:val="16"/>
          <w:color w:val="auto"/>
        </w:rPr>
      </w:pPr>
    </w:p>
    <w:p>
      <w:pPr>
        <w:ind w:left="420" w:hanging="141"/>
        <w:spacing w:after="0"/>
        <w:tabs>
          <w:tab w:leader="none" w:pos="4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 contract sales declined 5% on lower VPG and flat tours.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Three Quarters</w:t>
      </w:r>
    </w:p>
    <w:p>
      <w:pPr>
        <w:spacing w:after="0" w:line="1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The increase in Sale of vacation ownership products for the first three quarters of 2025 was primarily due to a decrease in our sales reserve reflecting last year’s $70 million sales reserve adjustment (the “additional sales reserve”) recorded in the second quarter of 2024, partially offset by higher financing propensity and defaults in Asia Pacific in the first three quarters of 2025. In addition, contract sales decreased during the first three quarters of 2025 due to a 4% decrease in VPG and a 1% increase in tours, partially offset by higher revenue reportability in the first three quarters of 2024.</w:t>
      </w:r>
    </w:p>
    <w:p>
      <w:pPr>
        <w:spacing w:after="0" w:line="20" w:lineRule="exact"/>
        <w:rPr>
          <w:sz w:val="20"/>
          <w:szCs w:val="20"/>
          <w:color w:val="auto"/>
        </w:rPr>
      </w:pPr>
    </w:p>
    <w:p>
      <w:pPr>
        <w:ind w:left="420" w:hanging="141"/>
        <w:spacing w:after="0"/>
        <w:tabs>
          <w:tab w:leader="none" w:pos="4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time buyer contract sales increased 3% on higher tours.</w:t>
      </w:r>
    </w:p>
    <w:p>
      <w:pPr>
        <w:spacing w:after="0" w:line="52" w:lineRule="exact"/>
        <w:rPr>
          <w:rFonts w:ascii="Times New Roman" w:cs="Times New Roman" w:eastAsia="Times New Roman" w:hAnsi="Times New Roman"/>
          <w:sz w:val="16"/>
          <w:szCs w:val="16"/>
          <w:color w:val="auto"/>
        </w:rPr>
      </w:pPr>
    </w:p>
    <w:p>
      <w:pPr>
        <w:ind w:left="420" w:hanging="141"/>
        <w:spacing w:after="0"/>
        <w:tabs>
          <w:tab w:leader="none" w:pos="4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 contract sales declined 5% on lower VPG and tours.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Excluding the impact of the additional sales reserve recorded in the second quarter of 2024, our sales reserve as a percent of contract sales in the first three quarters of 2025 is 120 basis points higher than the prior year comparable period. While our delinquency rates at September 30, 2025 have declined from those experienced in 2024, we do not expect to lower the sales reserve for new originations until we have sufficient, sustained evidence of continued improvement in delinquency and default rates.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Development Profit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43"/>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760" w:type="dxa"/>
            <w:vAlign w:val="bottom"/>
          </w:tcPr>
          <w:p>
            <w:pPr>
              <w:jc w:val="right"/>
              <w:ind w:right="23"/>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20" w:type="dxa"/>
            <w:vAlign w:val="bottom"/>
          </w:tcPr>
          <w:p>
            <w:pPr>
              <w:spacing w:after="0"/>
              <w:rPr>
                <w:sz w:val="11"/>
                <w:szCs w:val="11"/>
                <w:color w:val="auto"/>
              </w:rPr>
            </w:pPr>
          </w:p>
        </w:tc>
        <w:tc>
          <w:tcPr>
            <w:tcW w:w="1120" w:type="dxa"/>
            <w:vAlign w:val="bottom"/>
            <w:gridSpan w:val="3"/>
          </w:tcPr>
          <w:p>
            <w:pPr>
              <w:jc w:val="center"/>
              <w:ind w:right="261"/>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387</w:t>
            </w:r>
          </w:p>
        </w:tc>
        <w:tc>
          <w:tcPr>
            <w:tcW w:w="124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70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225"/>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vacation ownership products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90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9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5"/>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70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3"/>
              </w:rPr>
              <w:t>5%</w:t>
            </w:r>
          </w:p>
        </w:tc>
        <w:tc>
          <w:tcPr>
            <w:tcW w:w="0" w:type="dxa"/>
            <w:vAlign w:val="bottom"/>
          </w:tcPr>
          <w:p>
            <w:pPr>
              <w:spacing w:after="0"/>
              <w:rPr>
                <w:sz w:val="1"/>
                <w:szCs w:val="1"/>
                <w:color w:val="auto"/>
              </w:rPr>
            </w:pPr>
          </w:p>
        </w:tc>
      </w:tr>
      <w:tr>
        <w:trPr>
          <w:trHeight w:val="225"/>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and sales</w:t>
            </w: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90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9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5"/>
              </w:rPr>
              <w:t>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70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19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Development profit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70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 profit margin</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 pts)</w:t>
            </w: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 in Development profit was due to the following:</w:t>
      </w:r>
    </w:p>
    <w:p>
      <w:pPr>
        <w:spacing w:after="0" w:line="53" w:lineRule="exact"/>
        <w:rPr>
          <w:sz w:val="20"/>
          <w:szCs w:val="20"/>
          <w:color w:val="auto"/>
        </w:rPr>
      </w:pPr>
    </w:p>
    <w:p>
      <w:pPr>
        <w:ind w:left="280" w:hanging="143"/>
        <w:spacing w:after="0"/>
        <w:tabs>
          <w:tab w:leader="none" w:pos="2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Sale of vacation ownership products (discussed above);</w:t>
      </w:r>
    </w:p>
    <w:p>
      <w:pPr>
        <w:spacing w:after="0" w:line="52" w:lineRule="exact"/>
        <w:rPr>
          <w:rFonts w:ascii="Times New Roman" w:cs="Times New Roman" w:eastAsia="Times New Roman" w:hAnsi="Times New Roman"/>
          <w:sz w:val="16"/>
          <w:szCs w:val="16"/>
          <w:color w:val="auto"/>
        </w:rPr>
      </w:pPr>
    </w:p>
    <w:p>
      <w:pPr>
        <w:ind w:left="280" w:hanging="143"/>
        <w:spacing w:after="0"/>
        <w:tabs>
          <w:tab w:leader="none" w:pos="2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Cost of vacation ownership products; and</w:t>
      </w:r>
    </w:p>
    <w:p>
      <w:pPr>
        <w:spacing w:after="0" w:line="52" w:lineRule="exact"/>
        <w:rPr>
          <w:rFonts w:ascii="Times New Roman" w:cs="Times New Roman" w:eastAsia="Times New Roman" w:hAnsi="Times New Roman"/>
          <w:sz w:val="16"/>
          <w:szCs w:val="16"/>
          <w:color w:val="auto"/>
        </w:rPr>
      </w:pPr>
    </w:p>
    <w:p>
      <w:pPr>
        <w:ind w:left="280" w:hanging="143"/>
        <w:spacing w:after="0"/>
        <w:tabs>
          <w:tab w:leader="none" w:pos="2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Marketing and sales costs due to higher preview and marketing costs, including costs to generate future package tours.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Three Quarters</w:t>
      </w:r>
    </w:p>
    <w:p>
      <w:pPr>
        <w:spacing w:after="0" w:line="4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ectPr>
          <w:pgSz w:w="11900" w:h="16838" w:orient="portrait"/>
          <w:cols w:equalWidth="0" w:num="1">
            <w:col w:w="11260"/>
          </w:cols>
          <w:pgMar w:left="320" w:top="218" w:right="319" w:bottom="1440" w:gutter="0" w:footer="0" w:header="0"/>
        </w:sectPr>
      </w:pPr>
    </w:p>
    <w:p>
      <w:pPr>
        <w:spacing w:after="0" w:line="18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p>
      <w:pPr>
        <w:spacing w:after="0" w:line="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5"/>
          <w:szCs w:val="15"/>
          <w:color w:val="auto"/>
        </w:rPr>
        <w:t>Sale of vacation ownership products</w:t>
      </w:r>
    </w:p>
    <w:p>
      <w:pPr>
        <w:spacing w:after="0" w:line="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5"/>
          <w:szCs w:val="15"/>
          <w:color w:val="auto"/>
        </w:rPr>
        <w:t>Cost of vacation ownership products</w:t>
      </w:r>
    </w:p>
    <w:p>
      <w:pPr>
        <w:spacing w:after="0" w:line="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Marketing and sales</w:t>
      </w:r>
    </w:p>
    <w:p>
      <w:pPr>
        <w:spacing w:after="0" w:line="4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Development profit</w:t>
      </w:r>
    </w:p>
    <w:p>
      <w:pPr>
        <w:spacing w:after="0" w:line="5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Development profit margin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in Development profit was due to the following:</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3"/>
              <w:spacing w:after="0" w:line="139"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3"/>
              <w:spacing w:after="0" w:line="139"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center"/>
              <w:ind w:right="161"/>
              <w:spacing w:after="0" w:line="139" w:lineRule="exact"/>
              <w:rPr>
                <w:sz w:val="20"/>
                <w:szCs w:val="20"/>
                <w:color w:val="auto"/>
              </w:rPr>
            </w:pPr>
            <w:r>
              <w:rPr>
                <w:rFonts w:ascii="Times New Roman" w:cs="Times New Roman" w:eastAsia="Times New Roman" w:hAnsi="Times New Roman"/>
                <w:sz w:val="14"/>
                <w:szCs w:val="14"/>
                <w:b w:val="1"/>
                <w:bCs w:val="1"/>
                <w:color w:val="auto"/>
              </w:rPr>
              <w:t>% of</w:t>
            </w:r>
          </w:p>
        </w:tc>
        <w:tc>
          <w:tcPr>
            <w:tcW w:w="1240" w:type="dxa"/>
            <w:vAlign w:val="bottom"/>
            <w:tcBorders>
              <w:top w:val="single" w:sz="8" w:color="auto"/>
            </w:tcBorders>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1,083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1,048</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35</w:t>
            </w: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9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5"/>
              </w:rPr>
              <w:t>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9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5"/>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w:t>
            </w: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4"/>
        </w:trPr>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9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5"/>
              </w:rPr>
              <w:t>65%</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9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5"/>
              </w:rPr>
              <w:t>65%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(28)</w:t>
            </w: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17</w:t>
            </w: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0" w:type="dxa"/>
            <w:vAlign w:val="bottom"/>
          </w:tcPr>
          <w:p>
            <w:pPr>
              <w:spacing w:after="0"/>
              <w:rPr>
                <w:sz w:val="16"/>
                <w:szCs w:val="16"/>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0.8 pts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-724535</wp:posOffset>
            </wp:positionV>
            <wp:extent cx="4856480" cy="142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56480" cy="142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-438785</wp:posOffset>
            </wp:positionV>
            <wp:extent cx="4856480" cy="142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56480" cy="14287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-145415</wp:posOffset>
            </wp:positionV>
            <wp:extent cx="4856480" cy="142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56480" cy="142875"/>
                    </a:xfrm>
                    <a:prstGeom prst="rect">
                      <a:avLst/>
                    </a:prstGeom>
                    <a:noFill/>
                  </pic:spPr>
                </pic:pic>
              </a:graphicData>
            </a:graphic>
          </wp:anchor>
        </w:drawing>
      </w:r>
    </w:p>
    <w:p>
      <w:pPr>
        <w:spacing w:after="0" w:line="345" w:lineRule="exact"/>
        <w:rPr>
          <w:sz w:val="20"/>
          <w:szCs w:val="20"/>
          <w:color w:val="auto"/>
        </w:rPr>
      </w:pPr>
    </w:p>
    <w:p>
      <w:pPr>
        <w:sectPr>
          <w:pgSz w:w="11900" w:h="16838" w:orient="portrait"/>
          <w:cols w:equalWidth="0" w:num="2">
            <w:col w:w="4120" w:space="240"/>
            <w:col w:w="6900"/>
          </w:cols>
          <w:pgMar w:left="320" w:top="218" w:right="319" w:bottom="1440" w:gutter="0" w:footer="0" w:header="0"/>
          <w:type w:val="continuous"/>
        </w:sectPr>
      </w:pPr>
    </w:p>
    <w:p>
      <w:pPr>
        <w:ind w:left="280" w:hanging="143"/>
        <w:spacing w:after="0"/>
        <w:tabs>
          <w:tab w:leader="none" w:pos="2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Sale of vacation ownership products (discussed above); and</w:t>
      </w:r>
    </w:p>
    <w:p>
      <w:pPr>
        <w:spacing w:after="0" w:line="52" w:lineRule="exact"/>
        <w:rPr>
          <w:rFonts w:ascii="Times New Roman" w:cs="Times New Roman" w:eastAsia="Times New Roman" w:hAnsi="Times New Roman"/>
          <w:sz w:val="16"/>
          <w:szCs w:val="16"/>
          <w:color w:val="auto"/>
        </w:rPr>
      </w:pPr>
    </w:p>
    <w:p>
      <w:pPr>
        <w:ind w:left="280" w:right="120" w:hanging="143"/>
        <w:spacing w:after="0" w:line="276" w:lineRule="auto"/>
        <w:tabs>
          <w:tab w:leader="none" w:pos="27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lower Cost of vacation ownership products due to the sale of lower average cost inventory, including $7 million of favorable product cost true-up activity, partially offset by the $13 million favorable impact of the additional sales reserve in the first three quarters of 2024.</w:t>
      </w:r>
    </w:p>
    <w:p>
      <w:pPr>
        <w:spacing w:after="0" w:line="200" w:lineRule="exact"/>
        <w:rPr>
          <w:sz w:val="20"/>
          <w:szCs w:val="20"/>
          <w:color w:val="auto"/>
        </w:rPr>
      </w:pPr>
    </w:p>
    <w:p>
      <w:pPr>
        <w:spacing w:after="0" w:line="30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were partially offset by:</w:t>
      </w:r>
    </w:p>
    <w:p>
      <w:pPr>
        <w:spacing w:after="0" w:line="53" w:lineRule="exact"/>
        <w:rPr>
          <w:sz w:val="20"/>
          <w:szCs w:val="20"/>
          <w:color w:val="auto"/>
        </w:rPr>
      </w:pPr>
    </w:p>
    <w:p>
      <w:pPr>
        <w:ind w:left="280" w:hanging="143"/>
        <w:spacing w:after="0"/>
        <w:tabs>
          <w:tab w:leader="none" w:pos="2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marketing and sales costs due to:</w:t>
      </w:r>
    </w:p>
    <w:p>
      <w:pPr>
        <w:spacing w:after="0" w:line="52" w:lineRule="exact"/>
        <w:rPr>
          <w:rFonts w:ascii="Times New Roman" w:cs="Times New Roman" w:eastAsia="Times New Roman" w:hAnsi="Times New Roman"/>
          <w:sz w:val="16"/>
          <w:szCs w:val="16"/>
          <w:color w:val="auto"/>
        </w:rPr>
      </w:pPr>
    </w:p>
    <w:p>
      <w:pPr>
        <w:ind w:left="560" w:hanging="139"/>
        <w:spacing w:after="0"/>
        <w:tabs>
          <w:tab w:leader="none" w:pos="56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 million of higher wages and benefits, including variable compensation;</w:t>
      </w:r>
    </w:p>
    <w:p>
      <w:pPr>
        <w:spacing w:after="0" w:line="52" w:lineRule="exact"/>
        <w:rPr>
          <w:rFonts w:ascii="Times New Roman" w:cs="Times New Roman" w:eastAsia="Times New Roman" w:hAnsi="Times New Roman"/>
          <w:sz w:val="16"/>
          <w:szCs w:val="16"/>
          <w:color w:val="auto"/>
        </w:rPr>
      </w:pPr>
    </w:p>
    <w:p>
      <w:pPr>
        <w:ind w:left="560" w:hanging="139"/>
        <w:spacing w:after="0"/>
        <w:tabs>
          <w:tab w:leader="none" w:pos="56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 million of higher cost package tours and higher marketing and other costs; and</w:t>
      </w:r>
    </w:p>
    <w:p>
      <w:pPr>
        <w:spacing w:after="0" w:line="52" w:lineRule="exact"/>
        <w:rPr>
          <w:rFonts w:ascii="Times New Roman" w:cs="Times New Roman" w:eastAsia="Times New Roman" w:hAnsi="Times New Roman"/>
          <w:sz w:val="16"/>
          <w:szCs w:val="16"/>
          <w:color w:val="auto"/>
        </w:rPr>
      </w:pPr>
    </w:p>
    <w:p>
      <w:pPr>
        <w:ind w:left="560" w:hanging="139"/>
        <w:spacing w:after="0"/>
        <w:tabs>
          <w:tab w:leader="none" w:pos="56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million of higher costs for occupancy used for previews.</w:t>
      </w:r>
    </w:p>
    <w:p>
      <w:pPr>
        <w:spacing w:after="0" w:line="10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Excluding the favorable impact of the additional sales reserve in the first three quarters of 2024, Cost of vacation ownership products decreased $23 million and Cost of vacation ownership products as a percentage of sales decreased approximately 160 basis points in the first three quarters of 2025.</w:t>
      </w:r>
    </w:p>
    <w:p>
      <w:pPr>
        <w:spacing w:after="0" w:line="50"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6"/>
          <w:szCs w:val="16"/>
          <w:color w:val="auto"/>
        </w:rPr>
        <w:t>Excluding the impact of the additional sales reserve in the first three quarters of 2024, Development profit decreased $40 million and Development profit margin decreased approximately 290 basis points in the first three quarters of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Resort Management and Other Services Revenues, Expenses and Profit</w:t>
      </w:r>
    </w:p>
    <w:p>
      <w:pPr>
        <w:spacing w:after="0" w:line="14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7"/>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7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60" w:type="dxa"/>
            <w:vAlign w:val="bottom"/>
          </w:tcPr>
          <w:p>
            <w:pPr>
              <w:spacing w:after="0"/>
              <w:rPr>
                <w:sz w:val="11"/>
                <w:szCs w:val="11"/>
                <w:color w:val="auto"/>
              </w:rPr>
            </w:pPr>
          </w:p>
        </w:tc>
        <w:tc>
          <w:tcPr>
            <w:tcW w:w="860" w:type="dxa"/>
            <w:vAlign w:val="bottom"/>
            <w:gridSpan w:val="2"/>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94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20" w:type="dxa"/>
            <w:vAlign w:val="bottom"/>
          </w:tcPr>
          <w:p>
            <w:pPr>
              <w:spacing w:after="0"/>
              <w:rPr>
                <w:sz w:val="11"/>
                <w:szCs w:val="11"/>
                <w:color w:val="auto"/>
              </w:rPr>
            </w:pPr>
          </w:p>
        </w:tc>
        <w:tc>
          <w:tcPr>
            <w:tcW w:w="860" w:type="dxa"/>
            <w:vAlign w:val="bottom"/>
            <w:gridSpan w:val="2"/>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56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3"/>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center"/>
              <w:ind w:left="222"/>
              <w:spacing w:after="0"/>
              <w:rPr>
                <w:sz w:val="20"/>
                <w:szCs w:val="20"/>
                <w:color w:val="auto"/>
              </w:rPr>
            </w:pPr>
            <w:r>
              <w:rPr>
                <w:rFonts w:ascii="Times New Roman" w:cs="Times New Roman" w:eastAsia="Times New Roman" w:hAnsi="Times New Roman"/>
                <w:sz w:val="16"/>
                <w:szCs w:val="16"/>
                <w:color w:val="auto"/>
                <w:w w:val="99"/>
              </w:rPr>
              <w:t>166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5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5"/>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Ancillary revenues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56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3"/>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9"/>
              </w:rPr>
              <w:t>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1"/>
        </w:trPr>
        <w:tc>
          <w:tcPr>
            <w:tcW w:w="17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Other management and</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revenues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6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center"/>
              <w:ind w:left="222"/>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5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41"/>
        </w:trPr>
        <w:tc>
          <w:tcPr>
            <w:tcW w:w="172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Resort management and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services revenues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56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3"/>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9"/>
              </w:rPr>
              <w:t>478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1"/>
        </w:trPr>
        <w:tc>
          <w:tcPr>
            <w:tcW w:w="17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Resort management and</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services expenses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5"/>
              </w:rPr>
              <w:t>—%</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center"/>
              <w:ind w:left="202"/>
              <w:spacing w:after="0"/>
              <w:rPr>
                <w:sz w:val="20"/>
                <w:szCs w:val="20"/>
                <w:color w:val="auto"/>
              </w:rPr>
            </w:pPr>
            <w:r>
              <w:rPr>
                <w:rFonts w:ascii="Times New Roman" w:cs="Times New Roman" w:eastAsia="Times New Roman" w:hAnsi="Times New Roman"/>
                <w:sz w:val="16"/>
                <w:szCs w:val="16"/>
                <w:color w:val="auto"/>
                <w:w w:val="97"/>
              </w:rPr>
              <w:t>(220)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41"/>
        </w:trPr>
        <w:tc>
          <w:tcPr>
            <w:tcW w:w="172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rPr>
              <w:t>Resort management and</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56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auto"/>
                <w:w w:val="93"/>
              </w:rPr>
              <w:t>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center"/>
              <w:ind w:left="222"/>
              <w:spacing w:after="0"/>
              <w:rPr>
                <w:sz w:val="20"/>
                <w:szCs w:val="20"/>
                <w:color w:val="auto"/>
              </w:rPr>
            </w:pPr>
            <w:r>
              <w:rPr>
                <w:rFonts w:ascii="Times New Roman" w:cs="Times New Roman" w:eastAsia="Times New Roman" w:hAnsi="Times New Roman"/>
                <w:sz w:val="16"/>
                <w:szCs w:val="16"/>
                <w:color w:val="auto"/>
                <w:w w:val="99"/>
              </w:rPr>
              <w:t>258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2"/>
                <w:szCs w:val="12"/>
                <w:color w:val="auto"/>
              </w:rPr>
            </w:pPr>
          </w:p>
        </w:tc>
        <w:tc>
          <w:tcPr>
            <w:tcW w:w="2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58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2"/>
        </w:trPr>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other services profit</w:t>
            </w:r>
          </w:p>
        </w:tc>
        <w:tc>
          <w:tcPr>
            <w:tcW w:w="1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72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Resort management and</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other services profit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center"/>
              <w:ind w:right="22"/>
              <w:spacing w:after="0" w:line="158" w:lineRule="exact"/>
              <w:rPr>
                <w:sz w:val="20"/>
                <w:szCs w:val="20"/>
                <w:color w:val="auto"/>
              </w:rPr>
            </w:pPr>
            <w:r>
              <w:rPr>
                <w:rFonts w:ascii="Times New Roman" w:cs="Times New Roman" w:eastAsia="Times New Roman" w:hAnsi="Times New Roman"/>
                <w:sz w:val="16"/>
                <w:szCs w:val="16"/>
                <w:color w:val="auto"/>
                <w:w w:val="96"/>
              </w:rPr>
              <w:t>53.9%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center"/>
              <w:ind w:right="62"/>
              <w:spacing w:after="0" w:line="158" w:lineRule="exact"/>
              <w:rPr>
                <w:sz w:val="20"/>
                <w:szCs w:val="20"/>
                <w:color w:val="auto"/>
              </w:rPr>
            </w:pPr>
            <w:r>
              <w:rPr>
                <w:rFonts w:ascii="Times New Roman" w:cs="Times New Roman" w:eastAsia="Times New Roman" w:hAnsi="Times New Roman"/>
                <w:sz w:val="16"/>
                <w:szCs w:val="16"/>
                <w:color w:val="auto"/>
                <w:w w:val="96"/>
              </w:rPr>
              <w:t>52.1%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color w:val="auto"/>
                <w:w w:val="98"/>
              </w:rPr>
              <w:t>1.8 pts</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center"/>
              <w:ind w:right="62"/>
              <w:spacing w:after="0" w:line="158" w:lineRule="exact"/>
              <w:rPr>
                <w:sz w:val="20"/>
                <w:szCs w:val="20"/>
                <w:color w:val="auto"/>
              </w:rPr>
            </w:pPr>
            <w:r>
              <w:rPr>
                <w:rFonts w:ascii="Times New Roman" w:cs="Times New Roman" w:eastAsia="Times New Roman" w:hAnsi="Times New Roman"/>
                <w:sz w:val="16"/>
                <w:szCs w:val="16"/>
                <w:color w:val="auto"/>
                <w:w w:val="96"/>
              </w:rPr>
              <w:t>53.9%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center"/>
              <w:ind w:right="42"/>
              <w:spacing w:after="0" w:line="158" w:lineRule="exact"/>
              <w:rPr>
                <w:sz w:val="20"/>
                <w:szCs w:val="20"/>
                <w:color w:val="auto"/>
              </w:rPr>
            </w:pPr>
            <w:r>
              <w:rPr>
                <w:rFonts w:ascii="Times New Roman" w:cs="Times New Roman" w:eastAsia="Times New Roman" w:hAnsi="Times New Roman"/>
                <w:sz w:val="16"/>
                <w:szCs w:val="16"/>
                <w:color w:val="auto"/>
              </w:rPr>
              <w:t>52.6%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right="161"/>
              <w:spacing w:after="0" w:line="158" w:lineRule="exact"/>
              <w:rPr>
                <w:sz w:val="20"/>
                <w:szCs w:val="20"/>
                <w:color w:val="auto"/>
              </w:rPr>
            </w:pPr>
            <w:r>
              <w:rPr>
                <w:rFonts w:ascii="Times New Roman" w:cs="Times New Roman" w:eastAsia="Times New Roman" w:hAnsi="Times New Roman"/>
                <w:sz w:val="16"/>
                <w:szCs w:val="16"/>
                <w:color w:val="auto"/>
                <w:w w:val="98"/>
              </w:rPr>
              <w:t>1.3 pts</w:t>
            </w:r>
          </w:p>
        </w:tc>
        <w:tc>
          <w:tcPr>
            <w:tcW w:w="0" w:type="dxa"/>
            <w:vAlign w:val="bottom"/>
          </w:tcPr>
          <w:p>
            <w:pPr>
              <w:spacing w:after="0"/>
              <w:rPr>
                <w:sz w:val="1"/>
                <w:szCs w:val="1"/>
                <w:color w:val="auto"/>
              </w:rPr>
            </w:pPr>
          </w:p>
        </w:tc>
      </w:tr>
      <w:tr>
        <w:trPr>
          <w:trHeight w:val="201"/>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Resort occupancy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6"/>
              </w:rPr>
              <w:t>87.9%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w w:val="96"/>
              </w:rPr>
              <w:t>89.1%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w w:val="97"/>
              </w:rPr>
              <w:t>(1.2 pts)</w:t>
            </w:r>
          </w:p>
        </w:tc>
        <w:tc>
          <w:tcPr>
            <w:tcW w:w="140" w:type="dxa"/>
            <w:vAlign w:val="bottom"/>
          </w:tcPr>
          <w:p>
            <w:pPr>
              <w:spacing w:after="0"/>
              <w:rPr>
                <w:sz w:val="24"/>
                <w:szCs w:val="24"/>
                <w:color w:val="auto"/>
              </w:rPr>
            </w:pPr>
          </w:p>
        </w:tc>
        <w:tc>
          <w:tcPr>
            <w:tcW w:w="70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w w:val="96"/>
              </w:rPr>
              <w:t>89.2%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color w:val="auto"/>
              </w:rPr>
              <w:t>(0.6 pts)</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100" w:right="1880" w:hanging="284"/>
        <w:spacing w:after="0" w:line="203" w:lineRule="auto"/>
        <w:tabs>
          <w:tab w:leader="none" w:pos="2089"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Resort occupancy represents all transient, preview, and owner keys divided by total keys available, net of keys out of service.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w:t>
      </w:r>
    </w:p>
    <w:p>
      <w:pPr>
        <w:spacing w:after="0" w:line="102"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6"/>
          <w:szCs w:val="16"/>
          <w:color w:val="auto"/>
        </w:rPr>
        <w:t>The increase in Resort management and other services profit reflects $4 million of higher management profit, $1 million of higher ancillary profit and $1 million of higher exchange profit.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Three Quarters</w:t>
      </w:r>
    </w:p>
    <w:p>
      <w:pPr>
        <w:spacing w:after="0" w:line="102"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6"/>
          <w:szCs w:val="16"/>
          <w:color w:val="auto"/>
        </w:rPr>
        <w:t>The increase in Resort management and other services profit reflects $12 million of higher management profit, $4 million of higher ancillary profit and $3 million of higher exchange profit.</w:t>
      </w:r>
    </w:p>
    <w:p>
      <w:pPr>
        <w:spacing w:after="0" w:line="200" w:lineRule="exact"/>
        <w:rPr>
          <w:sz w:val="20"/>
          <w:szCs w:val="20"/>
          <w:color w:val="auto"/>
        </w:rPr>
      </w:pPr>
    </w:p>
    <w:p>
      <w:pPr>
        <w:spacing w:after="0" w:line="30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sectPr>
      </w:pPr>
    </w:p>
    <w:bookmarkStart w:id="47" w:name="page48"/>
    <w:bookmarkEnd w:id="47"/>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Rental Revenues, Expenses and Profit</w:t>
      </w:r>
    </w:p>
    <w:p>
      <w:pPr>
        <w:spacing w:after="0" w:line="140"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460" w:type="dxa"/>
            <w:vAlign w:val="bottom"/>
          </w:tcPr>
          <w:p>
            <w:pPr>
              <w:spacing w:after="0"/>
              <w:rPr>
                <w:sz w:val="11"/>
                <w:szCs w:val="11"/>
                <w:color w:val="auto"/>
              </w:rPr>
            </w:pPr>
          </w:p>
        </w:tc>
        <w:tc>
          <w:tcPr>
            <w:tcW w:w="800" w:type="dxa"/>
            <w:vAlign w:val="bottom"/>
            <w:gridSpan w:val="2"/>
          </w:tcPr>
          <w:p>
            <w:pPr>
              <w:jc w:val="right"/>
              <w:ind w:right="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11"/>
                <w:szCs w:val="11"/>
                <w:color w:val="auto"/>
              </w:rPr>
            </w:pPr>
          </w:p>
        </w:tc>
        <w:tc>
          <w:tcPr>
            <w:tcW w:w="9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60" w:type="dxa"/>
            <w:vAlign w:val="bottom"/>
          </w:tcPr>
          <w:p>
            <w:pPr>
              <w:spacing w:after="0"/>
              <w:rPr>
                <w:sz w:val="11"/>
                <w:szCs w:val="11"/>
                <w:color w:val="auto"/>
              </w:rPr>
            </w:pPr>
          </w:p>
        </w:tc>
        <w:tc>
          <w:tcPr>
            <w:tcW w:w="1000" w:type="dxa"/>
            <w:vAlign w:val="bottom"/>
            <w:gridSpan w:val="2"/>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1"/>
                <w:szCs w:val="11"/>
                <w:color w:val="auto"/>
              </w:rPr>
            </w:pPr>
          </w:p>
        </w:tc>
        <w:tc>
          <w:tcPr>
            <w:tcW w:w="92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94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114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30, 2025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30, 2025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60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6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5"/>
        </w:trPr>
        <w:tc>
          <w:tcPr>
            <w:tcW w:w="1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Rental expenses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0" w:type="dxa"/>
            <w:vAlign w:val="bottom"/>
            <w:tcBorders>
              <w:bottom w:val="single" w:sz="8" w:color="CCEEFF"/>
            </w:tcBorders>
          </w:tcPr>
          <w:p>
            <w:pPr>
              <w:jc w:val="center"/>
              <w:ind w:left="21"/>
              <w:spacing w:after="0"/>
              <w:rPr>
                <w:sz w:val="20"/>
                <w:szCs w:val="20"/>
                <w:color w:val="auto"/>
              </w:rPr>
            </w:pPr>
            <w:r>
              <w:rPr>
                <w:rFonts w:ascii="Times New Roman" w:cs="Times New Roman" w:eastAsia="Times New Roman" w:hAnsi="Times New Roman"/>
                <w:sz w:val="16"/>
                <w:szCs w:val="16"/>
                <w:color w:val="auto"/>
                <w:w w:val="94"/>
              </w:rPr>
              <w:t>(10%)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20" w:type="dxa"/>
            <w:vAlign w:val="bottom"/>
            <w:tcBorders>
              <w:bottom w:val="single" w:sz="8" w:color="CCEEFF"/>
            </w:tcBorders>
          </w:tcPr>
          <w:p>
            <w:pPr>
              <w:jc w:val="center"/>
              <w:ind w:left="21"/>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18"/>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tcBorders>
              <w:bottom w:val="single" w:sz="8" w:color="auto"/>
            </w:tcBorders>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4"/>
              </w:rPr>
              <w:t>(54%)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20" w:type="dxa"/>
            <w:vAlign w:val="bottom"/>
            <w:tcBorders>
              <w:bottom w:val="single" w:sz="8" w:color="auto"/>
            </w:tcBorders>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(26%)</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Rental profit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5"/>
              </w:rPr>
              <w:t>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w w:val="97"/>
              </w:rPr>
              <w:t>(8.1 pts)</w:t>
            </w:r>
          </w:p>
        </w:tc>
        <w:tc>
          <w:tcPr>
            <w:tcW w:w="100" w:type="dxa"/>
            <w:vAlign w:val="bottom"/>
          </w:tcPr>
          <w:p>
            <w:pPr>
              <w:spacing w:after="0"/>
              <w:rPr>
                <w:sz w:val="16"/>
                <w:szCs w:val="16"/>
                <w:color w:val="auto"/>
              </w:rPr>
            </w:pPr>
          </w:p>
        </w:tc>
        <w:tc>
          <w:tcPr>
            <w:tcW w:w="72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6"/>
              </w:rPr>
              <w:t>14.3%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6"/>
              </w:rPr>
              <w:t>20.3%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color w:val="auto"/>
              </w:rPr>
              <w:t>(6.0 pts)</w:t>
            </w:r>
          </w:p>
        </w:tc>
        <w:tc>
          <w:tcPr>
            <w:tcW w:w="0" w:type="dxa"/>
            <w:vAlign w:val="bottom"/>
          </w:tcPr>
          <w:p>
            <w:pPr>
              <w:spacing w:after="0"/>
              <w:rPr>
                <w:sz w:val="1"/>
                <w:szCs w:val="1"/>
                <w:color w:val="auto"/>
              </w:rPr>
            </w:pPr>
          </w:p>
        </w:tc>
      </w:tr>
      <w:tr>
        <w:trPr>
          <w:trHeight w:val="106"/>
        </w:trPr>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4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Transient keys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rented</w:t>
            </w:r>
            <w:r>
              <w:rPr>
                <w:rFonts w:ascii="Times New Roman" w:cs="Times New Roman" w:eastAsia="Times New Roman" w:hAnsi="Times New Roman"/>
                <w:sz w:val="9"/>
                <w:szCs w:val="9"/>
                <w:color w:val="auto"/>
              </w:rPr>
              <w:t>(1)</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554,983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554,201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782</w:t>
            </w:r>
          </w:p>
        </w:tc>
        <w:tc>
          <w:tcPr>
            <w:tcW w:w="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6"/>
              </w:rPr>
              <w:t>1,712,123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6"/>
              </w:rPr>
              <w:t>1,672,875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5"/>
              </w:rPr>
              <w:t>39,248</w:t>
            </w:r>
          </w:p>
        </w:tc>
        <w:tc>
          <w:tcPr>
            <w:tcW w:w="6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Average transient rate $</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6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5"/>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 occupancy</w:t>
            </w:r>
            <w:r>
              <w:rPr>
                <w:rFonts w:ascii="Times New Roman" w:cs="Times New Roman" w:eastAsia="Times New Roman" w:hAnsi="Times New Roman"/>
                <w:sz w:val="9"/>
                <w:szCs w:val="9"/>
                <w:color w:val="auto"/>
              </w:rPr>
              <w:t>(2)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6"/>
              </w:rPr>
              <w:t>69.0%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7"/>
              </w:rPr>
              <w:t>(2.4 pts)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6"/>
              </w:rPr>
              <w:t>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6"/>
              </w:rPr>
              <w:t>72.8%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41"/>
              <w:spacing w:after="0"/>
              <w:rPr>
                <w:sz w:val="20"/>
                <w:szCs w:val="20"/>
                <w:color w:val="auto"/>
              </w:rPr>
            </w:pPr>
            <w:r>
              <w:rPr>
                <w:rFonts w:ascii="Times New Roman" w:cs="Times New Roman" w:eastAsia="Times New Roman" w:hAnsi="Times New Roman"/>
                <w:sz w:val="16"/>
                <w:szCs w:val="16"/>
                <w:color w:val="auto"/>
              </w:rPr>
              <w:t>(0.4 pts)</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65" w:hanging="265"/>
        <w:spacing w:after="0"/>
        <w:tabs>
          <w:tab w:leader="none" w:pos="265"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Transient keys rented exclude plus points and preview stays.</w:t>
      </w:r>
    </w:p>
    <w:p>
      <w:pPr>
        <w:spacing w:after="0" w:line="48" w:lineRule="exact"/>
        <w:rPr>
          <w:rFonts w:ascii="Times New Roman" w:cs="Times New Roman" w:eastAsia="Times New Roman" w:hAnsi="Times New Roman"/>
          <w:sz w:val="21"/>
          <w:szCs w:val="21"/>
          <w:color w:val="auto"/>
          <w:vertAlign w:val="superscript"/>
        </w:rPr>
      </w:pPr>
    </w:p>
    <w:p>
      <w:pPr>
        <w:ind w:left="265" w:hanging="265"/>
        <w:spacing w:after="0" w:line="187" w:lineRule="auto"/>
        <w:tabs>
          <w:tab w:leader="none" w:pos="265"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Rental occupancy represents transient and preview keys divided by keys available to rent, which is total available keys excluding owner usage.</w:t>
      </w:r>
    </w:p>
    <w:p>
      <w:pPr>
        <w:spacing w:after="0" w:line="1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Third Quarter</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Rental profit declined due to:</w:t>
      </w:r>
    </w:p>
    <w:p>
      <w:pPr>
        <w:spacing w:after="0" w:line="53" w:lineRule="exact"/>
        <w:rPr>
          <w:sz w:val="20"/>
          <w:szCs w:val="20"/>
          <w:color w:val="auto"/>
        </w:rPr>
      </w:pPr>
    </w:p>
    <w:p>
      <w:pPr>
        <w:ind w:left="565" w:hanging="281"/>
        <w:spacing w:after="0"/>
        <w:tabs>
          <w:tab w:leader="none" w:pos="56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million of higher unsold maintenance fees associated with developer-owned inventory;</w:t>
      </w:r>
    </w:p>
    <w:p>
      <w:pPr>
        <w:spacing w:after="0" w:line="52" w:lineRule="exact"/>
        <w:rPr>
          <w:rFonts w:ascii="Times New Roman" w:cs="Times New Roman" w:eastAsia="Times New Roman" w:hAnsi="Times New Roman"/>
          <w:sz w:val="16"/>
          <w:szCs w:val="16"/>
          <w:color w:val="auto"/>
        </w:rPr>
      </w:pPr>
    </w:p>
    <w:p>
      <w:pPr>
        <w:ind w:left="565" w:hanging="281"/>
        <w:spacing w:after="0"/>
        <w:tabs>
          <w:tab w:leader="none" w:pos="56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million of increased costs due to higher owner utilization of third-party vacation offerings, increased marketing, variable and other costs.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These amounts were partially offset by a $2 million increase in costs allocated to marketing and sales expense for occupancy used for previews.</w:t>
      </w:r>
    </w:p>
    <w:p>
      <w:pPr>
        <w:spacing w:after="0" w:line="100" w:lineRule="exact"/>
        <w:rPr>
          <w:sz w:val="20"/>
          <w:szCs w:val="20"/>
          <w:color w:val="auto"/>
        </w:rPr>
      </w:pPr>
    </w:p>
    <w:p>
      <w:pPr>
        <w:ind w:left="5" w:right="80"/>
        <w:spacing w:after="0" w:line="276" w:lineRule="auto"/>
        <w:rPr>
          <w:sz w:val="20"/>
          <w:szCs w:val="20"/>
          <w:color w:val="auto"/>
        </w:rPr>
      </w:pPr>
      <w:r>
        <w:rPr>
          <w:rFonts w:ascii="Times New Roman" w:cs="Times New Roman" w:eastAsia="Times New Roman" w:hAnsi="Times New Roman"/>
          <w:sz w:val="16"/>
          <w:szCs w:val="16"/>
          <w:color w:val="auto"/>
        </w:rPr>
        <w:t>Rental revenues and Rental expenses are both $9 million higher in the third quarter of 2025 compared to the third quarter of 2024 due to the year over year change in the amount reclassified for costs in excess of rental revenues for developer-owned inventory which is registered and held for sale.</w:t>
      </w:r>
    </w:p>
    <w:p>
      <w:pPr>
        <w:spacing w:after="0" w:line="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Three Quarters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Rental profit declined due to:</w:t>
      </w:r>
    </w:p>
    <w:p>
      <w:pPr>
        <w:spacing w:after="0" w:line="53" w:lineRule="exact"/>
        <w:rPr>
          <w:sz w:val="20"/>
          <w:szCs w:val="20"/>
          <w:color w:val="auto"/>
        </w:rPr>
      </w:pPr>
    </w:p>
    <w:p>
      <w:pPr>
        <w:ind w:left="565" w:right="200" w:hanging="281"/>
        <w:spacing w:after="0" w:line="276" w:lineRule="auto"/>
        <w:tabs>
          <w:tab w:leader="none" w:pos="56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 million of lower plus point revenue attributed to the non-recurring impact of sales incentive programs put in place during COVID, which increased the amount of plus points issued and lengthened the use period in the prior year comparable periods;</w:t>
      </w:r>
    </w:p>
    <w:p>
      <w:pPr>
        <w:spacing w:after="0" w:line="3" w:lineRule="exact"/>
        <w:rPr>
          <w:rFonts w:ascii="Times New Roman" w:cs="Times New Roman" w:eastAsia="Times New Roman" w:hAnsi="Times New Roman"/>
          <w:sz w:val="16"/>
          <w:szCs w:val="16"/>
          <w:color w:val="auto"/>
        </w:rPr>
      </w:pPr>
    </w:p>
    <w:p>
      <w:pPr>
        <w:ind w:left="565" w:hanging="281"/>
        <w:spacing w:after="0"/>
        <w:tabs>
          <w:tab w:leader="none" w:pos="56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 million of higher unsold maintenance fees associated with developer-owned inventory;</w:t>
      </w:r>
    </w:p>
    <w:p>
      <w:pPr>
        <w:spacing w:after="0" w:line="52" w:lineRule="exact"/>
        <w:rPr>
          <w:rFonts w:ascii="Times New Roman" w:cs="Times New Roman" w:eastAsia="Times New Roman" w:hAnsi="Times New Roman"/>
          <w:sz w:val="16"/>
          <w:szCs w:val="16"/>
          <w:color w:val="auto"/>
        </w:rPr>
      </w:pPr>
    </w:p>
    <w:p>
      <w:pPr>
        <w:ind w:left="565" w:hanging="281"/>
        <w:spacing w:after="0"/>
        <w:tabs>
          <w:tab w:leader="none" w:pos="56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million of higher marketing, variable and other costs; and</w:t>
      </w:r>
    </w:p>
    <w:p>
      <w:pPr>
        <w:spacing w:after="0" w:line="52" w:lineRule="exact"/>
        <w:rPr>
          <w:rFonts w:ascii="Times New Roman" w:cs="Times New Roman" w:eastAsia="Times New Roman" w:hAnsi="Times New Roman"/>
          <w:sz w:val="16"/>
          <w:szCs w:val="16"/>
          <w:color w:val="auto"/>
        </w:rPr>
      </w:pPr>
    </w:p>
    <w:p>
      <w:pPr>
        <w:ind w:left="565" w:hanging="281"/>
        <w:spacing w:after="0"/>
        <w:tabs>
          <w:tab w:leader="none" w:pos="56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million of increased costs due to higher owner utilization of third-party vacation offerings.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These amounts are partially offset by:</w:t>
      </w:r>
    </w:p>
    <w:p>
      <w:pPr>
        <w:spacing w:after="0" w:line="53" w:lineRule="exact"/>
        <w:rPr>
          <w:sz w:val="20"/>
          <w:szCs w:val="20"/>
          <w:color w:val="auto"/>
        </w:rPr>
      </w:pPr>
    </w:p>
    <w:p>
      <w:pPr>
        <w:ind w:left="565" w:hanging="281"/>
        <w:spacing w:after="0"/>
        <w:tabs>
          <w:tab w:leader="none" w:pos="56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million increase in transient rental revenues; and</w:t>
      </w:r>
    </w:p>
    <w:p>
      <w:pPr>
        <w:spacing w:after="0" w:line="52" w:lineRule="exact"/>
        <w:rPr>
          <w:rFonts w:ascii="Times New Roman" w:cs="Times New Roman" w:eastAsia="Times New Roman" w:hAnsi="Times New Roman"/>
          <w:sz w:val="16"/>
          <w:szCs w:val="16"/>
          <w:color w:val="auto"/>
        </w:rPr>
      </w:pPr>
    </w:p>
    <w:p>
      <w:pPr>
        <w:ind w:left="565" w:hanging="281"/>
        <w:spacing w:after="0"/>
        <w:tabs>
          <w:tab w:leader="none" w:pos="56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$8 million increase in costs allocated to marketing and sales expense for occupancy used for previews.</w:t>
      </w:r>
    </w:p>
    <w:p>
      <w:pPr>
        <w:spacing w:after="0" w:line="100" w:lineRule="exact"/>
        <w:rPr>
          <w:sz w:val="20"/>
          <w:szCs w:val="20"/>
          <w:color w:val="auto"/>
        </w:rPr>
      </w:pPr>
    </w:p>
    <w:p>
      <w:pPr>
        <w:ind w:left="5"/>
        <w:spacing w:after="0" w:line="276" w:lineRule="auto"/>
        <w:rPr>
          <w:sz w:val="20"/>
          <w:szCs w:val="20"/>
          <w:color w:val="auto"/>
        </w:rPr>
      </w:pPr>
      <w:r>
        <w:rPr>
          <w:rFonts w:ascii="Times New Roman" w:cs="Times New Roman" w:eastAsia="Times New Roman" w:hAnsi="Times New Roman"/>
          <w:sz w:val="16"/>
          <w:szCs w:val="16"/>
          <w:color w:val="auto"/>
        </w:rPr>
        <w:t>Rental revenues and Rental expenses are both $26 million higher in the first three quarters of 2025 compared to the first three quarters of 2024 due to the year over year change in the amount reclassified for costs in excess of rental revenues for developer-owned inventory which is registered and held for sale.</w:t>
      </w:r>
    </w:p>
    <w:p>
      <w:pPr>
        <w:spacing w:after="0" w:line="200" w:lineRule="exact"/>
        <w:rPr>
          <w:sz w:val="20"/>
          <w:szCs w:val="20"/>
          <w:color w:val="auto"/>
        </w:rPr>
      </w:pPr>
    </w:p>
    <w:p>
      <w:pPr>
        <w:spacing w:after="0" w:line="30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2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Revenues, Expenses and Profit</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620" w:type="dxa"/>
            <w:vAlign w:val="bottom"/>
          </w:tcPr>
          <w:p>
            <w:pPr>
              <w:spacing w:after="0"/>
              <w:rPr>
                <w:sz w:val="11"/>
                <w:szCs w:val="11"/>
                <w:color w:val="auto"/>
              </w:rPr>
            </w:pPr>
          </w:p>
        </w:tc>
        <w:tc>
          <w:tcPr>
            <w:tcW w:w="80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2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center"/>
              <w:ind w:left="342"/>
              <w:spacing w:after="0"/>
              <w:rPr>
                <w:sz w:val="20"/>
                <w:szCs w:val="20"/>
                <w:color w:val="auto"/>
              </w:rPr>
            </w:pPr>
            <w:r>
              <w:rPr>
                <w:rFonts w:ascii="Times New Roman" w:cs="Times New Roman" w:eastAsia="Times New Roman" w:hAnsi="Times New Roman"/>
                <w:sz w:val="16"/>
                <w:szCs w:val="16"/>
                <w:color w:val="auto"/>
                <w:w w:val="87"/>
              </w:rPr>
              <w:t>90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6"/>
                <w:szCs w:val="16"/>
                <w:color w:val="auto"/>
                <w:w w:val="99"/>
              </w:rPr>
              <w:t>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66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3"/>
              </w:rPr>
              <w:t>5%</w:t>
            </w:r>
          </w:p>
        </w:tc>
        <w:tc>
          <w:tcPr>
            <w:tcW w:w="0" w:type="dxa"/>
            <w:vAlign w:val="bottom"/>
          </w:tcPr>
          <w:p>
            <w:pPr>
              <w:spacing w:after="0"/>
              <w:rPr>
                <w:sz w:val="1"/>
                <w:szCs w:val="1"/>
                <w:color w:val="auto"/>
              </w:rPr>
            </w:pPr>
          </w:p>
        </w:tc>
      </w:tr>
      <w:tr>
        <w:trPr>
          <w:trHeight w:val="225"/>
        </w:trPr>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expenses</w:t>
            </w:r>
          </w:p>
        </w:tc>
        <w:tc>
          <w:tcPr>
            <w:tcW w:w="120" w:type="dxa"/>
            <w:vAlign w:val="bottom"/>
          </w:tcPr>
          <w:p>
            <w:pPr>
              <w:spacing w:after="0"/>
              <w:rPr>
                <w:sz w:val="19"/>
                <w:szCs w:val="19"/>
                <w:color w:val="auto"/>
              </w:rPr>
            </w:pPr>
          </w:p>
        </w:tc>
        <w:tc>
          <w:tcPr>
            <w:tcW w:w="68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auto"/>
                <w:w w:val="97"/>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161"/>
        </w:trPr>
        <w:tc>
          <w:tcPr>
            <w:tcW w:w="1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Consumer financing</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ind w:left="302"/>
              <w:spacing w:after="0"/>
              <w:rPr>
                <w:sz w:val="20"/>
                <w:szCs w:val="20"/>
                <w:color w:val="auto"/>
              </w:rPr>
            </w:pPr>
            <w:r>
              <w:rPr>
                <w:rFonts w:ascii="Times New Roman" w:cs="Times New Roman" w:eastAsia="Times New Roman" w:hAnsi="Times New Roman"/>
                <w:sz w:val="16"/>
                <w:szCs w:val="16"/>
                <w:color w:val="auto"/>
                <w:w w:val="97"/>
              </w:rPr>
              <w:t>(26)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center"/>
              <w:ind w:left="282"/>
              <w:spacing w:after="0"/>
              <w:rPr>
                <w:sz w:val="20"/>
                <w:szCs w:val="20"/>
                <w:color w:val="auto"/>
              </w:rPr>
            </w:pPr>
            <w:r>
              <w:rPr>
                <w:rFonts w:ascii="Times New Roman" w:cs="Times New Roman" w:eastAsia="Times New Roman" w:hAnsi="Times New Roman"/>
                <w:sz w:val="16"/>
                <w:szCs w:val="16"/>
                <w:color w:val="auto"/>
                <w:w w:val="97"/>
              </w:rPr>
              <w:t>(25)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93"/>
        </w:trPr>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center"/>
              <w:ind w:left="342"/>
              <w:spacing w:after="0"/>
              <w:rPr>
                <w:sz w:val="20"/>
                <w:szCs w:val="20"/>
                <w:color w:val="auto"/>
              </w:rPr>
            </w:pPr>
            <w:r>
              <w:rPr>
                <w:rFonts w:ascii="Times New Roman" w:cs="Times New Roman" w:eastAsia="Times New Roman" w:hAnsi="Times New Roman"/>
                <w:sz w:val="16"/>
                <w:szCs w:val="16"/>
                <w:color w:val="auto"/>
                <w:w w:val="87"/>
              </w:rPr>
              <w:t>52</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center"/>
              <w:ind w:left="302"/>
              <w:spacing w:after="0"/>
              <w:rPr>
                <w:sz w:val="20"/>
                <w:szCs w:val="20"/>
                <w:color w:val="auto"/>
              </w:rPr>
            </w:pPr>
            <w:r>
              <w:rPr>
                <w:rFonts w:ascii="Times New Roman" w:cs="Times New Roman" w:eastAsia="Times New Roman" w:hAnsi="Times New Roman"/>
                <w:sz w:val="16"/>
                <w:szCs w:val="16"/>
                <w:color w:val="auto"/>
                <w:w w:val="99"/>
              </w:rPr>
              <w:t>50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6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   8</w:t>
            </w:r>
          </w:p>
        </w:tc>
        <w:tc>
          <w:tcPr>
            <w:tcW w:w="66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6"/>
                <w:szCs w:val="16"/>
                <w:color w:val="auto"/>
                <w:w w:val="93"/>
              </w:rPr>
              <w:t>6%</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profit margin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22"/>
              <w:spacing w:after="0"/>
              <w:rPr>
                <w:sz w:val="20"/>
                <w:szCs w:val="20"/>
                <w:color w:val="auto"/>
              </w:rPr>
            </w:pPr>
            <w:r>
              <w:rPr>
                <w:rFonts w:ascii="Times New Roman" w:cs="Times New Roman" w:eastAsia="Times New Roman" w:hAnsi="Times New Roman"/>
                <w:sz w:val="16"/>
                <w:szCs w:val="16"/>
                <w:color w:val="auto"/>
              </w:rPr>
              <w:t>57.8%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right="62"/>
              <w:spacing w:after="0"/>
              <w:rPr>
                <w:sz w:val="20"/>
                <w:szCs w:val="20"/>
                <w:color w:val="auto"/>
              </w:rPr>
            </w:pPr>
            <w:r>
              <w:rPr>
                <w:rFonts w:ascii="Times New Roman" w:cs="Times New Roman" w:eastAsia="Times New Roman" w:hAnsi="Times New Roman"/>
                <w:sz w:val="16"/>
                <w:szCs w:val="16"/>
                <w:color w:val="auto"/>
                <w:w w:val="96"/>
              </w:rPr>
              <w:t>57.9%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81"/>
              <w:spacing w:after="0"/>
              <w:rPr>
                <w:sz w:val="20"/>
                <w:szCs w:val="20"/>
                <w:color w:val="auto"/>
              </w:rPr>
            </w:pPr>
            <w:r>
              <w:rPr>
                <w:rFonts w:ascii="Times New Roman" w:cs="Times New Roman" w:eastAsia="Times New Roman" w:hAnsi="Times New Roman"/>
                <w:sz w:val="16"/>
                <w:szCs w:val="16"/>
                <w:color w:val="auto"/>
                <w:w w:val="97"/>
              </w:rPr>
              <w:t>(0.1 pts)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6"/>
                <w:szCs w:val="16"/>
                <w:color w:val="auto"/>
                <w:w w:val="96"/>
              </w:rPr>
              <w:t>58.4%</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0.2 pts</w:t>
            </w:r>
          </w:p>
        </w:tc>
        <w:tc>
          <w:tcPr>
            <w:tcW w:w="0" w:type="dxa"/>
            <w:vAlign w:val="bottom"/>
          </w:tcPr>
          <w:p>
            <w:pPr>
              <w:spacing w:after="0"/>
              <w:rPr>
                <w:sz w:val="1"/>
                <w:szCs w:val="1"/>
                <w:color w:val="auto"/>
              </w:rPr>
            </w:pPr>
          </w:p>
        </w:tc>
      </w:tr>
      <w:tr>
        <w:trPr>
          <w:trHeight w:val="226"/>
        </w:trPr>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propensity</w:t>
            </w:r>
          </w:p>
        </w:tc>
        <w:tc>
          <w:tcPr>
            <w:tcW w:w="120" w:type="dxa"/>
            <w:vAlign w:val="bottom"/>
          </w:tcPr>
          <w:p>
            <w:pPr>
              <w:spacing w:after="0"/>
              <w:rPr>
                <w:sz w:val="19"/>
                <w:szCs w:val="19"/>
                <w:color w:val="auto"/>
              </w:rPr>
            </w:pPr>
          </w:p>
        </w:tc>
        <w:tc>
          <w:tcPr>
            <w:tcW w:w="68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rPr>
              <w:t>60.4%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w w:val="96"/>
              </w:rPr>
              <w:t>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w w:val="98"/>
              </w:rPr>
              <w:t>0.9 pts</w:t>
            </w:r>
          </w:p>
        </w:tc>
        <w:tc>
          <w:tcPr>
            <w:tcW w:w="120" w:type="dxa"/>
            <w:vAlign w:val="bottom"/>
          </w:tcPr>
          <w:p>
            <w:pPr>
              <w:spacing w:after="0"/>
              <w:rPr>
                <w:sz w:val="19"/>
                <w:szCs w:val="19"/>
                <w:color w:val="auto"/>
              </w:rPr>
            </w:pPr>
          </w:p>
        </w:tc>
        <w:tc>
          <w:tcPr>
            <w:tcW w:w="70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6"/>
              </w:rPr>
              <w:t>56.0%</w:t>
            </w:r>
          </w:p>
        </w:tc>
        <w:tc>
          <w:tcPr>
            <w:tcW w:w="10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1.0 pts</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 and First Three Quarters</w:t>
      </w:r>
    </w:p>
    <w:p>
      <w:pPr>
        <w:spacing w:after="0" w:line="102" w:lineRule="exact"/>
        <w:rPr>
          <w:sz w:val="20"/>
          <w:szCs w:val="20"/>
          <w:color w:val="auto"/>
        </w:rPr>
      </w:pPr>
    </w:p>
    <w:p>
      <w:pPr>
        <w:ind w:left="280" w:hanging="143"/>
        <w:spacing w:after="0"/>
        <w:tabs>
          <w:tab w:leader="none" w:pos="280" w:val="left"/>
        </w:tabs>
        <w:numPr>
          <w:ilvl w:val="0"/>
          <w:numId w:val="4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Financing revenues reflect higher interest income as a result of a higher average notes receivable balance, partially offset by a slightly lower average interest rate.</w:t>
      </w:r>
    </w:p>
    <w:p>
      <w:pPr>
        <w:spacing w:after="0" w:line="52" w:lineRule="exact"/>
        <w:rPr>
          <w:rFonts w:ascii="Times New Roman" w:cs="Times New Roman" w:eastAsia="Times New Roman" w:hAnsi="Times New Roman"/>
          <w:sz w:val="16"/>
          <w:szCs w:val="16"/>
          <w:i w:val="1"/>
          <w:iCs w:val="1"/>
          <w:color w:val="auto"/>
        </w:rPr>
      </w:pPr>
    </w:p>
    <w:p>
      <w:pPr>
        <w:ind w:left="280" w:hanging="143"/>
        <w:spacing w:after="0" w:line="276" w:lineRule="auto"/>
        <w:tabs>
          <w:tab w:leader="none" w:pos="27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financing expense is primarily attributed to higher credit card fees, partially offset by lower operating costs, including those resulting from our cost savings initiatives implemented in the third quarter of 2025.</w:t>
      </w:r>
    </w:p>
    <w:p>
      <w:pPr>
        <w:spacing w:after="0" w:line="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We expect our average interest rate to continue to increase as the current interest rate environment for new securitization transactions exceeds the average interest rate on our existing securitized debt. We do not adjust interest rates on consumer financing offerings at the same pace as, or in lock-step with, broader market interest rates; as a result, we expect our financing profit margin to continue to decrease in 2025, as we repay existing securitization transactions with proceeds from newer securitization transactions with lower interest rates.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Charges</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780" w:type="dxa"/>
            <w:vAlign w:val="bottom"/>
          </w:tcPr>
          <w:p>
            <w:pPr>
              <w:spacing w:after="0"/>
              <w:rPr>
                <w:sz w:val="11"/>
                <w:szCs w:val="11"/>
                <w:color w:val="auto"/>
              </w:rPr>
            </w:pPr>
          </w:p>
        </w:tc>
        <w:tc>
          <w:tcPr>
            <w:tcW w:w="7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0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200" w:type="dxa"/>
            <w:vAlign w:val="bottom"/>
          </w:tcPr>
          <w:p>
            <w:pPr>
              <w:spacing w:after="0"/>
              <w:rPr>
                <w:sz w:val="11"/>
                <w:szCs w:val="11"/>
                <w:color w:val="auto"/>
              </w:rPr>
            </w:pPr>
          </w:p>
        </w:tc>
        <w:tc>
          <w:tcPr>
            <w:tcW w:w="840" w:type="dxa"/>
            <w:vAlign w:val="bottom"/>
            <w:vMerge w:val="restart"/>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Litigation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(33%)</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 and First Three Quarters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Litigation charges during the third quarters of 2025 and 2024, as well as the first three quarters of 2025 and 2024, relate primarily to certain resorts in Europe.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90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31</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31</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 and First Three Quarters</w:t>
      </w:r>
    </w:p>
    <w:p>
      <w:pPr>
        <w:spacing w:after="0" w:line="149"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During the third quarter of 2025, we recorded a non-cash impairment charge of $31 million related to completed vacation ownership units and land, which were classified as a component of Property and equipment,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Gains and Other Income</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6"/>
                <w:szCs w:val="16"/>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7"/>
        </w:trPr>
        <w:tc>
          <w:tcPr>
            <w:tcW w:w="1480" w:type="dxa"/>
            <w:vAlign w:val="bottom"/>
          </w:tcPr>
          <w:p>
            <w:pPr>
              <w:spacing w:after="0"/>
              <w:rPr>
                <w:sz w:val="11"/>
                <w:szCs w:val="11"/>
                <w:color w:val="auto"/>
              </w:rPr>
            </w:pPr>
          </w:p>
        </w:tc>
        <w:tc>
          <w:tcPr>
            <w:tcW w:w="1020" w:type="dxa"/>
            <w:vAlign w:val="bottom"/>
            <w:tcBorders>
              <w:top w:val="single" w:sz="8" w:color="auto"/>
            </w:tcBorders>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top w:val="single" w:sz="8" w:color="auto"/>
            </w:tcBorders>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Gains and other</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2"/>
                <w:szCs w:val="12"/>
                <w:color w:val="auto"/>
              </w:rPr>
            </w:pPr>
          </w:p>
        </w:tc>
        <w:tc>
          <w:tcPr>
            <w:tcW w:w="12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   4   NM   $</w:t>
            </w:r>
          </w:p>
        </w:tc>
        <w:tc>
          <w:tcPr>
            <w:tcW w:w="7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18</w:t>
            </w:r>
          </w:p>
        </w:tc>
        <w:tc>
          <w:tcPr>
            <w:tcW w:w="3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13   NM</w:t>
            </w:r>
          </w:p>
        </w:tc>
        <w:tc>
          <w:tcPr>
            <w:tcW w:w="0" w:type="dxa"/>
            <w:vAlign w:val="bottom"/>
          </w:tcPr>
          <w:p>
            <w:pPr>
              <w:spacing w:after="0"/>
              <w:rPr>
                <w:sz w:val="1"/>
                <w:szCs w:val="1"/>
                <w:color w:val="auto"/>
              </w:rPr>
            </w:pPr>
          </w:p>
        </w:tc>
      </w:tr>
      <w:tr>
        <w:trPr>
          <w:trHeight w:val="124"/>
        </w:trPr>
        <w:tc>
          <w:tcPr>
            <w:tcW w:w="1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net</w:t>
            </w:r>
          </w:p>
        </w:tc>
        <w:tc>
          <w:tcPr>
            <w:tcW w:w="200" w:type="dxa"/>
            <w:vAlign w:val="bottom"/>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gridSpan w:val="3"/>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300" w:type="dxa"/>
            <w:vAlign w:val="bottom"/>
            <w:gridSpan w:val="2"/>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third quarter of 2025, we received $8 million of proceeds from service interruption insurance relating to the Maui wildfires.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third quarter of 2024, we recorded a $4 million reduction in certain pre-acquisition contingencies associated with the ILG Acquisition.</w:t>
      </w:r>
    </w:p>
    <w:p>
      <w:pPr>
        <w:spacing w:after="0" w:line="200" w:lineRule="exact"/>
        <w:rPr>
          <w:sz w:val="20"/>
          <w:szCs w:val="20"/>
          <w:color w:val="auto"/>
        </w:rPr>
      </w:pPr>
    </w:p>
    <w:p>
      <w:pPr>
        <w:spacing w:after="0" w:line="35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80"/>
          </w:cols>
          <w:pgMar w:left="320" w:top="218"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Three Quarters</w:t>
      </w:r>
    </w:p>
    <w:p>
      <w:pPr>
        <w:spacing w:after="0" w:line="1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During the first three quarters of 2025, we received $15 million of proceeds from service interruption insurance relating to the Maui wildfires and recorded a $2 million reduction in certain pre-acquisition contingencies associated with the ILG Acquisition and $1 million of other gains.</w:t>
      </w:r>
    </w:p>
    <w:p>
      <w:pPr>
        <w:spacing w:after="0" w:line="50"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During the first three quarters of 2024, we recorded a $4 million reduction in certain pre-acquisition contingencies associated with the ILG Acquisition and $1 million of other gains.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 &amp; Third-Party Management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7"/>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4"/>
          </w:tcPr>
          <w:p>
            <w:pPr>
              <w:jc w:val="right"/>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9"/>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7"/>
              </w:rPr>
              <w:t>30, 2025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w w:val="97"/>
              </w:rPr>
              <w:t>TOTAL REVENUES</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Modernization</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9"/>
          </w:tcPr>
          <w:p>
            <w:pPr>
              <w:spacing w:after="0" w:line="139" w:lineRule="exact"/>
              <w:rPr>
                <w:sz w:val="20"/>
                <w:szCs w:val="20"/>
                <w:color w:val="auto"/>
              </w:rPr>
            </w:pPr>
            <w:r>
              <w:rPr>
                <w:rFonts w:ascii="Times New Roman" w:cs="Times New Roman" w:eastAsia="Times New Roman" w:hAnsi="Times New Roman"/>
                <w:sz w:val="16"/>
                <w:szCs w:val="16"/>
                <w:b w:val="1"/>
                <w:bCs w:val="1"/>
                <w:color w:val="auto"/>
                <w:w w:val="98"/>
              </w:rPr>
              <w:t>SEGMENT FINANCIAL RESULTS ATTRIBUTABLE</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vMerge w:val="restart"/>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 COMMON STOCKHOLDERS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Management and Exchange Profit</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5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10"/>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right"/>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20" w:type="dxa"/>
            <w:vAlign w:val="bottom"/>
          </w:tcPr>
          <w:p>
            <w:pPr>
              <w:spacing w:after="0"/>
              <w:rPr>
                <w:sz w:val="11"/>
                <w:szCs w:val="11"/>
                <w:color w:val="auto"/>
              </w:rPr>
            </w:pPr>
          </w:p>
        </w:tc>
        <w:tc>
          <w:tcPr>
            <w:tcW w:w="88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4"/>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40" w:type="dxa"/>
            <w:vAlign w:val="bottom"/>
          </w:tcPr>
          <w:p>
            <w:pPr>
              <w:spacing w:after="0"/>
              <w:rPr>
                <w:sz w:val="11"/>
                <w:szCs w:val="11"/>
                <w:color w:val="auto"/>
              </w:rPr>
            </w:pPr>
          </w:p>
        </w:tc>
        <w:tc>
          <w:tcPr>
            <w:tcW w:w="900" w:type="dxa"/>
            <w:vAlign w:val="bottom"/>
            <w:gridSpan w:val="4"/>
          </w:tcPr>
          <w:p>
            <w:pPr>
              <w:jc w:val="right"/>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6"/>
                <w:szCs w:val="16"/>
                <w:color w:val="auto"/>
              </w:rPr>
            </w:pPr>
          </w:p>
        </w:tc>
        <w:tc>
          <w:tcPr>
            <w:tcW w:w="64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840" w:type="dxa"/>
            <w:vAlign w:val="bottom"/>
            <w:gridSpan w:val="3"/>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Pr>
          <w:p>
            <w:pPr>
              <w:spacing w:after="0"/>
              <w:rPr>
                <w:sz w:val="16"/>
                <w:szCs w:val="16"/>
                <w:color w:val="auto"/>
              </w:rPr>
            </w:pPr>
          </w:p>
        </w:tc>
        <w:tc>
          <w:tcPr>
            <w:tcW w:w="82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740" w:type="dxa"/>
            <w:vAlign w:val="bottom"/>
            <w:tcBorders>
              <w:top w:val="single" w:sz="8" w:color="CCEEFF"/>
            </w:tcBorders>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Management and</w:t>
            </w: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5"/>
              </w:rPr>
              <w:t>(1)</w:t>
            </w:r>
          </w:p>
        </w:tc>
        <w:tc>
          <w:tcPr>
            <w:tcW w:w="6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174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auto"/>
              </w:rPr>
              <w:t>Management and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1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exchange expense</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7</w:t>
            </w:r>
          </w:p>
        </w:tc>
        <w:tc>
          <w:tcPr>
            <w:tcW w:w="5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1740" w:type="dxa"/>
            <w:vAlign w:val="bottom"/>
            <w:gridSpan w:val="2"/>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Management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w:t>
            </w:r>
          </w:p>
        </w:tc>
        <w:tc>
          <w:tcPr>
            <w:tcW w:w="600" w:type="dxa"/>
            <w:vAlign w:val="bottom"/>
            <w:gridSpan w:val="2"/>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profit</w:t>
            </w:r>
          </w:p>
        </w:tc>
        <w:tc>
          <w:tcPr>
            <w:tcW w:w="1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740" w:type="dxa"/>
            <w:vAlign w:val="bottom"/>
            <w:tcBorders>
              <w:top w:val="single" w:sz="8" w:color="CCEEFF"/>
              <w:bottom w:val="single" w:sz="8" w:color="CCEEFF"/>
            </w:tcBorders>
            <w:gridSpan w:val="2"/>
            <w:vMerge w:val="restart"/>
          </w:tcPr>
          <w:p>
            <w:pPr>
              <w:ind w:left="20"/>
              <w:spacing w:after="0" w:line="138" w:lineRule="exact"/>
              <w:rPr>
                <w:sz w:val="20"/>
                <w:szCs w:val="20"/>
                <w:color w:val="auto"/>
              </w:rPr>
            </w:pPr>
            <w:r>
              <w:rPr>
                <w:rFonts w:ascii="Times New Roman" w:cs="Times New Roman" w:eastAsia="Times New Roman" w:hAnsi="Times New Roman"/>
                <w:sz w:val="15"/>
                <w:szCs w:val="15"/>
                <w:color w:val="auto"/>
              </w:rPr>
              <w:t>Management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80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restart"/>
          </w:tcPr>
          <w:p>
            <w:pPr>
              <w:jc w:val="right"/>
              <w:ind w:right="83"/>
              <w:spacing w:after="0"/>
              <w:rPr>
                <w:sz w:val="20"/>
                <w:szCs w:val="20"/>
                <w:color w:val="auto"/>
              </w:rPr>
            </w:pPr>
            <w:r>
              <w:rPr>
                <w:rFonts w:ascii="Times New Roman" w:cs="Times New Roman" w:eastAsia="Times New Roman" w:hAnsi="Times New Roman"/>
                <w:sz w:val="16"/>
                <w:szCs w:val="16"/>
                <w:color w:val="auto"/>
              </w:rPr>
              <w:t>29.4%</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restart"/>
          </w:tcPr>
          <w:p>
            <w:pPr>
              <w:jc w:val="right"/>
              <w:ind w:right="123"/>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auto"/>
              </w:rPr>
              <w:t>1.4 pts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w w:val="96"/>
              </w:rPr>
              <w:t>32.1%</w:t>
            </w:r>
          </w:p>
        </w:tc>
        <w:tc>
          <w:tcPr>
            <w:tcW w:w="100" w:type="dxa"/>
            <w:vAlign w:val="bottom"/>
          </w:tcPr>
          <w:p>
            <w:pPr>
              <w:spacing w:after="0"/>
              <w:rPr>
                <w:sz w:val="8"/>
                <w:szCs w:val="8"/>
                <w:color w:val="auto"/>
              </w:rPr>
            </w:pPr>
          </w:p>
        </w:tc>
        <w:tc>
          <w:tcPr>
            <w:tcW w:w="820" w:type="dxa"/>
            <w:vAlign w:val="bottom"/>
            <w:gridSpan w:val="4"/>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(1.3 pts)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800" w:type="dxa"/>
            <w:vAlign w:val="bottom"/>
          </w:tcPr>
          <w:p>
            <w:pPr>
              <w:spacing w:after="0"/>
              <w:rPr>
                <w:sz w:val="12"/>
                <w:szCs w:val="12"/>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exchange profit margin</w:t>
            </w: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80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w:t>
      </w:r>
    </w:p>
    <w:p>
      <w:pPr>
        <w:spacing w:after="0" w:line="102" w:lineRule="exact"/>
        <w:rPr>
          <w:sz w:val="20"/>
          <w:szCs w:val="20"/>
          <w:color w:val="auto"/>
        </w:rPr>
      </w:pPr>
    </w:p>
    <w:p>
      <w:pPr>
        <w:ind w:left="280" w:right="280" w:hanging="143"/>
        <w:spacing w:after="0" w:line="276" w:lineRule="auto"/>
        <w:tabs>
          <w:tab w:leader="none" w:pos="27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Interval International management and exchange revenues declined due to 8% lower exchange transaction volume, partially offset by a 9% increase in average exchange fees.</w:t>
      </w:r>
    </w:p>
    <w:p>
      <w:pPr>
        <w:spacing w:after="0" w:line="3" w:lineRule="exact"/>
        <w:rPr>
          <w:rFonts w:ascii="Times New Roman" w:cs="Times New Roman" w:eastAsia="Times New Roman" w:hAnsi="Times New Roman"/>
          <w:sz w:val="16"/>
          <w:szCs w:val="16"/>
          <w:color w:val="auto"/>
        </w:rPr>
      </w:pPr>
    </w:p>
    <w:p>
      <w:pPr>
        <w:ind w:left="280" w:hanging="143"/>
        <w:spacing w:after="0"/>
        <w:tabs>
          <w:tab w:leader="none" w:pos="2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management and exchange expense was primarily attributable to lower wages and benefits and other costs.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Three Quarters</w:t>
      </w:r>
    </w:p>
    <w:p>
      <w:pPr>
        <w:spacing w:after="0" w:line="102" w:lineRule="exact"/>
        <w:rPr>
          <w:sz w:val="20"/>
          <w:szCs w:val="20"/>
          <w:color w:val="auto"/>
        </w:rPr>
      </w:pPr>
    </w:p>
    <w:p>
      <w:pPr>
        <w:ind w:left="280" w:right="360" w:hanging="143"/>
        <w:spacing w:after="0" w:line="276" w:lineRule="auto"/>
        <w:tabs>
          <w:tab w:leader="none" w:pos="276" w:val="left"/>
        </w:tabs>
        <w:numPr>
          <w:ilvl w:val="0"/>
          <w:numId w:val="4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Interval International management and exchange revenues declined $5 million, or 4%, primarily due to 9% lower exchange transaction volume, partially offset by a 6% increase in average exchange fees.</w:t>
      </w:r>
    </w:p>
    <w:p>
      <w:pPr>
        <w:spacing w:after="0" w:line="3" w:lineRule="exact"/>
        <w:rPr>
          <w:rFonts w:ascii="Times New Roman" w:cs="Times New Roman" w:eastAsia="Times New Roman" w:hAnsi="Times New Roman"/>
          <w:sz w:val="16"/>
          <w:szCs w:val="16"/>
          <w:i w:val="1"/>
          <w:iCs w:val="1"/>
          <w:color w:val="auto"/>
        </w:rPr>
      </w:pPr>
    </w:p>
    <w:p>
      <w:pPr>
        <w:ind w:left="280" w:right="20" w:hanging="143"/>
        <w:spacing w:after="0" w:line="276" w:lineRule="auto"/>
        <w:tabs>
          <w:tab w:leader="none" w:pos="27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and exchange revenue reflects a $4 million decline in Aqua-Aston management revenues resulting from fewer available nights for rent, lower occupancy, and a lower average daily rate in the Hawaii market.</w:t>
      </w:r>
    </w:p>
    <w:p>
      <w:pPr>
        <w:spacing w:after="0" w:line="3" w:lineRule="exact"/>
        <w:rPr>
          <w:rFonts w:ascii="Times New Roman" w:cs="Times New Roman" w:eastAsia="Times New Roman" w:hAnsi="Times New Roman"/>
          <w:sz w:val="16"/>
          <w:szCs w:val="16"/>
          <w:color w:val="auto"/>
        </w:rPr>
      </w:pPr>
    </w:p>
    <w:p>
      <w:pPr>
        <w:ind w:left="280" w:hanging="143"/>
        <w:spacing w:after="0"/>
        <w:tabs>
          <w:tab w:leader="none" w:pos="2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and exchange revenue declined $2 million, attributed to the sale of an immaterial subsidiary in the second quarter of 2024.</w:t>
      </w:r>
    </w:p>
    <w:p>
      <w:pPr>
        <w:spacing w:after="0" w:line="52" w:lineRule="exact"/>
        <w:rPr>
          <w:rFonts w:ascii="Times New Roman" w:cs="Times New Roman" w:eastAsia="Times New Roman" w:hAnsi="Times New Roman"/>
          <w:sz w:val="16"/>
          <w:szCs w:val="16"/>
          <w:color w:val="auto"/>
        </w:rPr>
      </w:pPr>
    </w:p>
    <w:p>
      <w:pPr>
        <w:ind w:left="280" w:hanging="143"/>
        <w:spacing w:after="0"/>
        <w:tabs>
          <w:tab w:leader="none" w:pos="2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management and exchange expenses was primarily attributable to lower wages and benefits and other costs.</w:t>
      </w:r>
    </w:p>
    <w:p>
      <w:pPr>
        <w:spacing w:after="0" w:line="200" w:lineRule="exact"/>
        <w:rPr>
          <w:sz w:val="20"/>
          <w:szCs w:val="20"/>
          <w:color w:val="auto"/>
        </w:rPr>
      </w:pPr>
    </w:p>
    <w:p>
      <w:pPr>
        <w:spacing w:after="0" w:line="35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Rental Revenues</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680" w:type="dxa"/>
            <w:vAlign w:val="bottom"/>
          </w:tcPr>
          <w:p>
            <w:pPr>
              <w:spacing w:after="0"/>
              <w:rPr>
                <w:sz w:val="11"/>
                <w:szCs w:val="11"/>
                <w:color w:val="auto"/>
              </w:rPr>
            </w:pPr>
          </w:p>
        </w:tc>
        <w:tc>
          <w:tcPr>
            <w:tcW w:w="7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11"/>
                <w:szCs w:val="11"/>
                <w:color w:val="auto"/>
              </w:rPr>
            </w:pPr>
          </w:p>
        </w:tc>
        <w:tc>
          <w:tcPr>
            <w:tcW w:w="92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220" w:type="dxa"/>
            <w:vAlign w:val="bottom"/>
          </w:tcPr>
          <w:p>
            <w:pPr>
              <w:spacing w:after="0"/>
              <w:rPr>
                <w:sz w:val="11"/>
                <w:szCs w:val="11"/>
                <w:color w:val="auto"/>
              </w:rPr>
            </w:pPr>
          </w:p>
        </w:tc>
        <w:tc>
          <w:tcPr>
            <w:tcW w:w="860" w:type="dxa"/>
            <w:vAlign w:val="bottom"/>
            <w:vMerge w:val="restart"/>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   (21%)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(12%)</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 and First Three Quarters</w:t>
      </w:r>
    </w:p>
    <w:p>
      <w:pPr>
        <w:spacing w:after="0" w:line="10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The decrease in rental revenues reflects an 18% decrease in transaction volume, partially offset by a 12% increase in average fees per transaction, in each case in each of the third quarter and first three quarters of 2025 compared to prior year comparable periods.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820" w:type="dxa"/>
            <w:vAlign w:val="bottom"/>
            <w:gridSpan w:val="2"/>
          </w:tcPr>
          <w:p>
            <w:pPr>
              <w:jc w:val="right"/>
              <w:ind w:right="25"/>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920" w:type="dxa"/>
            <w:vAlign w:val="bottom"/>
            <w:gridSpan w:val="3"/>
          </w:tcPr>
          <w:p>
            <w:pPr>
              <w:jc w:val="right"/>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Pr>
          <w:p>
            <w:pPr>
              <w:spacing w:after="0"/>
              <w:rPr>
                <w:sz w:val="11"/>
                <w:szCs w:val="11"/>
                <w:color w:val="auto"/>
              </w:rPr>
            </w:pPr>
          </w:p>
        </w:tc>
        <w:tc>
          <w:tcPr>
            <w:tcW w:w="9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  (100%)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 and First Three Quarters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first three quarters of 2025, we recorded a $2 million impairment related to an operating lease and related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and Other</w:t>
      </w:r>
    </w:p>
    <w:p>
      <w:pPr>
        <w:spacing w:after="0" w:line="55"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Consolidated Property Owners’ Associations.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5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2"/>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Litigation charges</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Modernization</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197</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Gains (losses) and other income (expense), net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Transaction and integration costs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2"/>
          </w:tcPr>
          <w:p>
            <w:pPr>
              <w:jc w:val="right"/>
              <w:ind w:right="1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3820" w:type="dxa"/>
            <w:vAlign w:val="bottom"/>
            <w:tcBorders>
              <w:top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FINANCIAL RESULTS BEFORE INCOME TAXES</w:t>
            </w: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AND NONCONTROLLING INTERESTS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382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FINANCIAL RESULTS ATTRIBUTABLE TO</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1"/>
                <w:szCs w:val="11"/>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STOCKHOLDERS</w:t>
            </w:r>
          </w:p>
        </w:tc>
        <w:tc>
          <w:tcPr>
            <w:tcW w:w="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Charges</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780" w:type="dxa"/>
            <w:vAlign w:val="bottom"/>
          </w:tcPr>
          <w:p>
            <w:pPr>
              <w:spacing w:after="0"/>
              <w:rPr>
                <w:sz w:val="11"/>
                <w:szCs w:val="11"/>
                <w:color w:val="auto"/>
              </w:rPr>
            </w:pPr>
          </w:p>
        </w:tc>
        <w:tc>
          <w:tcPr>
            <w:tcW w:w="7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7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2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Litigation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NM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5</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 and First Three Quarters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Litigation charges during the third quarter of 2025 and 2024, as well as the first three quarters of 2025 and 2024, relate to a dispute with a service provider.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Modernization</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7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Modernization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w w:val="87"/>
              </w:rPr>
              <w:t>51</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w w:val="99"/>
              </w:rPr>
              <w:t>94</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 and First Three Quarters</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 November 2024, we announced the creation of a Strategic Business Operations office focused on accelerating our growth and driving operating efficiencies in all areas of our business while increasing organizational agility. We are working to: modernize and optimize our processes and systems, including through advanced technology and automation; increase sales efficiency and inventory optimization; and capture significant savings from initiatives related to procurement and corporate overhead. See “Strategic Business Operations” section above for further information.</w:t>
      </w:r>
    </w:p>
    <w:p>
      <w:pPr>
        <w:spacing w:after="0" w:line="67"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During the third quarter and first three quarters of 2025, the majority of our Modernization charges were related to advisory services. See Footnote 17 “Modernization” to our Financial Statements for further information related to our modernization charges.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Gains (Losses) and Other Income (Expense)</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680" w:type="dxa"/>
            <w:vAlign w:val="bottom"/>
          </w:tcPr>
          <w:p>
            <w:pPr>
              <w:spacing w:after="0"/>
              <w:rPr>
                <w:sz w:val="11"/>
                <w:szCs w:val="11"/>
                <w:color w:val="auto"/>
              </w:rPr>
            </w:pPr>
          </w:p>
        </w:tc>
        <w:tc>
          <w:tcPr>
            <w:tcW w:w="7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0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Gains (losses) and other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   (39%)</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99"/>
              </w:rPr>
              <w:t>33</w:t>
            </w:r>
          </w:p>
        </w:tc>
        <w:tc>
          <w:tcPr>
            <w:tcW w:w="5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31"/>
        </w:trPr>
        <w:tc>
          <w:tcPr>
            <w:tcW w:w="1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(expense), net</w:t>
            </w:r>
          </w:p>
        </w:tc>
        <w:tc>
          <w:tcPr>
            <w:tcW w:w="14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280" w:type="dxa"/>
            <w:vAlign w:val="bottom"/>
            <w:gridSpan w:val="3"/>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68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w:t>
      </w:r>
    </w:p>
    <w:p>
      <w:pPr>
        <w:spacing w:after="0" w:line="102"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In the third quarter of 2025, we recorded $2 million of foreign currency translation gains and $1 million of tax related adjustments to the receivable from Marriott International for indemnified tax matters, partially offset by $1 million of other losses.</w:t>
      </w:r>
    </w:p>
    <w:p>
      <w:pPr>
        <w:spacing w:after="0" w:line="50"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In the third quarter of 2024, we recorded $6 million of foreign currency translation gains, partially offset by $2 million of tax related adjustments to the receivable from Marriott International for indemnified tax matters.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Three Quarters</w:t>
      </w:r>
    </w:p>
    <w:p>
      <w:pPr>
        <w:spacing w:after="0" w:line="102" w:lineRule="exact"/>
        <w:rPr>
          <w:sz w:val="20"/>
          <w:szCs w:val="20"/>
          <w:color w:val="auto"/>
        </w:rPr>
      </w:pPr>
    </w:p>
    <w:p>
      <w:pPr>
        <w:ind w:right="740"/>
        <w:spacing w:after="0" w:line="276" w:lineRule="auto"/>
        <w:rPr>
          <w:sz w:val="20"/>
          <w:szCs w:val="20"/>
          <w:color w:val="auto"/>
        </w:rPr>
      </w:pPr>
      <w:r>
        <w:rPr>
          <w:rFonts w:ascii="Times New Roman" w:cs="Times New Roman" w:eastAsia="Times New Roman" w:hAnsi="Times New Roman"/>
          <w:sz w:val="16"/>
          <w:szCs w:val="16"/>
          <w:color w:val="auto"/>
        </w:rPr>
        <w:t>In the first three quarters of 2025, we recorded $23 million of foreign currency translation gains, $4 million of tax related adjustments to the receivable from Marriott International for indemnified tax matters, $1 million of other gains, and $1 million of insurance proceeds.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first three quarters of 2024, we recorded $4 million net of tax related adjustments to the receivable from Marriott International for indemnified tax matters.</w:t>
      </w:r>
    </w:p>
    <w:p>
      <w:pPr>
        <w:spacing w:after="0" w:line="200" w:lineRule="exact"/>
        <w:rPr>
          <w:sz w:val="20"/>
          <w:szCs w:val="20"/>
          <w:color w:val="auto"/>
        </w:rPr>
      </w:pPr>
    </w:p>
    <w:p>
      <w:pPr>
        <w:spacing w:after="0" w:line="3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9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9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00" w:type="dxa"/>
            <w:vAlign w:val="bottom"/>
          </w:tcPr>
          <w:p>
            <w:pPr>
              <w:spacing w:after="0"/>
              <w:rPr>
                <w:sz w:val="11"/>
                <w:szCs w:val="11"/>
                <w:color w:val="auto"/>
              </w:rPr>
            </w:pPr>
          </w:p>
        </w:tc>
        <w:tc>
          <w:tcPr>
            <w:tcW w:w="980" w:type="dxa"/>
            <w:vAlign w:val="bottom"/>
            <w:gridSpan w:val="4"/>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200" w:type="dxa"/>
            <w:vAlign w:val="bottom"/>
          </w:tcPr>
          <w:p>
            <w:pPr>
              <w:spacing w:after="0"/>
              <w:rPr>
                <w:sz w:val="11"/>
                <w:szCs w:val="11"/>
                <w:color w:val="auto"/>
              </w:rPr>
            </w:pPr>
          </w:p>
        </w:tc>
        <w:tc>
          <w:tcPr>
            <w:tcW w:w="78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6"/>
                <w:szCs w:val="16"/>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w w:val="99"/>
              </w:rPr>
              <w:t>31</w:t>
            </w:r>
          </w:p>
        </w:tc>
        <w:tc>
          <w:tcPr>
            <w:tcW w:w="4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6</w:t>
            </w:r>
          </w:p>
        </w:tc>
        <w:tc>
          <w:tcPr>
            <w:tcW w:w="48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Third Quarter</w:t>
      </w:r>
    </w:p>
    <w:p>
      <w:pPr>
        <w:spacing w:after="0" w:line="102"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6"/>
          <w:szCs w:val="16"/>
          <w:color w:val="auto"/>
        </w:rPr>
        <w:t>The effective tax rate for the three months ended September 30, 2025 differed from the blended U.S. federal and state statutory tax rate primarily due to discrete income tax adjustments in non-U.S. jurisdictions. These adjustments included a $25 million increase related to changes in valuation allowances, partially offset by tax benefits from $13 million of permanent differences arising from restructuring activities and $6 million for other deferred tax adjustments.</w:t>
      </w:r>
    </w:p>
    <w:p>
      <w:pPr>
        <w:spacing w:after="0" w:line="6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color w:val="auto"/>
        </w:rPr>
        <w:t>The effective tax rate for the three months ended September 30, 2024 differed from the blended U.S. federal and state statutory tax rate primarily due to discrete income tax adjustments. These adjustments included an $11 million decrease related to changes in valuation allowances on certain deferred tax assets in non-U.S. jurisdictions and a $6 million decrease as a result of the expiration of statutes of limitation on certain unrecognized tax benefits, partially offset by an $8 million increase related to the removal of the permanent reinvestment assertion for certain non-U.S. entities and a $3 million increase for deferred non-U.S. withholding taxes.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Three Quarters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effective tax rate was 37.0% and 32.1% for the nine months ended September 30, 2025 and September 30, 2024, respectively.</w:t>
      </w:r>
    </w:p>
    <w:p>
      <w:pPr>
        <w:spacing w:after="0" w:line="10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6"/>
          <w:szCs w:val="16"/>
          <w:color w:val="auto"/>
        </w:rPr>
        <w:t>The effective tax rate for the nine months ended September 30, 2025 differed from the blended U.S. federal and state statutory tax rate primarily due to discrete income tax adjustments in non-U.S. jurisdictions. These adjustments included a $25 million increase related to changes in valuation allowances, partially offset by tax benefits from $13 million of permanent differences arising from restructuring activities and $6 million related to prior year true-up adjustments.</w:t>
      </w:r>
    </w:p>
    <w:p>
      <w:pPr>
        <w:spacing w:after="0" w:line="6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The effective tax rate for the nine months ended September 30, 2024 differed from the blended U.S. federal and state statutory tax rate primarily due to discrete income tax adjustments. These adjustments included a $27 million decrease as a result of the expiration of statutes of limitation on uncertain unrecognized tax benefits and an $8 million net decrease related to changes in valuation allowances in non-U.S. jurisdictions. These decreases were partially offset by a $28 million increase related to the removal of the permanent reinvestment assertion for certain non-U.S. entities and a $3 million increase for deferred non-U.S. withholding taxes.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Property Owners’ Associations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illustrates the impact of certain Consolidated Property Owners’ Associations under the relevant accounting guidance.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5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2"/>
              <w:spacing w:after="0" w:line="137" w:lineRule="exact"/>
              <w:rPr>
                <w:sz w:val="20"/>
                <w:szCs w:val="20"/>
                <w:color w:val="auto"/>
              </w:rPr>
            </w:pPr>
            <w:r>
              <w:rPr>
                <w:rFonts w:ascii="Times New Roman" w:cs="Times New Roman" w:eastAsia="Times New Roman" w:hAnsi="Times New Roman"/>
                <w:sz w:val="14"/>
                <w:szCs w:val="14"/>
                <w:b w:val="1"/>
                <w:bCs w:val="1"/>
                <w:color w:val="auto"/>
                <w:w w:val="99"/>
              </w:rPr>
              <w:t>September</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2"/>
              <w:spacing w:after="0" w:line="137"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8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800" w:type="dxa"/>
            <w:vAlign w:val="bottom"/>
          </w:tcPr>
          <w:p>
            <w:pPr>
              <w:spacing w:after="0"/>
              <w:rPr>
                <w:sz w:val="15"/>
                <w:szCs w:val="15"/>
                <w:color w:val="auto"/>
              </w:rPr>
            </w:pPr>
          </w:p>
        </w:tc>
        <w:tc>
          <w:tcPr>
            <w:tcW w:w="3820" w:type="dxa"/>
            <w:vAlign w:val="bottom"/>
            <w:tcBorders>
              <w:top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3820" w:type="dxa"/>
            <w:vAlign w:val="bottom"/>
            <w:tcBorders>
              <w:top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FINANCIAL RESULTS BEFORE INCOME TAXES</w:t>
            </w: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AND NONCONTROLLING INTERESTS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382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FINANCIAL RESULTS ATTRIBUTABLE TO</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0" w:type="dxa"/>
            <w:vAlign w:val="bottom"/>
            <w:gridSpan w:val="2"/>
            <w:vMerge w:val="restart"/>
          </w:tcPr>
          <w:p>
            <w:pPr>
              <w:jc w:val="right"/>
              <w:ind w:right="19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STOCKHOLDERS</w:t>
            </w:r>
          </w:p>
        </w:tc>
        <w:tc>
          <w:tcPr>
            <w:tcW w:w="10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43"/>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w:t>
      </w:r>
    </w:p>
    <w:p>
      <w:pPr>
        <w:spacing w:after="0" w:line="6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At September 30, 2025, our corporate debt, net of cash and equivalents, to Adjusted EBITDA ratio was 4.1, above our targeted range of 2.5 to 3.0, and we remain focused on reducing this ratio over time.</w:t>
      </w:r>
    </w:p>
    <w:p>
      <w:pPr>
        <w:spacing w:after="0" w:line="5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We have no material principal payment obligations for the remainder of 2025. See Footnote 12 “Debt” to our Financial Statements for further information related to maturities of our debt.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of Liquidity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from Operations</w:t>
      </w:r>
    </w:p>
    <w:p>
      <w:pPr>
        <w:spacing w:after="0" w:line="1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cash generated from our rental and resort management and other services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Vacation Ownership Notes Receivable Securitizations</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collateralized by a single pool of transferred vacation ownership notes receivable. In connection with each vacation ownership notes receivable securitization, we may retain all or a portion of the securities that are issued.</w:t>
      </w:r>
    </w:p>
    <w:p>
      <w:pPr>
        <w:spacing w:after="0" w:line="6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Loan defaults under securitizations offset a portion of the excess spread we receive, on a monthly basis.</w:t>
      </w:r>
    </w:p>
    <w:p>
      <w:pPr>
        <w:spacing w:after="0" w:line="6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At the recent level of defaults, there is no impact to cash whether we repurchase defaulted vacation ownership notes receivable from a securitization VIE and pursue foreclosure or foreclose on behalf of a securitization VIE. During the third quarter of 2025, and as of September 30, 2025, we had 11 term securitization transactions outstanding, none of which were out of compliance with their respective required parameters. Since 2000, we have issued approximately $10.3 billion of debt securities in securitization transactions in the term ABS market, excluding amounts securitized through warehouse credit facilities or private bank transactions.</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During the second quarter of 2025, we amended certain agreements associated with our Warehouse Credit Facility, which, among other things, extended the revolving period from June 11, 2026 to June 11, 2027. At September 30, 2025, we had $256 million of borrowings outstanding on our Warehouse Credit Facility. See Footnote 11 “Securitized Debt’ to our Financial Statement for further information on our Warehouse Amendment.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$168 million of gross vacation ownership notes receivable were eligible for securitization.</w:t>
      </w:r>
    </w:p>
    <w:p>
      <w:pPr>
        <w:spacing w:after="0" w:line="200" w:lineRule="exact"/>
        <w:rPr>
          <w:sz w:val="20"/>
          <w:szCs w:val="20"/>
          <w:color w:val="auto"/>
        </w:rPr>
      </w:pPr>
    </w:p>
    <w:p>
      <w:pPr>
        <w:spacing w:after="0" w:line="3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Issuance of Senior Unsecured Notes</w:t>
      </w:r>
    </w:p>
    <w:p>
      <w:pPr>
        <w:spacing w:after="0" w:line="10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During the third quarter of 2025, we issued the 2033 Notes with an aggregate principal amount of $575 million and we received net proceeds of $567 million from the offering, after deducting the underwriting fees and transaction expenses. We intend to use the net proceeds to repay our 2026 Convertible Notes due in January 2026.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Corporate Credit Facility</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During the first quarter of 2025, we entered into an amendment to the Corporate Credit Facility, which, among other things, increased the borrowing capacity on our Revolving Corporate Credit Facility from $750 million to $800 million of aggregate borrowings for general corporate needs, including working capital, capital expenditures, letters of credit, and acquisitions. The Amendment also extended the termination date from March 31, 2027 to March 24, 2030, reduced certain fees and interest costs, and increased the letter of credit sub-facility of the Revolving Corporate Credit Facility from $75 million to $150 million. At September 30, 2025, no borrowings and $14 million of letters of credit were outstanding under our Revolving Corporate Credit Facility.</w:t>
      </w:r>
    </w:p>
    <w:p>
      <w:pPr>
        <w:spacing w:after="0" w:line="68"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6"/>
          <w:szCs w:val="16"/>
          <w:color w:val="auto"/>
        </w:rPr>
        <w:t>Additionally, the Amendment provided for a new $450 million senior secured Delayed-Draw Term Loan scheduled to mature on December 31, 2027, which was subsequently terminated in the third quarter of 2025, in connection with the issuance of the 2033 Notes. We did not draw on the Delayed-Draw Term Loan at any time.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Footnote 12 “Debt” to our Financial Statements for further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Uses of Cash</w:t>
      </w:r>
    </w:p>
    <w:p>
      <w:pPr>
        <w:spacing w:after="0" w:line="10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6"/>
          <w:szCs w:val="16"/>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timing and amount of voluntary repurchases of defaulted vacation ownership notes receivable, the closing or recording of sales contracts for vacation ownership products, financing propensity, and cash outlays for inventory acquisitions and development.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Seasonality</w:t>
      </w:r>
    </w:p>
    <w:p>
      <w:pPr>
        <w:spacing w:after="0" w:line="10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6"/>
          <w:szCs w:val="16"/>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generally have variable compensation-related cash outflows associated with payment of annual bonuses.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net income or loss and adjustments for non-cash items, the following are key drivers of our cash flow from operating activities: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Inventory Spending In Excess of Cost of Sales</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3"/>
        </w:trPr>
        <w:tc>
          <w:tcPr>
            <w:tcW w:w="47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130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r>
      <w:tr>
        <w:trPr>
          <w:trHeight w:val="20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spending</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25"/>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Purchase and development of property for future transfer to inventory</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cost of sales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107</w:t>
            </w:r>
          </w:p>
        </w:tc>
      </w:tr>
      <w:tr>
        <w:trPr>
          <w:trHeight w:val="19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 spending in excess of cost of 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6"/>
          <w:szCs w:val="16"/>
          <w:color w:val="auto"/>
        </w:rPr>
        <w:t>We plan to restrict our new inventory spending to capital efficient arrangements where our cash outlay coincides with start of sales, as well as low-cost reacquired inventory. Through our existing VOI repurchase program, we proactively acquire previously sold VOIs from owners’ associations and individual owners at lower costs than would be required to develop new inventory. Among other reasons for repurchasing inventory, we expect these repurchases will help stabilize the future cost of our vacation ownership products.</w:t>
      </w:r>
    </w:p>
    <w:p>
      <w:pPr>
        <w:spacing w:after="0" w:line="200" w:lineRule="exact"/>
        <w:rPr>
          <w:sz w:val="20"/>
          <w:szCs w:val="20"/>
          <w:color w:val="auto"/>
        </w:rPr>
      </w:pPr>
    </w:p>
    <w:p>
      <w:pPr>
        <w:spacing w:after="0" w:line="31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Vacation Ownership Notes Receivable Collections Less Than Originations</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3"/>
        </w:trPr>
        <w:tc>
          <w:tcPr>
            <w:tcW w:w="47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8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130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0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 notes receivable collections — non-securitized</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center"/>
              <w:ind w:left="824"/>
              <w:spacing w:after="0"/>
              <w:rPr>
                <w:sz w:val="20"/>
                <w:szCs w:val="20"/>
                <w:color w:val="auto"/>
              </w:rPr>
            </w:pPr>
            <w:r>
              <w:rPr>
                <w:rFonts w:ascii="Times New Roman" w:cs="Times New Roman" w:eastAsia="Times New Roman" w:hAnsi="Times New Roman"/>
                <w:sz w:val="16"/>
                <w:szCs w:val="16"/>
                <w:color w:val="auto"/>
                <w:w w:val="91"/>
              </w:rPr>
              <w:t>119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w:t>
            </w:r>
          </w:p>
        </w:tc>
      </w:tr>
      <w:tr>
        <w:trPr>
          <w:trHeight w:val="225"/>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Vacation ownership notes receivable collections — securitized</w:t>
            </w:r>
          </w:p>
        </w:tc>
        <w:tc>
          <w:tcPr>
            <w:tcW w:w="80" w:type="dxa"/>
            <w:vAlign w:val="bottom"/>
          </w:tcPr>
          <w:p>
            <w:pPr>
              <w:spacing w:after="0"/>
              <w:rPr>
                <w:sz w:val="19"/>
                <w:szCs w:val="19"/>
                <w:color w:val="auto"/>
              </w:rPr>
            </w:pPr>
          </w:p>
        </w:tc>
        <w:tc>
          <w:tcPr>
            <w:tcW w:w="1320" w:type="dxa"/>
            <w:vAlign w:val="bottom"/>
          </w:tcPr>
          <w:p>
            <w:pPr>
              <w:jc w:val="center"/>
              <w:ind w:left="824"/>
              <w:spacing w:after="0"/>
              <w:rPr>
                <w:sz w:val="20"/>
                <w:szCs w:val="20"/>
                <w:color w:val="auto"/>
              </w:rPr>
            </w:pPr>
            <w:r>
              <w:rPr>
                <w:rFonts w:ascii="Times New Roman" w:cs="Times New Roman" w:eastAsia="Times New Roman" w:hAnsi="Times New Roman"/>
                <w:sz w:val="16"/>
                <w:szCs w:val="16"/>
                <w:color w:val="auto"/>
                <w:w w:val="91"/>
              </w:rPr>
              <w:t>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403</w:t>
            </w:r>
          </w:p>
        </w:tc>
      </w:tr>
      <w:tr>
        <w:trPr>
          <w:trHeight w:val="22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 notes receivable originations</w:t>
            </w:r>
          </w:p>
        </w:tc>
        <w:tc>
          <w:tcPr>
            <w:tcW w:w="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784"/>
              <w:spacing w:after="0"/>
              <w:rPr>
                <w:sz w:val="20"/>
                <w:szCs w:val="20"/>
                <w:color w:val="auto"/>
              </w:rPr>
            </w:pPr>
            <w:r>
              <w:rPr>
                <w:rFonts w:ascii="Times New Roman" w:cs="Times New Roman" w:eastAsia="Times New Roman" w:hAnsi="Times New Roman"/>
                <w:sz w:val="16"/>
                <w:szCs w:val="16"/>
                <w:color w:val="auto"/>
                <w:w w:val="97"/>
              </w:rPr>
              <w:t>(766)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193"/>
        </w:trPr>
        <w:tc>
          <w:tcPr>
            <w:tcW w:w="4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Vacation ownership notes receivable collections less than originations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center"/>
              <w:ind w:left="784"/>
              <w:spacing w:after="0"/>
              <w:rPr>
                <w:sz w:val="20"/>
                <w:szCs w:val="20"/>
                <w:color w:val="auto"/>
              </w:rPr>
            </w:pPr>
            <w:r>
              <w:rPr>
                <w:rFonts w:ascii="Times New Roman" w:cs="Times New Roman" w:eastAsia="Times New Roman" w:hAnsi="Times New Roman"/>
                <w:sz w:val="16"/>
                <w:szCs w:val="16"/>
                <w:color w:val="auto"/>
                <w:w w:val="97"/>
              </w:rPr>
              <w:t>(247)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0"/>
        </w:trPr>
        <w:tc>
          <w:tcPr>
            <w:tcW w:w="4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Vacation ownership notes receivable collections were less than originations in the first three quarters of 2025 and 2024 due to the growth of our vacation ownership notes receivable portfolio.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Repurchase of Common Stock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share repurchase activity under our Share Repurchase Program:</w:t>
      </w:r>
    </w:p>
    <w:p>
      <w:pPr>
        <w:spacing w:after="0" w:line="121"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Cost Basis of 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88"/>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 except per share amounts)</w:t>
            </w:r>
          </w:p>
        </w:tc>
        <w:tc>
          <w:tcPr>
            <w:tcW w:w="13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Paid per Share</w:t>
            </w:r>
          </w:p>
        </w:tc>
      </w:tr>
      <w:tr>
        <w:trPr>
          <w:trHeight w:val="20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December 31, 2024</w:t>
            </w:r>
          </w:p>
        </w:tc>
        <w:tc>
          <w:tcPr>
            <w:tcW w:w="13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25,790,550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2,461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95.40</w:t>
            </w:r>
          </w:p>
        </w:tc>
      </w:tr>
      <w:tr>
        <w:trPr>
          <w:trHeight w:val="225"/>
        </w:trPr>
        <w:tc>
          <w:tcPr>
            <w:tcW w:w="3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For the first three quarters of 2025</w:t>
            </w:r>
          </w:p>
        </w:tc>
        <w:tc>
          <w:tcPr>
            <w:tcW w:w="13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496,484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6"/>
                <w:szCs w:val="16"/>
                <w:color w:val="auto"/>
              </w:rPr>
              <w:t>73.09</w:t>
            </w:r>
          </w:p>
        </w:tc>
      </w:tr>
      <w:tr>
        <w:trPr>
          <w:trHeight w:val="218"/>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September 30, 2025</w:t>
            </w:r>
          </w:p>
        </w:tc>
        <w:tc>
          <w:tcPr>
            <w:tcW w:w="13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26,287,034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2,497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94.98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Footnote 13 “Stockholders' Equity” to our Financial Statements for further information related to our current share repurchase program.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Payment of Dividends to Common Stockholders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distributed cash dividends to holders of our common stock during the first three quarters of 2025 as follows:</w:t>
      </w:r>
    </w:p>
    <w:p>
      <w:pPr>
        <w:spacing w:after="0" w:line="138"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 Record Date</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 per Share</w:t>
            </w:r>
          </w:p>
        </w:tc>
      </w:tr>
      <w:tr>
        <w:trPr>
          <w:trHeight w:val="208"/>
        </w:trPr>
        <w:tc>
          <w:tcPr>
            <w:tcW w:w="1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8"/>
              </w:rPr>
              <w:t>December 6, 2024</w:t>
            </w: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December 19, 2024</w:t>
            </w:r>
          </w:p>
        </w:tc>
        <w:tc>
          <w:tcPr>
            <w:tcW w:w="19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January 3, 2025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$0.79</w:t>
            </w:r>
          </w:p>
        </w:tc>
      </w:tr>
      <w:tr>
        <w:trPr>
          <w:trHeight w:val="219"/>
        </w:trPr>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February 20, 2025</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March 5, 2025</w:t>
            </w:r>
          </w:p>
        </w:tc>
        <w:tc>
          <w:tcPr>
            <w:tcW w:w="1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March 19, 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$0.79</w:t>
            </w:r>
          </w:p>
        </w:tc>
      </w:tr>
      <w:tr>
        <w:trPr>
          <w:trHeight w:val="231"/>
        </w:trPr>
        <w:tc>
          <w:tcPr>
            <w:tcW w:w="1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8"/>
              </w:rPr>
              <w:t>May 12, 2025</w:t>
            </w: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May 23, 2025</w:t>
            </w:r>
          </w:p>
        </w:tc>
        <w:tc>
          <w:tcPr>
            <w:tcW w:w="19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June 6, 2025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$0.79</w:t>
            </w:r>
          </w:p>
        </w:tc>
      </w:tr>
    </w:tbl>
    <w:p>
      <w:pPr>
        <w:spacing w:after="0" w:line="149"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Payment of dividends within Financing activities on our Cash Flows for the nine months ended September 30, 2025, includes $27 million related to the dividend distributed to holders of our common stock (as of the record date) on October 1, 2025, as the payment was funded on September 30, 2025.</w:t>
      </w:r>
    </w:p>
    <w:p>
      <w:pPr>
        <w:spacing w:after="0" w:line="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We currently expect to pay quarterly dividends in the future, but any future dividend payments will be subject to the approval of our Board of Directors, which will depend on our financial condition, results of operations and capital requirements at the time,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200" w:lineRule="exact"/>
        <w:rPr>
          <w:sz w:val="20"/>
          <w:szCs w:val="20"/>
          <w:color w:val="auto"/>
        </w:rPr>
      </w:pPr>
    </w:p>
    <w:p>
      <w:pPr>
        <w:spacing w:after="0" w:line="33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56" w:name="page57"/>
    <w:bookmarkEnd w:id="56"/>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Material Cash Requirements</w:t>
      </w:r>
    </w:p>
    <w:p>
      <w:pPr>
        <w:spacing w:after="0" w:line="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summarizes our future material cash requirements from known contractual or other obligations as of September 30, 2025:</w:t>
      </w:r>
    </w:p>
    <w:p>
      <w:pPr>
        <w:spacing w:after="0" w:line="38"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160" w:type="dxa"/>
            <w:vAlign w:val="bottom"/>
          </w:tcPr>
          <w:p>
            <w:pPr>
              <w:spacing w:after="0"/>
              <w:rPr>
                <w:sz w:val="14"/>
                <w:szCs w:val="14"/>
                <w:color w:val="auto"/>
              </w:rPr>
            </w:pPr>
          </w:p>
        </w:tc>
        <w:tc>
          <w:tcPr>
            <w:tcW w:w="5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80" w:type="dxa"/>
            <w:vAlign w:val="bottom"/>
            <w:tcBorders>
              <w:top w:val="single" w:sz="8" w:color="CCEEFF"/>
            </w:tcBorders>
            <w:shd w:val="clear" w:color="auto" w:fill="CCEEFF"/>
          </w:tcPr>
          <w:p>
            <w:pPr>
              <w:ind w:left="80"/>
              <w:spacing w:after="0" w:line="207" w:lineRule="exact"/>
              <w:rPr>
                <w:sz w:val="20"/>
                <w:szCs w:val="20"/>
                <w:color w:val="auto"/>
              </w:rPr>
            </w:pPr>
            <w:r>
              <w:rPr>
                <w:rFonts w:ascii="Times New Roman" w:cs="Times New Roman" w:eastAsia="Times New Roman" w:hAnsi="Times New Roman"/>
                <w:sz w:val="16"/>
                <w:szCs w:val="16"/>
                <w:color w:val="auto"/>
              </w:rPr>
              <w:t>Debt</w:t>
            </w:r>
            <w:r>
              <w:rPr>
                <w:rFonts w:ascii="Times New Roman" w:cs="Times New Roman" w:eastAsia="Times New Roman" w:hAnsi="Times New Roman"/>
                <w:sz w:val="20"/>
                <w:szCs w:val="20"/>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4,085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25"/>
        </w:trPr>
        <w:tc>
          <w:tcPr>
            <w:tcW w:w="1680" w:type="dxa"/>
            <w:vAlign w:val="bottom"/>
          </w:tcPr>
          <w:p>
            <w:pPr>
              <w:ind w:left="80"/>
              <w:spacing w:after="0" w:line="225" w:lineRule="exact"/>
              <w:rPr>
                <w:sz w:val="20"/>
                <w:szCs w:val="20"/>
                <w:color w:val="auto"/>
              </w:rPr>
            </w:pPr>
            <w:r>
              <w:rPr>
                <w:rFonts w:ascii="Times New Roman" w:cs="Times New Roman" w:eastAsia="Times New Roman" w:hAnsi="Times New Roman"/>
                <w:sz w:val="16"/>
                <w:szCs w:val="16"/>
                <w:color w:val="auto"/>
              </w:rPr>
              <w:t>Securitized debt</w:t>
            </w:r>
            <w:r>
              <w:rPr>
                <w:rFonts w:ascii="Times New Roman" w:cs="Times New Roman" w:eastAsia="Times New Roman" w:hAnsi="Times New Roman"/>
                <w:sz w:val="20"/>
                <w:szCs w:val="20"/>
                <w:color w:val="auto"/>
                <w:vertAlign w:val="superscript"/>
              </w:rPr>
              <w:t>(1)(2)</w:t>
            </w:r>
          </w:p>
        </w:tc>
        <w:tc>
          <w:tcPr>
            <w:tcW w:w="16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225"/>
        </w:trPr>
        <w:tc>
          <w:tcPr>
            <w:tcW w:w="1680" w:type="dxa"/>
            <w:vAlign w:val="bottom"/>
            <w:shd w:val="clear" w:color="auto" w:fill="CCEEFF"/>
          </w:tcPr>
          <w:p>
            <w:pPr>
              <w:ind w:left="80"/>
              <w:spacing w:after="0" w:line="225" w:lineRule="exact"/>
              <w:rPr>
                <w:sz w:val="20"/>
                <w:szCs w:val="20"/>
                <w:color w:val="auto"/>
              </w:rPr>
            </w:pPr>
            <w:r>
              <w:rPr>
                <w:rFonts w:ascii="Times New Roman" w:cs="Times New Roman" w:eastAsia="Times New Roman" w:hAnsi="Times New Roman"/>
                <w:sz w:val="16"/>
                <w:szCs w:val="16"/>
                <w:color w:val="auto"/>
              </w:rPr>
              <w:t>Purchase obligations</w:t>
            </w:r>
            <w:r>
              <w:rPr>
                <w:rFonts w:ascii="Times New Roman" w:cs="Times New Roman" w:eastAsia="Times New Roman" w:hAnsi="Times New Roman"/>
                <w:sz w:val="20"/>
                <w:szCs w:val="20"/>
                <w:color w:val="auto"/>
                <w:vertAlign w:val="superscript"/>
              </w:rPr>
              <w:t>(3)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59"/>
        </w:trPr>
        <w:tc>
          <w:tcPr>
            <w:tcW w:w="168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Operating lease</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680" w:type="dxa"/>
            <w:vAlign w:val="bottom"/>
          </w:tcPr>
          <w:p>
            <w:pPr>
              <w:ind w:left="80"/>
              <w:spacing w:after="0" w:line="207" w:lineRule="exact"/>
              <w:rPr>
                <w:sz w:val="20"/>
                <w:szCs w:val="20"/>
                <w:color w:val="auto"/>
              </w:rPr>
            </w:pPr>
            <w:r>
              <w:rPr>
                <w:rFonts w:ascii="Times New Roman" w:cs="Times New Roman" w:eastAsia="Times New Roman" w:hAnsi="Times New Roman"/>
                <w:sz w:val="16"/>
                <w:szCs w:val="16"/>
                <w:color w:val="auto"/>
              </w:rPr>
              <w:t>obligations</w:t>
            </w:r>
            <w:r>
              <w:rPr>
                <w:rFonts w:ascii="Times New Roman" w:cs="Times New Roman" w:eastAsia="Times New Roman" w:hAnsi="Times New Roman"/>
                <w:sz w:val="20"/>
                <w:szCs w:val="20"/>
                <w:color w:val="auto"/>
                <w:vertAlign w:val="superscript"/>
              </w:rPr>
              <w:t>(4)</w:t>
            </w:r>
          </w:p>
        </w:tc>
        <w:tc>
          <w:tcPr>
            <w:tcW w:w="1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59"/>
        </w:trPr>
        <w:tc>
          <w:tcPr>
            <w:tcW w:w="1680" w:type="dxa"/>
            <w:vAlign w:val="bottom"/>
            <w:shd w:val="clear" w:color="auto" w:fill="CCEEFF"/>
          </w:tcPr>
          <w:p>
            <w:pPr>
              <w:ind w:left="80"/>
              <w:spacing w:after="0" w:line="159" w:lineRule="exact"/>
              <w:rPr>
                <w:sz w:val="20"/>
                <w:szCs w:val="20"/>
                <w:color w:val="auto"/>
              </w:rPr>
            </w:pPr>
            <w:r>
              <w:rPr>
                <w:rFonts w:ascii="Times New Roman" w:cs="Times New Roman" w:eastAsia="Times New Roman" w:hAnsi="Times New Roman"/>
                <w:sz w:val="16"/>
                <w:szCs w:val="16"/>
                <w:color w:val="auto"/>
              </w:rPr>
              <w:t>Finance lease</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80"/>
              <w:spacing w:after="0" w:line="207" w:lineRule="exact"/>
              <w:rPr>
                <w:sz w:val="20"/>
                <w:szCs w:val="20"/>
                <w:color w:val="auto"/>
              </w:rPr>
            </w:pPr>
            <w:r>
              <w:rPr>
                <w:rFonts w:ascii="Times New Roman" w:cs="Times New Roman" w:eastAsia="Times New Roman" w:hAnsi="Times New Roman"/>
                <w:sz w:val="16"/>
                <w:szCs w:val="16"/>
                <w:color w:val="auto"/>
              </w:rPr>
              <w:t>obligations</w:t>
            </w:r>
            <w:r>
              <w:rPr>
                <w:rFonts w:ascii="Times New Roman" w:cs="Times New Roman" w:eastAsia="Times New Roman" w:hAnsi="Times New Roman"/>
                <w:sz w:val="20"/>
                <w:szCs w:val="20"/>
                <w:color w:val="auto"/>
                <w:vertAlign w:val="superscript"/>
              </w:rPr>
              <w:t>(4)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161"/>
        </w:trPr>
        <w:tc>
          <w:tcPr>
            <w:tcW w:w="168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rPr>
              <w:t>Other long-term</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obligations</w:t>
            </w:r>
          </w:p>
        </w:tc>
        <w:tc>
          <w:tcPr>
            <w:tcW w:w="1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3,447</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65" w:hanging="265"/>
        <w:spacing w:after="0"/>
        <w:tabs>
          <w:tab w:leader="none" w:pos="265"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principal as well as interest payments and excludes unamortized debt discount and issuance costs.</w:t>
      </w:r>
    </w:p>
    <w:p>
      <w:pPr>
        <w:spacing w:after="0" w:line="59" w:lineRule="exact"/>
        <w:rPr>
          <w:rFonts w:ascii="Times New Roman" w:cs="Times New Roman" w:eastAsia="Times New Roman" w:hAnsi="Times New Roman"/>
          <w:sz w:val="21"/>
          <w:szCs w:val="21"/>
          <w:color w:val="auto"/>
          <w:vertAlign w:val="superscript"/>
        </w:rPr>
      </w:pPr>
    </w:p>
    <w:p>
      <w:pPr>
        <w:ind w:left="265" w:hanging="265"/>
        <w:spacing w:after="0" w:line="222" w:lineRule="auto"/>
        <w:tabs>
          <w:tab w:leader="none" w:pos="265"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Payments based on estimated timing of cash flow associated with securitized notes receivable.</w:t>
      </w:r>
    </w:p>
    <w:p>
      <w:pPr>
        <w:spacing w:after="0" w:line="78" w:lineRule="exact"/>
        <w:rPr>
          <w:rFonts w:ascii="Times New Roman" w:cs="Times New Roman" w:eastAsia="Times New Roman" w:hAnsi="Times New Roman"/>
          <w:sz w:val="21"/>
          <w:szCs w:val="21"/>
          <w:color w:val="auto"/>
          <w:vertAlign w:val="superscript"/>
        </w:rPr>
      </w:pPr>
    </w:p>
    <w:p>
      <w:pPr>
        <w:ind w:left="285" w:right="40" w:hanging="285"/>
        <w:spacing w:after="0" w:line="234" w:lineRule="auto"/>
        <w:tabs>
          <w:tab w:leader="none" w:pos="274"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requirements under such contracts and primarily relate to future purchases of property and vacation ownership units, outsourced services, and arrangements related to information technology, including cloud computing. Amounts reflected on the consolidated balance sheet as accounts payable and accrued liabilities are excluded from the table above.</w:t>
      </w:r>
    </w:p>
    <w:p>
      <w:pPr>
        <w:spacing w:after="0" w:line="43" w:lineRule="exact"/>
        <w:rPr>
          <w:rFonts w:ascii="Times New Roman" w:cs="Times New Roman" w:eastAsia="Times New Roman" w:hAnsi="Times New Roman"/>
          <w:sz w:val="21"/>
          <w:szCs w:val="21"/>
          <w:color w:val="auto"/>
          <w:vertAlign w:val="superscript"/>
        </w:rPr>
      </w:pPr>
    </w:p>
    <w:p>
      <w:pPr>
        <w:ind w:left="265" w:hanging="265"/>
        <w:spacing w:after="0"/>
        <w:tabs>
          <w:tab w:leader="none" w:pos="265"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interest.</w:t>
      </w:r>
    </w:p>
    <w:p>
      <w:pPr>
        <w:spacing w:after="0" w:line="48" w:lineRule="exact"/>
        <w:rPr>
          <w:sz w:val="20"/>
          <w:szCs w:val="20"/>
          <w:color w:val="auto"/>
        </w:rPr>
      </w:pPr>
    </w:p>
    <w:p>
      <w:pPr>
        <w:ind w:left="5" w:right="260"/>
        <w:spacing w:after="0" w:line="250" w:lineRule="auto"/>
        <w:rPr>
          <w:sz w:val="20"/>
          <w:szCs w:val="20"/>
          <w:color w:val="auto"/>
        </w:rPr>
      </w:pPr>
      <w:r>
        <w:rPr>
          <w:rFonts w:ascii="Times New Roman" w:cs="Times New Roman" w:eastAsia="Times New Roman" w:hAnsi="Times New Roman"/>
          <w:sz w:val="16"/>
          <w:szCs w:val="16"/>
          <w:color w:val="auto"/>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or loss and cash flow. These purchase commitments are excluded from the table above.</w:t>
      </w:r>
    </w:p>
    <w:p>
      <w:pPr>
        <w:spacing w:after="0" w:line="11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Supplemental Guarantor Information</w:t>
      </w:r>
    </w:p>
    <w:p>
      <w:pPr>
        <w:spacing w:after="0" w:line="102" w:lineRule="exact"/>
        <w:rPr>
          <w:sz w:val="20"/>
          <w:szCs w:val="20"/>
          <w:color w:val="auto"/>
        </w:rPr>
      </w:pPr>
    </w:p>
    <w:p>
      <w:pPr>
        <w:jc w:val="both"/>
        <w:ind w:left="5" w:right="380"/>
        <w:spacing w:after="0" w:line="261" w:lineRule="auto"/>
        <w:rPr>
          <w:sz w:val="20"/>
          <w:szCs w:val="20"/>
          <w:color w:val="auto"/>
        </w:rPr>
      </w:pPr>
      <w:r>
        <w:rPr>
          <w:rFonts w:ascii="Times New Roman" w:cs="Times New Roman" w:eastAsia="Times New Roman" w:hAnsi="Times New Roman"/>
          <w:sz w:val="16"/>
          <w:szCs w:val="16"/>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15" w:lineRule="exact"/>
        <w:rPr>
          <w:sz w:val="20"/>
          <w:szCs w:val="20"/>
          <w:color w:val="auto"/>
        </w:rPr>
      </w:pPr>
    </w:p>
    <w:p>
      <w:pPr>
        <w:jc w:val="both"/>
        <w:ind w:left="5" w:right="480"/>
        <w:spacing w:after="0" w:line="261" w:lineRule="auto"/>
        <w:rPr>
          <w:sz w:val="20"/>
          <w:szCs w:val="20"/>
          <w:color w:val="auto"/>
        </w:rPr>
      </w:pPr>
      <w:r>
        <w:rPr>
          <w:rFonts w:ascii="Times New Roman" w:cs="Times New Roman" w:eastAsia="Times New Roman" w:hAnsi="Times New Roman"/>
          <w:sz w:val="16"/>
          <w:szCs w:val="16"/>
          <w:color w:val="auto"/>
        </w:rPr>
        <w:t>The following tables present consolidating financial information as of September 30, 2025 and December 31, 2024, and for the nine months ended September 30, 2025 for MVWC and MORI on a stand-alone basis (collectively, the “Issuers”), the Senior Notes Guarantors, the combined non-guarantor subsidiaries of MVWC, and MVW on a consolidated basis.</w:t>
      </w:r>
    </w:p>
    <w:p>
      <w:pPr>
        <w:spacing w:after="0" w:line="6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Condensed Consolidating Statement of Income</w:t>
      </w:r>
    </w:p>
    <w:p>
      <w:pPr>
        <w:spacing w:after="0" w:line="45"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4"/>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Senior Notes</w:t>
            </w: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1"/>
                <w:szCs w:val="11"/>
                <w:color w:val="auto"/>
              </w:rPr>
            </w:pPr>
          </w:p>
        </w:tc>
        <w:tc>
          <w:tcPr>
            <w:tcW w:w="86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2580" w:type="dxa"/>
            <w:vAlign w:val="bottom"/>
            <w:gridSpan w:val="2"/>
          </w:tcPr>
          <w:p>
            <w:pPr>
              <w:jc w:val="center"/>
              <w:ind w:right="2000"/>
              <w:spacing w:after="0" w:line="122" w:lineRule="exact"/>
              <w:rPr>
                <w:sz w:val="20"/>
                <w:szCs w:val="20"/>
                <w:color w:val="auto"/>
              </w:rPr>
            </w:pPr>
            <w:r>
              <w:rPr>
                <w:rFonts w:ascii="Times New Roman" w:cs="Times New Roman" w:eastAsia="Times New Roman" w:hAnsi="Times New Roman"/>
                <w:sz w:val="14"/>
                <w:szCs w:val="14"/>
                <w:b w:val="1"/>
                <w:bCs w:val="1"/>
                <w:color w:val="auto"/>
              </w:rPr>
              <w:t>MVW</w:t>
            </w:r>
          </w:p>
        </w:tc>
        <w:tc>
          <w:tcPr>
            <w:tcW w:w="0" w:type="dxa"/>
            <w:vAlign w:val="bottom"/>
          </w:tcPr>
          <w:p>
            <w:pPr>
              <w:spacing w:after="0"/>
              <w:rPr>
                <w:sz w:val="1"/>
                <w:szCs w:val="1"/>
                <w:color w:val="auto"/>
              </w:rPr>
            </w:pPr>
          </w:p>
        </w:tc>
      </w:tr>
      <w:tr>
        <w:trPr>
          <w:trHeight w:val="180"/>
        </w:trPr>
        <w:tc>
          <w:tcPr>
            <w:tcW w:w="1800" w:type="dxa"/>
            <w:vAlign w:val="bottom"/>
          </w:tcPr>
          <w:p>
            <w:pPr>
              <w:spacing w:after="0"/>
              <w:rPr>
                <w:sz w:val="15"/>
                <w:szCs w:val="15"/>
                <w:color w:val="auto"/>
              </w:rPr>
            </w:pPr>
          </w:p>
        </w:tc>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66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MVWC</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MORI</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3,709</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206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Benefit from (provision for)</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20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Equity in net income of</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subsidiaries</w:t>
            </w:r>
          </w:p>
        </w:tc>
        <w:tc>
          <w:tcPr>
            <w:tcW w:w="220" w:type="dxa"/>
            <w:vAlign w:val="bottom"/>
          </w:tcPr>
          <w:p>
            <w:pPr>
              <w:spacing w:after="0"/>
              <w:rPr>
                <w:sz w:val="18"/>
                <w:szCs w:val="18"/>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2"/>
          </w:tcPr>
          <w:p>
            <w:pPr>
              <w:jc w:val="right"/>
              <w:ind w:right="19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124</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206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Net income attributable to</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2060" w:type="dxa"/>
            <w:vAlign w:val="bottom"/>
            <w:tcBorders>
              <w:top w:val="single" w:sz="8" w:color="CCEEFF"/>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Net income attributable to</w:t>
            </w:r>
          </w:p>
        </w:tc>
        <w:tc>
          <w:tcPr>
            <w:tcW w:w="220" w:type="dxa"/>
            <w:vAlign w:val="bottom"/>
            <w:tcBorders>
              <w:top w:val="single" w:sz="8" w:color="auto"/>
            </w:tcBorders>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123</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stockholders</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Condensed Consolidating Balance Sheet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7"/>
              </w:rPr>
              <w:t>Senior</w:t>
            </w:r>
          </w:p>
        </w:tc>
        <w:tc>
          <w:tcPr>
            <w:tcW w:w="180" w:type="dxa"/>
            <w:vAlign w:val="bottom"/>
          </w:tcPr>
          <w:p>
            <w:pPr>
              <w:spacing w:after="0"/>
              <w:rPr>
                <w:sz w:val="11"/>
                <w:szCs w:val="11"/>
                <w:color w:val="auto"/>
              </w:rPr>
            </w:pPr>
          </w:p>
        </w:tc>
        <w:tc>
          <w:tcPr>
            <w:tcW w:w="7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4"/>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w w:val="99"/>
              </w:rPr>
              <w:t>Guarantor</w:t>
            </w:r>
          </w:p>
        </w:tc>
        <w:tc>
          <w:tcPr>
            <w:tcW w:w="200" w:type="dxa"/>
            <w:vAlign w:val="bottom"/>
          </w:tcPr>
          <w:p>
            <w:pPr>
              <w:spacing w:after="0"/>
              <w:rPr>
                <w:sz w:val="11"/>
                <w:szCs w:val="11"/>
                <w:color w:val="auto"/>
              </w:rPr>
            </w:pPr>
          </w:p>
        </w:tc>
        <w:tc>
          <w:tcPr>
            <w:tcW w:w="7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8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rPr>
              <w:t>MVW</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Senior Notes</w:t>
            </w: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1"/>
                <w:szCs w:val="11"/>
                <w:color w:val="auto"/>
              </w:rPr>
            </w:pPr>
          </w:p>
        </w:tc>
        <w:tc>
          <w:tcPr>
            <w:tcW w:w="78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72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MVW</w:t>
            </w:r>
          </w:p>
        </w:tc>
        <w:tc>
          <w:tcPr>
            <w:tcW w:w="0" w:type="dxa"/>
            <w:vAlign w:val="bottom"/>
          </w:tcPr>
          <w:p>
            <w:pPr>
              <w:spacing w:after="0"/>
              <w:rPr>
                <w:sz w:val="1"/>
                <w:szCs w:val="1"/>
                <w:color w:val="auto"/>
              </w:rPr>
            </w:pPr>
          </w:p>
        </w:tc>
      </w:tr>
      <w:tr>
        <w:trPr>
          <w:trHeight w:val="180"/>
        </w:trPr>
        <w:tc>
          <w:tcPr>
            <w:tcW w:w="1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MVWC</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MORI</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MVWC</w:t>
            </w: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MORI</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10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Cash and cash</w:t>
            </w: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25"/>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Accounts and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contracts</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01"/>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 net</w:t>
            </w:r>
          </w:p>
        </w:tc>
        <w:tc>
          <w:tcPr>
            <w:tcW w:w="12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Vacation</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ownership notes</w:t>
            </w:r>
          </w:p>
        </w:tc>
        <w:tc>
          <w:tcPr>
            <w:tcW w:w="120" w:type="dxa"/>
            <w:vAlign w:val="bottom"/>
          </w:tcPr>
          <w:p>
            <w:pPr>
              <w:spacing w:after="0"/>
              <w:rPr>
                <w:sz w:val="13"/>
                <w:szCs w:val="13"/>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4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2,111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2,522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2,440</w:t>
            </w:r>
          </w:p>
        </w:tc>
        <w:tc>
          <w:tcPr>
            <w:tcW w:w="0" w:type="dxa"/>
            <w:vAlign w:val="bottom"/>
          </w:tcPr>
          <w:p>
            <w:pPr>
              <w:spacing w:after="0"/>
              <w:rPr>
                <w:sz w:val="1"/>
                <w:szCs w:val="1"/>
                <w:color w:val="auto"/>
              </w:rPr>
            </w:pPr>
          </w:p>
        </w:tc>
      </w:tr>
      <w:tr>
        <w:trPr>
          <w:trHeight w:val="201"/>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 net</w:t>
            </w: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Property and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net</w:t>
            </w:r>
          </w:p>
        </w:tc>
        <w:tc>
          <w:tcPr>
            <w:tcW w:w="12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1,170</w:t>
            </w:r>
          </w:p>
        </w:tc>
        <w:tc>
          <w:tcPr>
            <w:tcW w:w="0" w:type="dxa"/>
            <w:vAlign w:val="bottom"/>
          </w:tcPr>
          <w:p>
            <w:pPr>
              <w:spacing w:after="0"/>
              <w:rPr>
                <w:sz w:val="1"/>
                <w:szCs w:val="1"/>
                <w:color w:val="auto"/>
              </w:rPr>
            </w:pPr>
          </w:p>
        </w:tc>
      </w:tr>
      <w:tr>
        <w:trPr>
          <w:trHeight w:val="225"/>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25"/>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790</w:t>
            </w: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Investments in</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subsidiaries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3,258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3,908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3,466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18"/>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3,645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5,192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3,633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9,808</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Accounts</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Advance</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Accrued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Deferred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Payroll and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benefits liability</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Deferred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3"/>
                <w:szCs w:val="13"/>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4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1"/>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Securitized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2,136</w:t>
            </w:r>
          </w:p>
        </w:tc>
        <w:tc>
          <w:tcPr>
            <w:tcW w:w="0" w:type="dxa"/>
            <w:vAlign w:val="bottom"/>
          </w:tcPr>
          <w:p>
            <w:pPr>
              <w:spacing w:after="0"/>
              <w:rPr>
                <w:sz w:val="1"/>
                <w:szCs w:val="1"/>
                <w:color w:val="auto"/>
              </w:rPr>
            </w:pPr>
          </w:p>
        </w:tc>
      </w:tr>
      <w:tr>
        <w:trPr>
          <w:trHeight w:val="225"/>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20" w:type="dxa"/>
            <w:vAlign w:val="bottom"/>
          </w:tcPr>
          <w:p>
            <w:pPr>
              <w:spacing w:after="0"/>
              <w:rPr>
                <w:sz w:val="19"/>
                <w:szCs w:val="19"/>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4"/>
              </w:rPr>
              <w:t>1,143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2,211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1,138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3,089</w:t>
            </w:r>
          </w:p>
        </w:tc>
        <w:tc>
          <w:tcPr>
            <w:tcW w:w="0" w:type="dxa"/>
            <w:vAlign w:val="bottom"/>
          </w:tcPr>
          <w:p>
            <w:pPr>
              <w:spacing w:after="0"/>
              <w:rPr>
                <w:sz w:val="1"/>
                <w:szCs w:val="1"/>
                <w:color w:val="auto"/>
              </w:rPr>
            </w:pPr>
          </w:p>
        </w:tc>
      </w:tr>
      <w:tr>
        <w:trPr>
          <w:trHeight w:val="225"/>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25"/>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161"/>
        </w:trPr>
        <w:tc>
          <w:tcPr>
            <w:tcW w:w="1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MVW</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stockholders'</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2,465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2,242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2,442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2,442</w:t>
            </w:r>
          </w:p>
        </w:tc>
        <w:tc>
          <w:tcPr>
            <w:tcW w:w="0" w:type="dxa"/>
            <w:vAlign w:val="bottom"/>
          </w:tcPr>
          <w:p>
            <w:pPr>
              <w:spacing w:after="0"/>
              <w:rPr>
                <w:sz w:val="1"/>
                <w:szCs w:val="1"/>
                <w:color w:val="auto"/>
              </w:rPr>
            </w:pPr>
          </w:p>
        </w:tc>
      </w:tr>
      <w:tr>
        <w:trPr>
          <w:trHeight w:val="201"/>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Noncontrolling</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2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41"/>
        </w:trPr>
        <w:tc>
          <w:tcPr>
            <w:tcW w:w="1060" w:type="dxa"/>
            <w:vAlign w:val="bottom"/>
            <w:tcBorders>
              <w:top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3,645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5,192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5,534</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10,149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3,633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5,610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9,808</w:t>
            </w:r>
          </w:p>
        </w:tc>
        <w:tc>
          <w:tcPr>
            <w:tcW w:w="0" w:type="dxa"/>
            <w:vAlign w:val="bottom"/>
          </w:tcPr>
          <w:p>
            <w:pPr>
              <w:spacing w:after="0"/>
              <w:rPr>
                <w:sz w:val="1"/>
                <w:szCs w:val="1"/>
                <w:color w:val="auto"/>
              </w:rPr>
            </w:pPr>
          </w:p>
        </w:tc>
      </w:tr>
      <w:tr>
        <w:trPr>
          <w:trHeight w:val="202"/>
        </w:trPr>
        <w:tc>
          <w:tcPr>
            <w:tcW w:w="10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and equity</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40"/>
          </w:cols>
          <w:pgMar w:left="320" w:top="21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2"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6"/>
          <w:szCs w:val="16"/>
          <w:color w:val="auto"/>
        </w:rPr>
        <w:t>See Footnote 2 “Significant Accounting Policies and Recent Accounting Standards” to our Financial Statements for a discussion of recently issued accounting pronouncements, including information about new accounting standards and the future adoption of such standards.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5"/>
          <w:szCs w:val="15"/>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2024 Annual Report. Since the date of our 2024 Annual Report, there have been no material changes to our critical accounting policies or the methodologies or assumptions we apply under them.</w:t>
      </w:r>
    </w:p>
    <w:p>
      <w:pPr>
        <w:spacing w:after="0" w:line="1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exposure to market risk has not changed materially from that disclosed in Part I, Item 7A of the 2024 Annual Report, other than as set forth below.</w:t>
      </w:r>
    </w:p>
    <w:p>
      <w:pPr>
        <w:spacing w:after="0" w:line="100"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6"/>
          <w:szCs w:val="16"/>
          <w:color w:val="auto"/>
        </w:rPr>
        <w:t>We manage the interest rate risk on our corporate debt through the use of a combination of fixed-rate debt and interest rate swaps that fix a portion of our variable-rate debt. At September 30, 2025, after considering the impact of our interest rate swap agreement and excluding finance leases, the interest rate applicable to 85% (approximately $2.9 billion) of our total corporate debt was effectively fixed and the interest rate applicable to the remaining 15% (approximately $490 million) was variable. Assuming no outstanding balance on our Revolving Corporate Credit Facility, a 100 basis point increase in the underlying benchmark rate on our variable-rate debt at September 30, 2025 would result in an increase of approximately $5 million in annual cash interest due to the impact of our hedging arrangements discussed in Footnote 12 “Debt” to our Financial Statements. Assuming we had no outstanding hedging arrangements and no outstanding balance on our Revolving Corporate Credit Facility, a 100 basis point increase in the underlying benchmark rate on our variable-rate debt at September 30, 2025 would result in an annual increase in cash interest of approximately $8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scheduled maturities and the total fair value as of September 30, 2025 for our financial instruments that are impacted by market risks: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Maturities by Period</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18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2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Remainder</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center"/>
              <w:ind w:right="260"/>
              <w:spacing w:after="0" w:line="112" w:lineRule="exact"/>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center"/>
              <w:ind w:right="65"/>
              <w:spacing w:after="0" w:line="112" w:lineRule="exact"/>
              <w:rPr>
                <w:sz w:val="20"/>
                <w:szCs w:val="20"/>
                <w:color w:val="auto"/>
              </w:rPr>
            </w:pPr>
            <w:r>
              <w:rPr>
                <w:rFonts w:ascii="Times New Roman" w:cs="Times New Roman" w:eastAsia="Times New Roman" w:hAnsi="Times New Roman"/>
                <w:sz w:val="12"/>
                <w:szCs w:val="12"/>
                <w:b w:val="1"/>
                <w:bCs w:val="1"/>
                <w:color w:val="auto"/>
              </w:rPr>
              <w:t>Total</w:t>
            </w: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80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6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w w:val="99"/>
              </w:rPr>
              <w:t>2027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w w:val="92"/>
              </w:rPr>
              <w:t>2028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w w:val="99"/>
              </w:rPr>
              <w:t>2029</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00" w:type="dxa"/>
            <w:vAlign w:val="bottom"/>
            <w:vMerge w:val="restart"/>
          </w:tcPr>
          <w:p>
            <w:pPr>
              <w:spacing w:after="0"/>
              <w:rPr>
                <w:sz w:val="11"/>
                <w:szCs w:val="11"/>
                <w:color w:val="auto"/>
              </w:rPr>
            </w:pPr>
          </w:p>
        </w:tc>
        <w:tc>
          <w:tcPr>
            <w:tcW w:w="78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20" w:type="dxa"/>
            <w:vAlign w:val="bottom"/>
          </w:tcPr>
          <w:p>
            <w:pPr>
              <w:spacing w:after="0"/>
              <w:rPr>
                <w:sz w:val="11"/>
                <w:szCs w:val="11"/>
                <w:color w:val="auto"/>
              </w:rPr>
            </w:pPr>
          </w:p>
        </w:tc>
        <w:tc>
          <w:tcPr>
            <w:tcW w:w="2340" w:type="dxa"/>
            <w:vAlign w:val="bottom"/>
            <w:gridSpan w:val="2"/>
          </w:tcPr>
          <w:p>
            <w:pPr>
              <w:jc w:val="center"/>
              <w:ind w:right="1940"/>
              <w:spacing w:after="0" w:line="131"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24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w w:val="99"/>
              </w:rPr>
              <w:t>of 2025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6220" w:type="dxa"/>
            <w:vAlign w:val="bottom"/>
            <w:gridSpan w:val="21"/>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Assets – Maturities represent expected principal receipts; fair values represent assets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Vacation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2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ownership notes</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11.9%</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74</w:t>
            </w:r>
          </w:p>
        </w:tc>
        <w:tc>
          <w:tcPr>
            <w:tcW w:w="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631</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124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receivable — non-</w:t>
            </w: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0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securitized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Vacation</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2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ownership notes</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13.3%</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1,896</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1,962</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40" w:type="dxa"/>
            <w:vAlign w:val="bottom"/>
            <w:vMerge w:val="restart"/>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receivable —</w:t>
            </w:r>
          </w:p>
        </w:tc>
        <w:tc>
          <w:tcPr>
            <w:tcW w:w="5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240" w:type="dxa"/>
            <w:vAlign w:val="bottom"/>
            <w:vMerge w:val="continue"/>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180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securitized</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Contracts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2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receivable for</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13.2%</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85</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40" w:type="dxa"/>
            <w:vAlign w:val="bottom"/>
            <w:vMerge w:val="restart"/>
          </w:tcPr>
          <w:p>
            <w:pPr>
              <w:spacing w:after="0" w:line="154" w:lineRule="exact"/>
              <w:rPr>
                <w:sz w:val="20"/>
                <w:szCs w:val="20"/>
                <w:color w:val="auto"/>
              </w:rPr>
            </w:pPr>
            <w:r>
              <w:rPr>
                <w:rFonts w:ascii="Times New Roman" w:cs="Times New Roman" w:eastAsia="Times New Roman" w:hAnsi="Times New Roman"/>
                <w:sz w:val="16"/>
                <w:szCs w:val="16"/>
                <w:color w:val="auto"/>
              </w:rPr>
              <w:t>financed VOI</w:t>
            </w: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180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sales, net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7000" w:type="dxa"/>
            <w:vAlign w:val="bottom"/>
            <w:gridSpan w:val="24"/>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Liabilities – Maturities represent expected principal payments; fair values represent liabilities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Securitized Debt</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Senior Notes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2028 Notes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2029 Notes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2033 Notes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2026 Convertible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Notes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2027 Convertible</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8"/>
        </w:trPr>
        <w:tc>
          <w:tcPr>
            <w:tcW w:w="1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Disclosure Controls and Procedures</w:t>
      </w:r>
    </w:p>
    <w:p>
      <w:pPr>
        <w:spacing w:after="0" w:line="5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As of the end of the period covered by this Quarterly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September 30, 2025,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55"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We made no changes in our internal control over financial reporting during the period covered by this Quarterly Report that have materially affected, or are reasonably likely to materially affect, our internal control over financial reporting.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4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Legal Proceedings</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Currently, and from time to time, we are subject to claims in legal proceedings arising in the normal course of business. See “Loss Contingencies” in Footnote 10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02" w:lineRule="exact"/>
        <w:rPr>
          <w:sz w:val="20"/>
          <w:szCs w:val="20"/>
          <w:color w:val="auto"/>
        </w:rPr>
      </w:pPr>
    </w:p>
    <w:p>
      <w:pPr>
        <w:jc w:val="both"/>
        <w:ind w:right="40"/>
        <w:spacing w:after="0" w:line="311" w:lineRule="auto"/>
        <w:rPr>
          <w:sz w:val="20"/>
          <w:szCs w:val="20"/>
          <w:color w:val="auto"/>
        </w:rPr>
      </w:pPr>
      <w:r>
        <w:rPr>
          <w:rFonts w:ascii="Times New Roman" w:cs="Times New Roman" w:eastAsia="Times New Roman" w:hAnsi="Times New Roman"/>
          <w:sz w:val="15"/>
          <w:szCs w:val="15"/>
          <w:color w:val="auto"/>
        </w:rPr>
        <w:t>There have been no material changes to the risk factors set forth in Item 1A of Part 1 of our 2024 Annual Report and in Item 1A of Part II of our Quarterly Report for the quarter ended June 30, 2025, except to the extent factual information disclosed elsewhere in this Quarterly Report relates to such risk factors, which is incorporated herein by reference.</w:t>
      </w:r>
    </w:p>
    <w:p>
      <w:pPr>
        <w:spacing w:after="0" w:line="7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Unregistered Sales of Equity Securities and Use of Proceeds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Issuer Purchases of Equity Securities</w:t>
      </w:r>
    </w:p>
    <w:p>
      <w:pPr>
        <w:spacing w:after="0" w:line="171"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 of Shares</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2"/>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2"/>
                <w:szCs w:val="12"/>
                <w:color w:val="auto"/>
              </w:rPr>
            </w:pPr>
          </w:p>
        </w:tc>
        <w:tc>
          <w:tcPr>
            <w:tcW w:w="110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14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4"/>
              <w:spacing w:after="0" w:line="189"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(2)</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5"/>
              </w:rPr>
              <w:t>Programs</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ind w:left="40"/>
              <w:spacing w:after="0" w:line="189" w:lineRule="exact"/>
              <w:rPr>
                <w:sz w:val="20"/>
                <w:szCs w:val="20"/>
                <w:color w:val="auto"/>
              </w:rPr>
            </w:pPr>
            <w:r>
              <w:rPr>
                <w:rFonts w:ascii="Times New Roman" w:cs="Times New Roman" w:eastAsia="Times New Roman" w:hAnsi="Times New Roman"/>
                <w:sz w:val="14"/>
                <w:szCs w:val="14"/>
                <w:b w:val="1"/>
                <w:bCs w:val="1"/>
                <w:color w:val="auto"/>
                <w:w w:val="97"/>
              </w:rPr>
              <w:t>Plans or Programs</w:t>
            </w:r>
            <w:r>
              <w:rPr>
                <w:rFonts w:ascii="Times New Roman" w:cs="Times New Roman" w:eastAsia="Times New Roman" w:hAnsi="Times New Roman"/>
                <w:sz w:val="18"/>
                <w:szCs w:val="18"/>
                <w:b w:val="1"/>
                <w:bCs w:val="1"/>
                <w:color w:val="auto"/>
                <w:w w:val="97"/>
                <w:vertAlign w:val="superscript"/>
              </w:rPr>
              <w:t>(1)(2)</w:t>
            </w:r>
          </w:p>
        </w:tc>
        <w:tc>
          <w:tcPr>
            <w:tcW w:w="0" w:type="dxa"/>
            <w:vAlign w:val="bottom"/>
          </w:tcPr>
          <w:p>
            <w:pPr>
              <w:spacing w:after="0"/>
              <w:rPr>
                <w:sz w:val="1"/>
                <w:szCs w:val="1"/>
                <w:color w:val="auto"/>
              </w:rPr>
            </w:pPr>
          </w:p>
        </w:tc>
      </w:tr>
      <w:tr>
        <w:trPr>
          <w:trHeight w:val="205"/>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1, 2025 – July 31, 2025</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347,132,547</w:t>
            </w:r>
          </w:p>
        </w:tc>
        <w:tc>
          <w:tcPr>
            <w:tcW w:w="0" w:type="dxa"/>
            <w:vAlign w:val="bottom"/>
          </w:tcPr>
          <w:p>
            <w:pPr>
              <w:spacing w:after="0"/>
              <w:rPr>
                <w:sz w:val="1"/>
                <w:szCs w:val="1"/>
                <w:color w:val="auto"/>
              </w:rPr>
            </w:pPr>
          </w:p>
        </w:tc>
      </w:tr>
      <w:tr>
        <w:trPr>
          <w:trHeight w:val="225"/>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August 1, 2025 – August 31, 2025</w:t>
            </w:r>
          </w:p>
        </w:tc>
        <w:tc>
          <w:tcPr>
            <w:tcW w:w="9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347,132,547</w:t>
            </w:r>
          </w:p>
        </w:tc>
        <w:tc>
          <w:tcPr>
            <w:tcW w:w="0" w:type="dxa"/>
            <w:vAlign w:val="bottom"/>
          </w:tcPr>
          <w:p>
            <w:pPr>
              <w:spacing w:after="0"/>
              <w:rPr>
                <w:sz w:val="1"/>
                <w:szCs w:val="1"/>
                <w:color w:val="auto"/>
              </w:rPr>
            </w:pPr>
          </w:p>
        </w:tc>
      </w:tr>
      <w:tr>
        <w:trPr>
          <w:trHeight w:val="161"/>
        </w:trPr>
        <w:tc>
          <w:tcPr>
            <w:tcW w:w="26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September 1, 2025 – September 30,</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347,132,547</w:t>
            </w:r>
          </w:p>
        </w:tc>
        <w:tc>
          <w:tcPr>
            <w:tcW w:w="0" w:type="dxa"/>
            <w:vAlign w:val="bottom"/>
          </w:tcPr>
          <w:p>
            <w:pPr>
              <w:spacing w:after="0"/>
              <w:rPr>
                <w:sz w:val="1"/>
                <w:szCs w:val="1"/>
                <w:color w:val="auto"/>
              </w:rPr>
            </w:pPr>
          </w:p>
        </w:tc>
      </w:tr>
      <w:tr>
        <w:trPr>
          <w:trHeight w:val="19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347,132,547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080" w:right="1820" w:hanging="276"/>
        <w:spacing w:after="0" w:line="236" w:lineRule="auto"/>
        <w:tabs>
          <w:tab w:leader="none" w:pos="2069"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11, 2023, we announced that our Board of Directors increased the then-remaining authorization under our share repurchase program (which was first announced on September 13, 2021) to authorize purchases of up to $600 million of our common stock and extended the term of our share repurchase program to December 31, 2024. On December 19, 2024, we announced that our Board of Directors extended the term of our share repurchase program to December 31, 2025.</w:t>
      </w:r>
    </w:p>
    <w:p>
      <w:pPr>
        <w:spacing w:after="0" w:line="128" w:lineRule="exact"/>
        <w:rPr>
          <w:rFonts w:ascii="Times New Roman" w:cs="Times New Roman" w:eastAsia="Times New Roman" w:hAnsi="Times New Roman"/>
          <w:sz w:val="21"/>
          <w:szCs w:val="21"/>
          <w:color w:val="auto"/>
          <w:vertAlign w:val="superscript"/>
        </w:rPr>
      </w:pPr>
    </w:p>
    <w:p>
      <w:pPr>
        <w:ind w:left="2080" w:right="1840" w:hanging="276"/>
        <w:spacing w:after="0" w:line="223" w:lineRule="auto"/>
        <w:tabs>
          <w:tab w:leader="none" w:pos="2069"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dollar amounts presented exclude the nondeductible 1% excise tax on the net value of certain stock repurchases that was imposed by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218"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Trading Plans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quarter ended September 30, 2025, the following officers and directors, as defined in Rule 16a-1(f), adopted a “Rule 10b5-1 trading arrangement” as defined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Regulation S-K Item 408, as follows:</w:t>
      </w:r>
    </w:p>
    <w:p>
      <w:pPr>
        <w:spacing w:after="0" w:line="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On September 11, 2025, John E. Geller, Jr., the Company’s President and Chief Executive Officer and a member of the Board of Directors of the Company, adopted a trading plan intended to satisfy the affirmative defense of Rule 10b5-1(c) under the Securities Exchange Act of 1934, as amended (“Rule 10b5-1(c)”). Mr. Geller’s trading plan provides for the acquisition of up to 20,471 shares of the Company’s common stock upon the exercise of stock appreciation rights, less any shares to be withheld and/or sold to satisfy applicable tax withholdings, and the sale of the net shares acquired over the term of the plan. Potential transactions under Mr. Geller’s trading plan are subject to the occurrence and satisfaction of certain stock price and/or other conditions. The trading arrangement will expire on the earlier of March 2, 2026, or the completion of all transactions subject to the trading arrangement.</w:t>
      </w:r>
    </w:p>
    <w:p>
      <w:pPr>
        <w:spacing w:after="0" w:line="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On September 25, 2025, James H Hunter, IV, the Company’s Executive Vice President, General Counsel and Secretary, adopted a trading plan intended to satisfy the affirmative defense of Rule 10b5-1(c). Mr. Hunter’s trading plan provides for the potential acquisition of up to 7,444 shares of the Company’s common stock issuable upon the exercise of stock appreciation rights over the term of the plan, less any shares to be withheld and/or sold to satisfy applicable tax withholdings. Potential acquisitions under Mr. Hunter’s trading plan are subject to the occurrence and satisfaction of certain stock price and/or other conditions. The trading arrangement will expire on the earlier of March 2, 2026, or the completion of all transactions subject to the trading arrangement.</w:t>
      </w:r>
    </w:p>
    <w:p>
      <w:pPr>
        <w:spacing w:after="0" w:line="68"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auto"/>
        </w:rPr>
        <w:t>During the quarter ended September 30, 2025, no other directors or officers, as defined in Rule 16a-1(f), adopted or terminated a “Rule 10b5-1 trading arrangement” or a “non-Rule 10b5-1 trading arrangement,” each as defined in Regulation S-K Item 408.</w:t>
      </w:r>
    </w:p>
    <w:p>
      <w:pPr>
        <w:spacing w:after="0" w:line="4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Exhibits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documents referenced below are being filed as a part of this Quarterly Report, unless otherwise noted.</w:t>
      </w:r>
    </w:p>
    <w:p>
      <w:pPr>
        <w:sectPr>
          <w:pgSz w:w="11900" w:h="16838" w:orient="portrait"/>
          <w:cols w:equalWidth="0" w:num="1">
            <w:col w:w="11260"/>
          </w:cols>
          <w:pgMar w:left="320" w:top="218" w:right="319" w:bottom="1440" w:gutter="0" w:footer="0" w:header="0"/>
        </w:sect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51879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87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400" w:type="dxa"/>
            <w:vAlign w:val="bottom"/>
          </w:tcPr>
          <w:p>
            <w:pPr>
              <w:jc w:val="center"/>
              <w:ind w:left="1213"/>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28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Incorporation By Reference From</w:t>
            </w:r>
          </w:p>
        </w:tc>
      </w:tr>
      <w:tr>
        <w:trPr>
          <w:trHeight w:val="169"/>
        </w:trPr>
        <w:tc>
          <w:tcPr>
            <w:tcW w:w="2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400" w:type="dxa"/>
            <w:vAlign w:val="bottom"/>
          </w:tcPr>
          <w:p>
            <w:pPr>
              <w:jc w:val="center"/>
              <w:ind w:left="1213"/>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Form</w:t>
            </w:r>
          </w:p>
        </w:tc>
        <w:tc>
          <w:tcPr>
            <w:tcW w:w="9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1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-1809115</wp:posOffset>
            </wp:positionH>
            <wp:positionV relativeFrom="paragraph">
              <wp:posOffset>0</wp:posOffset>
            </wp:positionV>
            <wp:extent cx="65405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40500" cy="76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060" w:space="720"/>
            <w:col w:w="7480"/>
          </w:cols>
          <w:pgMar w:left="320" w:top="218" w:right="31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6"/>
          <w:szCs w:val="16"/>
          <w:color w:val="auto"/>
        </w:rPr>
        <w:t>3.1</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3.2</w:t>
      </w:r>
    </w:p>
    <w:p>
      <w:pPr>
        <w:spacing w:after="0" w:line="2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4.1</w:t>
      </w: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br w:type="column"/>
      </w:r>
    </w:p>
    <w:p>
      <w:pPr>
        <w:ind w:right="1200"/>
        <w:spacing w:after="0" w:line="428" w:lineRule="auto"/>
        <w:rPr>
          <w:rFonts w:ascii="Times New Roman" w:cs="Times New Roman" w:eastAsia="Times New Roman" w:hAnsi="Times New Roman"/>
          <w:sz w:val="15"/>
          <w:szCs w:val="15"/>
          <w:u w:val="single" w:color="auto"/>
          <w:color w:val="0000FF"/>
        </w:rPr>
      </w:pPr>
      <w:hyperlink r:id="rId126">
        <w:r>
          <w:rPr>
            <w:rFonts w:ascii="Times New Roman" w:cs="Times New Roman" w:eastAsia="Times New Roman" w:hAnsi="Times New Roman"/>
            <w:sz w:val="15"/>
            <w:szCs w:val="15"/>
            <w:u w:val="single" w:color="auto"/>
            <w:color w:val="0000FF"/>
          </w:rPr>
          <w:t>Second Restated Certificate of Incorporation of Marriott Vacations Worldwide Corporation</w:t>
        </w:r>
      </w:hyperlink>
      <w:r>
        <w:rPr>
          <w:rFonts w:ascii="Times New Roman" w:cs="Times New Roman" w:eastAsia="Times New Roman" w:hAnsi="Times New Roman"/>
          <w:sz w:val="15"/>
          <w:szCs w:val="15"/>
          <w:u w:val="single" w:color="auto"/>
          <w:color w:val="0000FF"/>
        </w:rPr>
        <w:t xml:space="preserve"> </w:t>
      </w:r>
      <w:hyperlink r:id="rId127">
        <w:r>
          <w:rPr>
            <w:rFonts w:ascii="Times New Roman" w:cs="Times New Roman" w:eastAsia="Times New Roman" w:hAnsi="Times New Roman"/>
            <w:sz w:val="15"/>
            <w:szCs w:val="15"/>
            <w:u w:val="single" w:color="auto"/>
            <w:color w:val="0000FF"/>
          </w:rPr>
          <w:t>Restated Bylaws of Marriott Vacations Worldwide Corporation (effective May 12, 2023)</w:t>
        </w:r>
      </w:hyperlink>
    </w:p>
    <w:p>
      <w:pPr>
        <w:ind w:right="920"/>
        <w:spacing w:after="0" w:line="276" w:lineRule="auto"/>
        <w:rPr>
          <w:rFonts w:ascii="Times New Roman" w:cs="Times New Roman" w:eastAsia="Times New Roman" w:hAnsi="Times New Roman"/>
          <w:sz w:val="16"/>
          <w:szCs w:val="16"/>
          <w:u w:val="single" w:color="auto"/>
          <w:color w:val="0000FF"/>
        </w:rPr>
      </w:pPr>
      <w:hyperlink r:id="rId128">
        <w:r>
          <w:rPr>
            <w:rFonts w:ascii="Times New Roman" w:cs="Times New Roman" w:eastAsia="Times New Roman" w:hAnsi="Times New Roman"/>
            <w:sz w:val="16"/>
            <w:szCs w:val="16"/>
            <w:u w:val="single" w:color="auto"/>
            <w:color w:val="0000FF"/>
          </w:rPr>
          <w:t>Form of certificate representing shares of common stock, par value $0.01 per share, of Marriott</w:t>
        </w:r>
      </w:hyperlink>
      <w:r>
        <w:rPr>
          <w:rFonts w:ascii="Times New Roman" w:cs="Times New Roman" w:eastAsia="Times New Roman" w:hAnsi="Times New Roman"/>
          <w:sz w:val="16"/>
          <w:szCs w:val="16"/>
          <w:u w:val="single" w:color="auto"/>
          <w:color w:val="0000FF"/>
        </w:rPr>
        <w:t xml:space="preserve"> </w:t>
      </w:r>
      <w:hyperlink r:id="rId128">
        <w:r>
          <w:rPr>
            <w:rFonts w:ascii="Times New Roman" w:cs="Times New Roman" w:eastAsia="Times New Roman" w:hAnsi="Times New Roman"/>
            <w:sz w:val="16"/>
            <w:szCs w:val="16"/>
            <w:u w:val="single" w:color="auto"/>
            <w:color w:val="0000FF"/>
          </w:rPr>
          <w:t>Vacations Worldwide Corporation</w:t>
        </w:r>
      </w:hyperlink>
    </w:p>
    <w:p>
      <w:pPr>
        <w:spacing w:after="0" w:line="50" w:lineRule="exact"/>
        <w:rPr>
          <w:sz w:val="20"/>
          <w:szCs w:val="20"/>
          <w:color w:val="auto"/>
        </w:rPr>
      </w:pPr>
    </w:p>
    <w:p>
      <w:pPr>
        <w:ind w:right="660"/>
        <w:spacing w:after="0" w:line="261" w:lineRule="auto"/>
        <w:rPr>
          <w:rFonts w:ascii="Times New Roman" w:cs="Times New Roman" w:eastAsia="Times New Roman" w:hAnsi="Times New Roman"/>
          <w:sz w:val="16"/>
          <w:szCs w:val="16"/>
          <w:u w:val="single" w:color="auto"/>
          <w:color w:val="0000FF"/>
        </w:rPr>
      </w:pPr>
      <w:hyperlink r:id="rId129">
        <w:r>
          <w:rPr>
            <w:rFonts w:ascii="Times New Roman" w:cs="Times New Roman" w:eastAsia="Times New Roman" w:hAnsi="Times New Roman"/>
            <w:sz w:val="16"/>
            <w:szCs w:val="16"/>
            <w:u w:val="single" w:color="auto"/>
            <w:color w:val="0000FF"/>
          </w:rPr>
          <w:t>Indenture, dated as of October 1, 2019, by and among Marriott Ownership Resorts, Inc., Marriott</w:t>
        </w:r>
      </w:hyperlink>
      <w:r>
        <w:rPr>
          <w:rFonts w:ascii="Times New Roman" w:cs="Times New Roman" w:eastAsia="Times New Roman" w:hAnsi="Times New Roman"/>
          <w:sz w:val="16"/>
          <w:szCs w:val="16"/>
          <w:u w:val="single" w:color="auto"/>
          <w:color w:val="0000FF"/>
        </w:rPr>
        <w:t xml:space="preserve"> </w:t>
      </w:r>
      <w:hyperlink r:id="rId129">
        <w:r>
          <w:rPr>
            <w:rFonts w:ascii="Times New Roman" w:cs="Times New Roman" w:eastAsia="Times New Roman" w:hAnsi="Times New Roman"/>
            <w:sz w:val="16"/>
            <w:szCs w:val="16"/>
            <w:u w:val="single" w:color="auto"/>
            <w:color w:val="0000FF"/>
          </w:rPr>
          <w:t>Vacations Worldwide Corporation, as guarantor, the other guarantors party thereto and The Bank of</w:t>
        </w:r>
      </w:hyperlink>
      <w:r>
        <w:rPr>
          <w:rFonts w:ascii="Times New Roman" w:cs="Times New Roman" w:eastAsia="Times New Roman" w:hAnsi="Times New Roman"/>
          <w:sz w:val="16"/>
          <w:szCs w:val="16"/>
          <w:u w:val="single" w:color="auto"/>
          <w:color w:val="0000FF"/>
        </w:rPr>
        <w:t xml:space="preserve"> </w:t>
      </w:r>
      <w:hyperlink r:id="rId129">
        <w:r>
          <w:rPr>
            <w:rFonts w:ascii="Times New Roman" w:cs="Times New Roman" w:eastAsia="Times New Roman" w:hAnsi="Times New Roman"/>
            <w:sz w:val="16"/>
            <w:szCs w:val="16"/>
            <w:u w:val="single" w:color="auto"/>
            <w:color w:val="0000FF"/>
          </w:rPr>
          <w:t>New York Mellon Trust Company, N.A., as trustee</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07"/>
        </w:trPr>
        <w:tc>
          <w:tcPr>
            <w:tcW w:w="60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6"/>
              </w:rPr>
              <w:t>8-K</w:t>
            </w:r>
          </w:p>
        </w:tc>
        <w:tc>
          <w:tcPr>
            <w:tcW w:w="7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3.2</w:t>
            </w:r>
          </w:p>
        </w:tc>
        <w:tc>
          <w:tcPr>
            <w:tcW w:w="100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5/15/2023</w:t>
            </w:r>
          </w:p>
        </w:tc>
      </w:tr>
      <w:tr>
        <w:trPr>
          <w:trHeight w:val="284"/>
        </w:trPr>
        <w:tc>
          <w:tcPr>
            <w:tcW w:w="60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7"/>
              </w:rPr>
              <w:t>10-Q</w:t>
            </w:r>
          </w:p>
        </w:tc>
        <w:tc>
          <w:tcPr>
            <w:tcW w:w="7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3.3</w:t>
            </w:r>
          </w:p>
        </w:tc>
        <w:tc>
          <w:tcPr>
            <w:tcW w:w="100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8/4/2023</w:t>
            </w:r>
          </w:p>
        </w:tc>
      </w:tr>
      <w:tr>
        <w:trPr>
          <w:trHeight w:val="426"/>
        </w:trPr>
        <w:tc>
          <w:tcPr>
            <w:tcW w:w="60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9"/>
              </w:rPr>
              <w:t>10</w:t>
            </w:r>
          </w:p>
        </w:tc>
        <w:tc>
          <w:tcPr>
            <w:tcW w:w="7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4.1</w:t>
            </w:r>
          </w:p>
        </w:tc>
        <w:tc>
          <w:tcPr>
            <w:tcW w:w="100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10/14/2011</w:t>
            </w:r>
          </w:p>
        </w:tc>
      </w:tr>
      <w:tr>
        <w:trPr>
          <w:trHeight w:val="568"/>
        </w:trPr>
        <w:tc>
          <w:tcPr>
            <w:tcW w:w="60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6"/>
              </w:rPr>
              <w:t>8-K</w:t>
            </w:r>
          </w:p>
        </w:tc>
        <w:tc>
          <w:tcPr>
            <w:tcW w:w="7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4.1</w:t>
            </w:r>
          </w:p>
        </w:tc>
        <w:tc>
          <w:tcPr>
            <w:tcW w:w="100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10/1/2019</w:t>
            </w:r>
          </w:p>
        </w:tc>
      </w:tr>
    </w:tbl>
    <w:p>
      <w:pPr>
        <w:spacing w:after="0" w:line="206"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540" w:space="400"/>
            <w:col w:w="6940" w:space="720"/>
            <w:col w:w="2660"/>
          </w:cols>
          <w:pgMar w:left="320" w:top="218"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94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4.3</w:t>
            </w:r>
          </w:p>
        </w:tc>
        <w:tc>
          <w:tcPr>
            <w:tcW w:w="6980" w:type="dxa"/>
            <w:vAlign w:val="bottom"/>
            <w:gridSpan w:val="10"/>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 xml:space="preserve">Form of 4.750% Senior Notes due 2028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Exhibit A to Exhibit 4.2 above)</w:t>
            </w:r>
          </w:p>
        </w:tc>
        <w:tc>
          <w:tcPr>
            <w:tcW w:w="12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4.2</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10/1/2019</w:t>
            </w:r>
          </w:p>
        </w:tc>
      </w:tr>
      <w:tr>
        <w:trPr>
          <w:trHeight w:val="20"/>
        </w:trPr>
        <w:tc>
          <w:tcPr>
            <w:tcW w:w="94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606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w w:val="98"/>
              </w:rPr>
            </w:pPr>
            <w:hyperlink r:id="rId130">
              <w:r>
                <w:rPr>
                  <w:rFonts w:ascii="Times New Roman" w:cs="Times New Roman" w:eastAsia="Times New Roman" w:hAnsi="Times New Roman"/>
                  <w:sz w:val="16"/>
                  <w:szCs w:val="16"/>
                  <w:color w:val="0000FF"/>
                  <w:w w:val="98"/>
                </w:rPr>
                <w:t>Registration Rights Agreement, dated as of October 1, 2019, by and among Marriott Ownership</w:t>
              </w:r>
            </w:hyperlink>
          </w:p>
        </w:tc>
        <w:tc>
          <w:tcPr>
            <w:tcW w:w="920" w:type="dxa"/>
            <w:vAlign w:val="bottom"/>
            <w:gridSpan w:val="5"/>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9"/>
        </w:trPr>
        <w:tc>
          <w:tcPr>
            <w:tcW w:w="940" w:type="dxa"/>
            <w:vAlign w:val="bottom"/>
          </w:tcPr>
          <w:p>
            <w:pPr>
              <w:jc w:val="right"/>
              <w:ind w:right="321"/>
              <w:spacing w:after="0" w:line="169" w:lineRule="exact"/>
              <w:rPr>
                <w:sz w:val="20"/>
                <w:szCs w:val="20"/>
                <w:color w:val="auto"/>
              </w:rPr>
            </w:pPr>
            <w:r>
              <w:rPr>
                <w:rFonts w:ascii="Times New Roman" w:cs="Times New Roman" w:eastAsia="Times New Roman" w:hAnsi="Times New Roman"/>
                <w:sz w:val="16"/>
                <w:szCs w:val="16"/>
                <w:color w:val="auto"/>
              </w:rPr>
              <w:t>4.4</w:t>
            </w:r>
          </w:p>
        </w:tc>
        <w:tc>
          <w:tcPr>
            <w:tcW w:w="6980" w:type="dxa"/>
            <w:vAlign w:val="bottom"/>
            <w:gridSpan w:val="10"/>
          </w:tcPr>
          <w:p>
            <w:pPr>
              <w:spacing w:after="0" w:line="169"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Resorts, Inc., Marriott Vacations Worldwide Corporation, as guarantor, the other guarantors party</w:t>
              </w:r>
            </w:hyperlink>
          </w:p>
        </w:tc>
        <w:tc>
          <w:tcPr>
            <w:tcW w:w="1260" w:type="dxa"/>
            <w:vAlign w:val="bottom"/>
          </w:tcPr>
          <w:p>
            <w:pPr>
              <w:ind w:left="720"/>
              <w:spacing w:after="0" w:line="169" w:lineRule="exact"/>
              <w:rPr>
                <w:sz w:val="20"/>
                <w:szCs w:val="20"/>
                <w:color w:val="auto"/>
              </w:rPr>
            </w:pPr>
            <w:r>
              <w:rPr>
                <w:rFonts w:ascii="Times New Roman" w:cs="Times New Roman" w:eastAsia="Times New Roman" w:hAnsi="Times New Roman"/>
                <w:sz w:val="16"/>
                <w:szCs w:val="16"/>
                <w:color w:val="auto"/>
              </w:rPr>
              <w:t>8-K</w:t>
            </w:r>
          </w:p>
        </w:tc>
        <w:tc>
          <w:tcPr>
            <w:tcW w:w="800" w:type="dxa"/>
            <w:vAlign w:val="bottom"/>
          </w:tcPr>
          <w:p>
            <w:pPr>
              <w:jc w:val="right"/>
              <w:ind w:right="221"/>
              <w:spacing w:after="0" w:line="169" w:lineRule="exact"/>
              <w:rPr>
                <w:sz w:val="20"/>
                <w:szCs w:val="20"/>
                <w:color w:val="auto"/>
              </w:rPr>
            </w:pPr>
            <w:r>
              <w:rPr>
                <w:rFonts w:ascii="Times New Roman" w:cs="Times New Roman" w:eastAsia="Times New Roman" w:hAnsi="Times New Roman"/>
                <w:sz w:val="16"/>
                <w:szCs w:val="16"/>
                <w:color w:val="auto"/>
              </w:rPr>
              <w:t>4.3</w:t>
            </w:r>
          </w:p>
        </w:tc>
        <w:tc>
          <w:tcPr>
            <w:tcW w:w="128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8"/>
              </w:rPr>
              <w:t>10/1/2019</w:t>
            </w:r>
          </w:p>
        </w:tc>
      </w:tr>
      <w:tr>
        <w:trPr>
          <w:trHeight w:val="169"/>
        </w:trPr>
        <w:tc>
          <w:tcPr>
            <w:tcW w:w="940" w:type="dxa"/>
            <w:vAlign w:val="bottom"/>
          </w:tcPr>
          <w:p>
            <w:pPr>
              <w:spacing w:after="0"/>
              <w:rPr>
                <w:sz w:val="14"/>
                <w:szCs w:val="14"/>
                <w:color w:val="auto"/>
              </w:rPr>
            </w:pPr>
          </w:p>
        </w:tc>
        <w:tc>
          <w:tcPr>
            <w:tcW w:w="25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6"/>
                <w:szCs w:val="16"/>
                <w:color w:val="0000FF"/>
                <w:w w:val="97"/>
              </w:rPr>
            </w:pPr>
            <w:hyperlink r:id="rId130">
              <w:r>
                <w:rPr>
                  <w:rFonts w:ascii="Times New Roman" w:cs="Times New Roman" w:eastAsia="Times New Roman" w:hAnsi="Times New Roman"/>
                  <w:sz w:val="16"/>
                  <w:szCs w:val="16"/>
                  <w:color w:val="0000FF"/>
                  <w:w w:val="97"/>
                </w:rPr>
                <w:t>thereto and J.P. Morgan Securities LLC</w:t>
              </w:r>
            </w:hyperlink>
          </w:p>
        </w:tc>
        <w:tc>
          <w:tcPr>
            <w:tcW w:w="3620" w:type="dxa"/>
            <w:vAlign w:val="bottom"/>
            <w:tcBorders>
              <w:top w:val="single" w:sz="8" w:color="0000FF"/>
            </w:tcBorders>
            <w:gridSpan w:val="5"/>
          </w:tcPr>
          <w:p>
            <w:pPr>
              <w:spacing w:after="0"/>
              <w:rPr>
                <w:sz w:val="14"/>
                <w:szCs w:val="14"/>
                <w:color w:val="auto"/>
              </w:rPr>
            </w:pPr>
          </w:p>
        </w:tc>
        <w:tc>
          <w:tcPr>
            <w:tcW w:w="840" w:type="dxa"/>
            <w:vAlign w:val="bottom"/>
            <w:gridSpan w:val="4"/>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7"/>
        </w:trPr>
        <w:tc>
          <w:tcPr>
            <w:tcW w:w="940" w:type="dxa"/>
            <w:vAlign w:val="bottom"/>
          </w:tcPr>
          <w:p>
            <w:pPr>
              <w:spacing w:after="0"/>
              <w:rPr>
                <w:sz w:val="18"/>
                <w:szCs w:val="18"/>
                <w:color w:val="auto"/>
              </w:rPr>
            </w:pPr>
          </w:p>
        </w:tc>
        <w:tc>
          <w:tcPr>
            <w:tcW w:w="626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7"/>
              </w:rPr>
            </w:pPr>
            <w:hyperlink r:id="rId131">
              <w:r>
                <w:rPr>
                  <w:rFonts w:ascii="Times New Roman" w:cs="Times New Roman" w:eastAsia="Times New Roman" w:hAnsi="Times New Roman"/>
                  <w:sz w:val="16"/>
                  <w:szCs w:val="16"/>
                  <w:color w:val="0000FF"/>
                  <w:w w:val="97"/>
                </w:rPr>
                <w:t>Indenture, dated as of February 2, 2021, by and among Marriott Vacations Worldwide Corporation,</w:t>
              </w:r>
            </w:hyperlink>
          </w:p>
        </w:tc>
        <w:tc>
          <w:tcPr>
            <w:tcW w:w="720" w:type="dxa"/>
            <w:vAlign w:val="bottom"/>
            <w:gridSpan w:val="3"/>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9"/>
        </w:trPr>
        <w:tc>
          <w:tcPr>
            <w:tcW w:w="940" w:type="dxa"/>
            <w:vAlign w:val="bottom"/>
          </w:tcPr>
          <w:p>
            <w:pPr>
              <w:jc w:val="right"/>
              <w:ind w:right="321"/>
              <w:spacing w:after="0" w:line="169" w:lineRule="exact"/>
              <w:rPr>
                <w:sz w:val="20"/>
                <w:szCs w:val="20"/>
                <w:color w:val="auto"/>
              </w:rPr>
            </w:pPr>
            <w:r>
              <w:rPr>
                <w:rFonts w:ascii="Times New Roman" w:cs="Times New Roman" w:eastAsia="Times New Roman" w:hAnsi="Times New Roman"/>
                <w:sz w:val="16"/>
                <w:szCs w:val="16"/>
                <w:color w:val="auto"/>
              </w:rPr>
              <w:t>4.5</w:t>
            </w:r>
          </w:p>
        </w:tc>
        <w:tc>
          <w:tcPr>
            <w:tcW w:w="6300" w:type="dxa"/>
            <w:vAlign w:val="bottom"/>
            <w:tcBorders>
              <w:bottom w:val="single" w:sz="8" w:color="0000FF"/>
            </w:tcBorders>
            <w:gridSpan w:val="9"/>
          </w:tcPr>
          <w:p>
            <w:pPr>
              <w:spacing w:after="0" w:line="169" w:lineRule="exact"/>
              <w:rPr>
                <w:rFonts w:ascii="Times New Roman" w:cs="Times New Roman" w:eastAsia="Times New Roman" w:hAnsi="Times New Roman"/>
                <w:sz w:val="16"/>
                <w:szCs w:val="16"/>
                <w:color w:val="0000FF"/>
                <w:w w:val="98"/>
              </w:rPr>
            </w:pPr>
            <w:hyperlink r:id="rId131">
              <w:r>
                <w:rPr>
                  <w:rFonts w:ascii="Times New Roman" w:cs="Times New Roman" w:eastAsia="Times New Roman" w:hAnsi="Times New Roman"/>
                  <w:sz w:val="16"/>
                  <w:szCs w:val="16"/>
                  <w:color w:val="0000FF"/>
                  <w:w w:val="98"/>
                </w:rPr>
                <w:t>Marriott Ownership Resorts, Inc. and the other guarantors party thereto and The Bank of New York</w:t>
              </w:r>
            </w:hyperlink>
          </w:p>
        </w:tc>
        <w:tc>
          <w:tcPr>
            <w:tcW w:w="680" w:type="dxa"/>
            <w:vAlign w:val="bottom"/>
          </w:tcPr>
          <w:p>
            <w:pPr>
              <w:spacing w:after="0"/>
              <w:rPr>
                <w:sz w:val="14"/>
                <w:szCs w:val="14"/>
                <w:color w:val="auto"/>
              </w:rPr>
            </w:pPr>
          </w:p>
        </w:tc>
        <w:tc>
          <w:tcPr>
            <w:tcW w:w="1260" w:type="dxa"/>
            <w:vAlign w:val="bottom"/>
          </w:tcPr>
          <w:p>
            <w:pPr>
              <w:ind w:left="720"/>
              <w:spacing w:after="0" w:line="169" w:lineRule="exact"/>
              <w:rPr>
                <w:sz w:val="20"/>
                <w:szCs w:val="20"/>
                <w:color w:val="auto"/>
              </w:rPr>
            </w:pPr>
            <w:r>
              <w:rPr>
                <w:rFonts w:ascii="Times New Roman" w:cs="Times New Roman" w:eastAsia="Times New Roman" w:hAnsi="Times New Roman"/>
                <w:sz w:val="16"/>
                <w:szCs w:val="16"/>
                <w:color w:val="auto"/>
              </w:rPr>
              <w:t>8-K</w:t>
            </w:r>
          </w:p>
        </w:tc>
        <w:tc>
          <w:tcPr>
            <w:tcW w:w="800" w:type="dxa"/>
            <w:vAlign w:val="bottom"/>
          </w:tcPr>
          <w:p>
            <w:pPr>
              <w:jc w:val="right"/>
              <w:ind w:right="221"/>
              <w:spacing w:after="0" w:line="169" w:lineRule="exact"/>
              <w:rPr>
                <w:sz w:val="20"/>
                <w:szCs w:val="20"/>
                <w:color w:val="auto"/>
              </w:rPr>
            </w:pPr>
            <w:r>
              <w:rPr>
                <w:rFonts w:ascii="Times New Roman" w:cs="Times New Roman" w:eastAsia="Times New Roman" w:hAnsi="Times New Roman"/>
                <w:sz w:val="16"/>
                <w:szCs w:val="16"/>
                <w:color w:val="auto"/>
              </w:rPr>
              <w:t>4.1</w:t>
            </w:r>
          </w:p>
        </w:tc>
        <w:tc>
          <w:tcPr>
            <w:tcW w:w="128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8"/>
              </w:rPr>
              <w:t>2/3/2021</w:t>
            </w:r>
          </w:p>
        </w:tc>
      </w:tr>
      <w:tr>
        <w:trPr>
          <w:trHeight w:val="169"/>
        </w:trPr>
        <w:tc>
          <w:tcPr>
            <w:tcW w:w="940" w:type="dxa"/>
            <w:vAlign w:val="bottom"/>
          </w:tcPr>
          <w:p>
            <w:pPr>
              <w:spacing w:after="0"/>
              <w:rPr>
                <w:sz w:val="14"/>
                <w:szCs w:val="14"/>
                <w:color w:val="auto"/>
              </w:rPr>
            </w:pPr>
          </w:p>
        </w:tc>
        <w:tc>
          <w:tcPr>
            <w:tcW w:w="6980" w:type="dxa"/>
            <w:vAlign w:val="bottom"/>
            <w:gridSpan w:val="10"/>
          </w:tcPr>
          <w:p>
            <w:pPr>
              <w:spacing w:after="0" w:line="169"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Mellon Trust Company, N.A., as trustee</w:t>
              </w:r>
            </w:hyperlink>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7"/>
        </w:trPr>
        <w:tc>
          <w:tcPr>
            <w:tcW w:w="94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4.6</w:t>
            </w:r>
          </w:p>
        </w:tc>
        <w:tc>
          <w:tcPr>
            <w:tcW w:w="6980" w:type="dxa"/>
            <w:vAlign w:val="bottom"/>
            <w:gridSpan w:val="10"/>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 xml:space="preserve">Form of 0.00% Convertible Senior Note due 2026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Exhibit A to Exhibit 4.5 above)</w:t>
            </w:r>
          </w:p>
        </w:tc>
        <w:tc>
          <w:tcPr>
            <w:tcW w:w="12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8-K</w:t>
            </w: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4.1</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2/3/2021</w:t>
            </w:r>
          </w:p>
        </w:tc>
      </w:tr>
      <w:tr>
        <w:trPr>
          <w:trHeight w:val="20"/>
        </w:trPr>
        <w:tc>
          <w:tcPr>
            <w:tcW w:w="94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600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8"/>
              </w:rPr>
            </w:pPr>
            <w:hyperlink r:id="rId133">
              <w:r>
                <w:rPr>
                  <w:rFonts w:ascii="Times New Roman" w:cs="Times New Roman" w:eastAsia="Times New Roman" w:hAnsi="Times New Roman"/>
                  <w:sz w:val="16"/>
                  <w:szCs w:val="16"/>
                  <w:color w:val="0000FF"/>
                  <w:w w:val="98"/>
                </w:rPr>
                <w:t>Indenture, dated as of June 21, 2021, by and among Marriott Ownership Resorts, Inc., Marriott</w:t>
              </w:r>
            </w:hyperlink>
          </w:p>
        </w:tc>
        <w:tc>
          <w:tcPr>
            <w:tcW w:w="980" w:type="dxa"/>
            <w:vAlign w:val="bottom"/>
            <w:gridSpan w:val="6"/>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9"/>
        </w:trPr>
        <w:tc>
          <w:tcPr>
            <w:tcW w:w="940" w:type="dxa"/>
            <w:vAlign w:val="bottom"/>
          </w:tcPr>
          <w:p>
            <w:pPr>
              <w:jc w:val="right"/>
              <w:ind w:right="321"/>
              <w:spacing w:after="0" w:line="169" w:lineRule="exact"/>
              <w:rPr>
                <w:sz w:val="20"/>
                <w:szCs w:val="20"/>
                <w:color w:val="auto"/>
              </w:rPr>
            </w:pPr>
            <w:r>
              <w:rPr>
                <w:rFonts w:ascii="Times New Roman" w:cs="Times New Roman" w:eastAsia="Times New Roman" w:hAnsi="Times New Roman"/>
                <w:sz w:val="16"/>
                <w:szCs w:val="16"/>
                <w:color w:val="auto"/>
              </w:rPr>
              <w:t>4.7</w:t>
            </w:r>
          </w:p>
        </w:tc>
        <w:tc>
          <w:tcPr>
            <w:tcW w:w="6280" w:type="dxa"/>
            <w:vAlign w:val="bottom"/>
            <w:tcBorders>
              <w:bottom w:val="single" w:sz="8" w:color="0000FF"/>
            </w:tcBorders>
            <w:gridSpan w:val="8"/>
          </w:tcPr>
          <w:p>
            <w:pPr>
              <w:spacing w:after="0" w:line="169" w:lineRule="exact"/>
              <w:rPr>
                <w:rFonts w:ascii="Times New Roman" w:cs="Times New Roman" w:eastAsia="Times New Roman" w:hAnsi="Times New Roman"/>
                <w:sz w:val="16"/>
                <w:szCs w:val="16"/>
                <w:color w:val="0000FF"/>
                <w:w w:val="97"/>
              </w:rPr>
            </w:pPr>
            <w:hyperlink r:id="rId133">
              <w:r>
                <w:rPr>
                  <w:rFonts w:ascii="Times New Roman" w:cs="Times New Roman" w:eastAsia="Times New Roman" w:hAnsi="Times New Roman"/>
                  <w:sz w:val="16"/>
                  <w:szCs w:val="16"/>
                  <w:color w:val="0000FF"/>
                  <w:w w:val="97"/>
                </w:rPr>
                <w:t>Vacations Worldwide Corporation, as guarantor, the other guarantors party thereto and The Bank of</w:t>
              </w:r>
            </w:hyperlink>
          </w:p>
        </w:tc>
        <w:tc>
          <w:tcPr>
            <w:tcW w:w="700" w:type="dxa"/>
            <w:vAlign w:val="bottom"/>
            <w:gridSpan w:val="2"/>
          </w:tcPr>
          <w:p>
            <w:pPr>
              <w:spacing w:after="0"/>
              <w:rPr>
                <w:sz w:val="14"/>
                <w:szCs w:val="14"/>
                <w:color w:val="auto"/>
              </w:rPr>
            </w:pPr>
          </w:p>
        </w:tc>
        <w:tc>
          <w:tcPr>
            <w:tcW w:w="1260" w:type="dxa"/>
            <w:vAlign w:val="bottom"/>
          </w:tcPr>
          <w:p>
            <w:pPr>
              <w:ind w:left="720"/>
              <w:spacing w:after="0" w:line="169" w:lineRule="exact"/>
              <w:rPr>
                <w:sz w:val="20"/>
                <w:szCs w:val="20"/>
                <w:color w:val="auto"/>
              </w:rPr>
            </w:pPr>
            <w:r>
              <w:rPr>
                <w:rFonts w:ascii="Times New Roman" w:cs="Times New Roman" w:eastAsia="Times New Roman" w:hAnsi="Times New Roman"/>
                <w:sz w:val="16"/>
                <w:szCs w:val="16"/>
                <w:color w:val="auto"/>
              </w:rPr>
              <w:t>8-K</w:t>
            </w:r>
          </w:p>
        </w:tc>
        <w:tc>
          <w:tcPr>
            <w:tcW w:w="800" w:type="dxa"/>
            <w:vAlign w:val="bottom"/>
          </w:tcPr>
          <w:p>
            <w:pPr>
              <w:jc w:val="right"/>
              <w:ind w:right="221"/>
              <w:spacing w:after="0" w:line="169" w:lineRule="exact"/>
              <w:rPr>
                <w:sz w:val="20"/>
                <w:szCs w:val="20"/>
                <w:color w:val="auto"/>
              </w:rPr>
            </w:pPr>
            <w:r>
              <w:rPr>
                <w:rFonts w:ascii="Times New Roman" w:cs="Times New Roman" w:eastAsia="Times New Roman" w:hAnsi="Times New Roman"/>
                <w:sz w:val="16"/>
                <w:szCs w:val="16"/>
                <w:color w:val="auto"/>
              </w:rPr>
              <w:t>4.1</w:t>
            </w:r>
          </w:p>
        </w:tc>
        <w:tc>
          <w:tcPr>
            <w:tcW w:w="128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8"/>
              </w:rPr>
              <w:t>6/22/2021</w:t>
            </w:r>
          </w:p>
        </w:tc>
      </w:tr>
      <w:tr>
        <w:trPr>
          <w:trHeight w:val="169"/>
        </w:trPr>
        <w:tc>
          <w:tcPr>
            <w:tcW w:w="940" w:type="dxa"/>
            <w:vAlign w:val="bottom"/>
          </w:tcPr>
          <w:p>
            <w:pPr>
              <w:spacing w:after="0"/>
              <w:rPr>
                <w:sz w:val="14"/>
                <w:szCs w:val="14"/>
                <w:color w:val="auto"/>
              </w:rPr>
            </w:pPr>
          </w:p>
        </w:tc>
        <w:tc>
          <w:tcPr>
            <w:tcW w:w="6980" w:type="dxa"/>
            <w:vAlign w:val="bottom"/>
            <w:gridSpan w:val="10"/>
          </w:tcPr>
          <w:p>
            <w:pPr>
              <w:spacing w:after="0" w:line="169"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New York Mellon Trust Company, N.A., as trustee</w:t>
              </w:r>
            </w:hyperlink>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857"/>
        </w:trPr>
        <w:tc>
          <w:tcPr>
            <w:tcW w:w="940" w:type="dxa"/>
            <w:vAlign w:val="bottom"/>
          </w:tcPr>
          <w:p>
            <w:pPr>
              <w:spacing w:after="0"/>
              <w:rPr>
                <w:sz w:val="24"/>
                <w:szCs w:val="24"/>
                <w:color w:val="auto"/>
              </w:rPr>
            </w:pPr>
          </w:p>
        </w:tc>
        <w:tc>
          <w:tcPr>
            <w:tcW w:w="3200" w:type="dxa"/>
            <w:vAlign w:val="bottom"/>
            <w:tcBorders>
              <w:top w:val="single" w:sz="8" w:color="0000FF"/>
            </w:tcBorders>
            <w:gridSpan w:val="3"/>
          </w:tcPr>
          <w:p>
            <w:pPr>
              <w:spacing w:after="0"/>
              <w:rPr>
                <w:sz w:val="24"/>
                <w:szCs w:val="24"/>
                <w:color w:val="auto"/>
              </w:rPr>
            </w:pPr>
          </w:p>
        </w:tc>
        <w:tc>
          <w:tcPr>
            <w:tcW w:w="280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rPr>
              <w:t>59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98"/>
        </w:trPr>
        <w:tc>
          <w:tcPr>
            <w:tcW w:w="94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Filed</w:t>
            </w:r>
          </w:p>
        </w:tc>
        <w:tc>
          <w:tcPr>
            <w:tcW w:w="28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Incorporation By Reference From</w:t>
            </w:r>
          </w:p>
        </w:tc>
      </w:tr>
      <w:tr>
        <w:trPr>
          <w:trHeight w:val="169"/>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Herewith</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Form</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 Filed</w:t>
            </w:r>
          </w:p>
        </w:tc>
      </w:tr>
      <w:tr>
        <w:trPr>
          <w:trHeight w:val="169"/>
        </w:trPr>
        <w:tc>
          <w:tcPr>
            <w:tcW w:w="8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4.8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60" w:type="dxa"/>
            <w:vAlign w:val="bottom"/>
            <w:gridSpan w:val="6"/>
          </w:tcPr>
          <w:p>
            <w:pPr>
              <w:spacing w:after="0" w:line="170"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 xml:space="preserve">Form of 4.500% Senior Notes due 2029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at Exhibit A to Exhibit 4.7 above)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rPr>
                <w:sz w:val="14"/>
                <w:szCs w:val="14"/>
                <w:color w:val="auto"/>
              </w:rPr>
            </w:pPr>
          </w:p>
        </w:tc>
        <w:tc>
          <w:tcPr>
            <w:tcW w:w="118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w w:val="98"/>
              </w:rPr>
              <w:t>6/22/2021</w:t>
            </w: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7"/>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7"/>
              </w:rPr>
            </w:pPr>
            <w:hyperlink r:id="rId137">
              <w:r>
                <w:rPr>
                  <w:rFonts w:ascii="Times New Roman" w:cs="Times New Roman" w:eastAsia="Times New Roman" w:hAnsi="Times New Roman"/>
                  <w:sz w:val="16"/>
                  <w:szCs w:val="16"/>
                  <w:color w:val="0000FF"/>
                  <w:w w:val="97"/>
                </w:rPr>
                <w:t>Indenture, dated as of December 8, 2022, by and among Marriott Vacations Worldwide Corporation,</w:t>
              </w:r>
            </w:hyperlink>
          </w:p>
        </w:tc>
        <w:tc>
          <w:tcPr>
            <w:tcW w:w="1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69"/>
        </w:trPr>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bottom w:val="single" w:sz="8" w:color="0000FF"/>
            </w:tcBorders>
            <w:gridSpan w:val="3"/>
          </w:tcPr>
          <w:p>
            <w:pPr>
              <w:spacing w:after="0" w:line="169" w:lineRule="exact"/>
              <w:rPr>
                <w:rFonts w:ascii="Times New Roman" w:cs="Times New Roman" w:eastAsia="Times New Roman" w:hAnsi="Times New Roman"/>
                <w:sz w:val="16"/>
                <w:szCs w:val="16"/>
                <w:color w:val="0000FF"/>
                <w:w w:val="98"/>
              </w:rPr>
            </w:pPr>
            <w:hyperlink r:id="rId137">
              <w:r>
                <w:rPr>
                  <w:rFonts w:ascii="Times New Roman" w:cs="Times New Roman" w:eastAsia="Times New Roman" w:hAnsi="Times New Roman"/>
                  <w:sz w:val="16"/>
                  <w:szCs w:val="16"/>
                  <w:color w:val="0000FF"/>
                  <w:w w:val="98"/>
                </w:rPr>
                <w:t>as issuer, Marriott Ownership Resorts, Inc. and the other guarantors party thereto from time to time</w:t>
              </w:r>
            </w:hyperlink>
          </w:p>
        </w:tc>
        <w:tc>
          <w:tcPr>
            <w:tcW w:w="20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8"/>
              </w:rPr>
              <w:t>12/8/2022</w:t>
            </w: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60" w:type="dxa"/>
            <w:vAlign w:val="bottom"/>
            <w:gridSpan w:val="6"/>
          </w:tcPr>
          <w:p>
            <w:pPr>
              <w:spacing w:after="0" w:line="169"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and The New York Bank of Mellon Trust Company, N.A., as trustee</w:t>
              </w:r>
            </w:hyperlink>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54" w:lineRule="exact"/>
        <w:rPr>
          <w:sz w:val="20"/>
          <w:szCs w:val="20"/>
          <w:color w:val="auto"/>
        </w:rPr>
      </w:pPr>
    </w:p>
    <w:p>
      <w:pPr>
        <w:sectPr>
          <w:pgSz w:w="11900" w:h="16838" w:orient="portrait"/>
          <w:cols w:equalWidth="0" w:num="1">
            <w:col w:w="11220"/>
          </w:cols>
          <w:pgMar w:left="320" w:top="218" w:right="359" w:bottom="1440" w:gutter="0" w:footer="0" w:header="0"/>
        </w:sectPr>
      </w:pPr>
    </w:p>
    <w:p>
      <w:pPr>
        <w:ind w:left="300"/>
        <w:spacing w:after="0"/>
        <w:rPr>
          <w:sz w:val="20"/>
          <w:szCs w:val="20"/>
          <w:color w:val="auto"/>
        </w:rPr>
      </w:pPr>
      <w:r>
        <w:rPr>
          <w:rFonts w:ascii="Times New Roman" w:cs="Times New Roman" w:eastAsia="Times New Roman" w:hAnsi="Times New Roman"/>
          <w:sz w:val="16"/>
          <w:szCs w:val="16"/>
          <w:color w:val="auto"/>
        </w:rPr>
        <w:t>4.10</w:t>
      </w:r>
    </w:p>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4.11</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4.12</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4.13</w:t>
      </w:r>
    </w:p>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10.1</w:t>
      </w: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10.2</w:t>
      </w: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10.3</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22.1</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31.1</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31.2</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32.1</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32.2</w:t>
      </w:r>
    </w:p>
    <w:p>
      <w:pPr>
        <w:spacing w:after="0" w:line="20" w:lineRule="exact"/>
        <w:rPr>
          <w:sz w:val="20"/>
          <w:szCs w:val="20"/>
          <w:color w:val="auto"/>
        </w:rPr>
      </w:pPr>
      <w:r>
        <w:rPr>
          <w:sz w:val="20"/>
          <w:szCs w:val="20"/>
          <w:color w:val="auto"/>
        </w:rPr>
        <w:br w:type="column"/>
      </w:r>
    </w:p>
    <w:p>
      <w:pPr>
        <w:ind w:right="280"/>
        <w:spacing w:after="0" w:line="308" w:lineRule="auto"/>
        <w:rPr>
          <w:rFonts w:ascii="Times New Roman" w:cs="Times New Roman" w:eastAsia="Times New Roman" w:hAnsi="Times New Roman"/>
          <w:sz w:val="16"/>
          <w:szCs w:val="16"/>
          <w:u w:val="single" w:color="auto"/>
          <w:color w:val="0000FF"/>
        </w:rPr>
      </w:pPr>
      <w:hyperlink r:id="rId138">
        <w:r>
          <w:rPr>
            <w:rFonts w:ascii="Times New Roman" w:cs="Times New Roman" w:eastAsia="Times New Roman" w:hAnsi="Times New Roman"/>
            <w:sz w:val="16"/>
            <w:szCs w:val="16"/>
            <w:u w:val="single" w:color="auto"/>
            <w:color w:val="0000FF"/>
          </w:rPr>
          <w:t>Form of 3.25% Convertible Senior Notes due 2027</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Exhibit A to Exhibit 4.9 above)</w:t>
      </w:r>
      <w:r>
        <w:rPr>
          <w:rFonts w:ascii="Times New Roman" w:cs="Times New Roman" w:eastAsia="Times New Roman" w:hAnsi="Times New Roman"/>
          <w:sz w:val="16"/>
          <w:szCs w:val="16"/>
          <w:color w:val="0000FF"/>
        </w:rPr>
        <w:t xml:space="preserve"> </w:t>
      </w:r>
      <w:hyperlink r:id="rId139">
        <w:r>
          <w:rPr>
            <w:rFonts w:ascii="Times New Roman" w:cs="Times New Roman" w:eastAsia="Times New Roman" w:hAnsi="Times New Roman"/>
            <w:sz w:val="16"/>
            <w:szCs w:val="16"/>
            <w:u w:val="single" w:color="auto"/>
            <w:color w:val="0000FF"/>
          </w:rPr>
          <w:t>Description of Registered Securities</w:t>
        </w:r>
      </w:hyperlink>
    </w:p>
    <w:p>
      <w:pPr>
        <w:spacing w:after="0" w:line="1" w:lineRule="exact"/>
        <w:rPr>
          <w:sz w:val="20"/>
          <w:szCs w:val="20"/>
          <w:color w:val="auto"/>
        </w:rPr>
      </w:pPr>
    </w:p>
    <w:p>
      <w:pPr>
        <w:ind w:right="40"/>
        <w:spacing w:after="0" w:line="261" w:lineRule="auto"/>
        <w:rPr>
          <w:rFonts w:ascii="Times New Roman" w:cs="Times New Roman" w:eastAsia="Times New Roman" w:hAnsi="Times New Roman"/>
          <w:sz w:val="16"/>
          <w:szCs w:val="16"/>
          <w:u w:val="single" w:color="auto"/>
          <w:color w:val="0000FF"/>
        </w:rPr>
      </w:pPr>
      <w:hyperlink r:id="rId140">
        <w:r>
          <w:rPr>
            <w:rFonts w:ascii="Times New Roman" w:cs="Times New Roman" w:eastAsia="Times New Roman" w:hAnsi="Times New Roman"/>
            <w:sz w:val="16"/>
            <w:szCs w:val="16"/>
            <w:u w:val="single" w:color="auto"/>
            <w:color w:val="0000FF"/>
          </w:rPr>
          <w:t>Indenture, dated as of September 18, 2025, by and among Marriott Ownership Resorts, Inc.,</w:t>
        </w:r>
      </w:hyperlink>
      <w:r>
        <w:rPr>
          <w:rFonts w:ascii="Times New Roman" w:cs="Times New Roman" w:eastAsia="Times New Roman" w:hAnsi="Times New Roman"/>
          <w:sz w:val="16"/>
          <w:szCs w:val="16"/>
          <w:u w:val="single" w:color="auto"/>
          <w:color w:val="0000FF"/>
        </w:rPr>
        <w:t xml:space="preserve"> </w:t>
      </w:r>
      <w:hyperlink r:id="rId140">
        <w:r>
          <w:rPr>
            <w:rFonts w:ascii="Times New Roman" w:cs="Times New Roman" w:eastAsia="Times New Roman" w:hAnsi="Times New Roman"/>
            <w:sz w:val="16"/>
            <w:szCs w:val="16"/>
            <w:u w:val="single" w:color="auto"/>
            <w:color w:val="0000FF"/>
          </w:rPr>
          <w:t>Marriott Vacations Worldwide Corporation, as guarantor, the other guarantors party thereto and The</w:t>
        </w:r>
      </w:hyperlink>
      <w:r>
        <w:rPr>
          <w:rFonts w:ascii="Times New Roman" w:cs="Times New Roman" w:eastAsia="Times New Roman" w:hAnsi="Times New Roman"/>
          <w:sz w:val="16"/>
          <w:szCs w:val="16"/>
          <w:u w:val="single" w:color="auto"/>
          <w:color w:val="0000FF"/>
        </w:rPr>
        <w:t xml:space="preserve"> </w:t>
      </w:r>
      <w:hyperlink r:id="rId140">
        <w:r>
          <w:rPr>
            <w:rFonts w:ascii="Times New Roman" w:cs="Times New Roman" w:eastAsia="Times New Roman" w:hAnsi="Times New Roman"/>
            <w:sz w:val="16"/>
            <w:szCs w:val="16"/>
            <w:u w:val="single" w:color="auto"/>
            <w:color w:val="0000FF"/>
          </w:rPr>
          <w:t>Bank of New York Mellon Trust Company, N.A., as trustee</w:t>
        </w:r>
      </w:hyperlink>
    </w:p>
    <w:p>
      <w:pPr>
        <w:spacing w:after="0" w:line="15"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u w:val="single" w:color="auto"/>
            <w:color w:val="0000FF"/>
          </w:rPr>
          <w:t>Form of 6.500% Senior Notes due 2033</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at Exhibit A to Exhibit 4.12 above)</w:t>
      </w:r>
    </w:p>
    <w:p>
      <w:pPr>
        <w:spacing w:after="0" w:line="53"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6"/>
          <w:szCs w:val="16"/>
          <w:u w:val="single" w:color="auto"/>
          <w:color w:val="0000FF"/>
        </w:rPr>
      </w:pPr>
      <w:hyperlink r:id="rId142">
        <w:r>
          <w:rPr>
            <w:rFonts w:ascii="Times New Roman" w:cs="Times New Roman" w:eastAsia="Times New Roman" w:hAnsi="Times New Roman"/>
            <w:sz w:val="16"/>
            <w:szCs w:val="16"/>
            <w:u w:val="single" w:color="auto"/>
            <w:color w:val="0000FF"/>
          </w:rPr>
          <w:t>Marriott Vacations Worldwide Corporation Change in Control Severance Plan**</w:t>
        </w:r>
      </w:hyperlink>
    </w:p>
    <w:p>
      <w:pPr>
        <w:spacing w:after="0" w:line="53" w:lineRule="exact"/>
        <w:rPr>
          <w:rFonts w:ascii="Times New Roman" w:cs="Times New Roman" w:eastAsia="Times New Roman" w:hAnsi="Times New Roman"/>
          <w:sz w:val="16"/>
          <w:szCs w:val="16"/>
          <w:u w:val="single" w:color="auto"/>
          <w:color w:val="0000FF"/>
        </w:rPr>
      </w:pPr>
    </w:p>
    <w:p>
      <w:pPr>
        <w:spacing w:after="0" w:line="256" w:lineRule="auto"/>
        <w:rPr>
          <w:rFonts w:ascii="Times New Roman" w:cs="Times New Roman" w:eastAsia="Times New Roman" w:hAnsi="Times New Roman"/>
          <w:sz w:val="16"/>
          <w:szCs w:val="16"/>
          <w:u w:val="single" w:color="auto"/>
          <w:color w:val="0000FF"/>
        </w:rPr>
      </w:pPr>
      <w:hyperlink r:id="rId143">
        <w:r>
          <w:rPr>
            <w:rFonts w:ascii="Times New Roman" w:cs="Times New Roman" w:eastAsia="Times New Roman" w:hAnsi="Times New Roman"/>
            <w:sz w:val="16"/>
            <w:szCs w:val="16"/>
            <w:u w:val="single" w:color="auto"/>
            <w:color w:val="0000FF"/>
          </w:rPr>
          <w:t>Incremental Facility Amendment and Amendment No. 4, dated as of March 24, 2025, by and among</w:t>
        </w:r>
      </w:hyperlink>
      <w:r>
        <w:rPr>
          <w:rFonts w:ascii="Times New Roman" w:cs="Times New Roman" w:eastAsia="Times New Roman" w:hAnsi="Times New Roman"/>
          <w:sz w:val="16"/>
          <w:szCs w:val="16"/>
          <w:u w:val="single" w:color="auto"/>
          <w:color w:val="0000FF"/>
        </w:rPr>
        <w:t xml:space="preserve"> </w:t>
      </w:r>
      <w:hyperlink r:id="rId143">
        <w:r>
          <w:rPr>
            <w:rFonts w:ascii="Times New Roman" w:cs="Times New Roman" w:eastAsia="Times New Roman" w:hAnsi="Times New Roman"/>
            <w:sz w:val="16"/>
            <w:szCs w:val="16"/>
            <w:u w:val="single" w:color="auto"/>
            <w:color w:val="0000FF"/>
          </w:rPr>
          <w:t>Marriott Vacations Worldwide Corporation, Marriott Ownership Resorts, Inc., as borrower, the</w:t>
        </w:r>
      </w:hyperlink>
      <w:r>
        <w:rPr>
          <w:rFonts w:ascii="Times New Roman" w:cs="Times New Roman" w:eastAsia="Times New Roman" w:hAnsi="Times New Roman"/>
          <w:sz w:val="16"/>
          <w:szCs w:val="16"/>
          <w:u w:val="single" w:color="auto"/>
          <w:color w:val="0000FF"/>
        </w:rPr>
        <w:t xml:space="preserve"> </w:t>
      </w:r>
      <w:hyperlink r:id="rId143">
        <w:r>
          <w:rPr>
            <w:rFonts w:ascii="Times New Roman" w:cs="Times New Roman" w:eastAsia="Times New Roman" w:hAnsi="Times New Roman"/>
            <w:sz w:val="16"/>
            <w:szCs w:val="16"/>
            <w:u w:val="single" w:color="auto"/>
            <w:color w:val="0000FF"/>
          </w:rPr>
          <w:t>subsidiary guarantors party thereto, JPMorgan Chase Bank, N.A., as administrative agent and</w:t>
        </w:r>
      </w:hyperlink>
      <w:r>
        <w:rPr>
          <w:rFonts w:ascii="Times New Roman" w:cs="Times New Roman" w:eastAsia="Times New Roman" w:hAnsi="Times New Roman"/>
          <w:sz w:val="16"/>
          <w:szCs w:val="16"/>
          <w:u w:val="single" w:color="auto"/>
          <w:color w:val="0000FF"/>
        </w:rPr>
        <w:t xml:space="preserve"> </w:t>
      </w:r>
      <w:hyperlink r:id="rId143">
        <w:r>
          <w:rPr>
            <w:rFonts w:ascii="Times New Roman" w:cs="Times New Roman" w:eastAsia="Times New Roman" w:hAnsi="Times New Roman"/>
            <w:sz w:val="16"/>
            <w:szCs w:val="16"/>
            <w:u w:val="single" w:color="auto"/>
            <w:color w:val="0000FF"/>
          </w:rPr>
          <w:t>collateral agent, and the lenders party thereto</w:t>
        </w:r>
      </w:hyperlink>
    </w:p>
    <w:p>
      <w:pPr>
        <w:spacing w:after="0" w:line="20" w:lineRule="exact"/>
        <w:rPr>
          <w:rFonts w:ascii="Times New Roman" w:cs="Times New Roman" w:eastAsia="Times New Roman" w:hAnsi="Times New Roman"/>
          <w:sz w:val="16"/>
          <w:szCs w:val="16"/>
          <w:u w:val="single" w:color="auto"/>
          <w:color w:val="0000FF"/>
        </w:rPr>
      </w:pPr>
    </w:p>
    <w:p>
      <w:pPr>
        <w:ind w:right="280"/>
        <w:spacing w:after="0" w:line="276" w:lineRule="auto"/>
        <w:rPr>
          <w:rFonts w:ascii="Times New Roman" w:cs="Times New Roman" w:eastAsia="Times New Roman" w:hAnsi="Times New Roman"/>
          <w:sz w:val="16"/>
          <w:szCs w:val="16"/>
          <w:u w:val="single" w:color="auto"/>
          <w:color w:val="0000FF"/>
        </w:rPr>
      </w:pPr>
      <w:hyperlink r:id="rId144">
        <w:r>
          <w:rPr>
            <w:rFonts w:ascii="Times New Roman" w:cs="Times New Roman" w:eastAsia="Times New Roman" w:hAnsi="Times New Roman"/>
            <w:sz w:val="16"/>
            <w:szCs w:val="16"/>
            <w:u w:val="single" w:color="auto"/>
            <w:color w:val="0000FF"/>
          </w:rPr>
          <w:t>Support Agreement, dated May 27, 2025, between Impactive Capital LP and Marriott Vacations</w:t>
        </w:r>
      </w:hyperlink>
      <w:r>
        <w:rPr>
          <w:rFonts w:ascii="Times New Roman" w:cs="Times New Roman" w:eastAsia="Times New Roman" w:hAnsi="Times New Roman"/>
          <w:sz w:val="16"/>
          <w:szCs w:val="16"/>
          <w:u w:val="single" w:color="auto"/>
          <w:color w:val="0000FF"/>
        </w:rPr>
        <w:t xml:space="preserve"> </w:t>
      </w:r>
      <w:hyperlink r:id="rId144">
        <w:r>
          <w:rPr>
            <w:rFonts w:ascii="Times New Roman" w:cs="Times New Roman" w:eastAsia="Times New Roman" w:hAnsi="Times New Roman"/>
            <w:sz w:val="16"/>
            <w:szCs w:val="16"/>
            <w:u w:val="single" w:color="auto"/>
            <w:color w:val="0000FF"/>
          </w:rPr>
          <w:t>Worldwide Corporation</w:t>
        </w:r>
      </w:hyperlink>
    </w:p>
    <w:p>
      <w:pPr>
        <w:spacing w:after="0" w:line="3"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145">
        <w:r>
          <w:rPr>
            <w:rFonts w:ascii="Times New Roman" w:cs="Times New Roman" w:eastAsia="Times New Roman" w:hAnsi="Times New Roman"/>
            <w:sz w:val="16"/>
            <w:szCs w:val="16"/>
            <w:u w:val="single" w:color="auto"/>
            <w:color w:val="0000FF"/>
          </w:rPr>
          <w:t>List of the Issuer and its Guarantor Subsidiaries</w:t>
        </w:r>
      </w:hyperlink>
    </w:p>
    <w:p>
      <w:pPr>
        <w:spacing w:after="0" w:line="5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u w:val="single" w:color="auto"/>
          <w:color w:val="0000FF"/>
        </w:rPr>
        <w:t>Certification by Chief Executive Officer Pursuant to Rule 13a-14(a) of the Securities Exchange Act of 1934</w:t>
      </w:r>
    </w:p>
    <w:p>
      <w:pPr>
        <w:spacing w:after="0" w:line="3"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u w:val="single" w:color="auto"/>
          <w:color w:val="0000FF"/>
        </w:rPr>
        <w:t>Certification by Chief Financial Officer Pursuant to Rule 13a-14(a) of the Securities Exchange Act of 1934</w:t>
      </w:r>
    </w:p>
    <w:p>
      <w:pPr>
        <w:spacing w:after="0" w:line="3"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u w:val="single" w:color="auto"/>
          <w:color w:val="0000FF"/>
        </w:rPr>
        <w:t>Certification by Chief Executive Officer Pursuant to 18 U.S.C. Section 1350, as Adopted Pursuant to Section 906 of the Sarbanes-Oxley Act of 2002</w:t>
      </w:r>
    </w:p>
    <w:p>
      <w:pPr>
        <w:spacing w:after="0" w:line="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u w:val="single" w:color="auto"/>
          <w:color w:val="0000FF"/>
        </w:rPr>
        <w:t>Certification by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800" w:type="dxa"/>
        <w:tblCellMar>
          <w:top w:w="0" w:type="dxa"/>
          <w:left w:w="0" w:type="dxa"/>
          <w:bottom w:w="0" w:type="dxa"/>
          <w:right w:w="0" w:type="dxa"/>
        </w:tblCellMar>
      </w:tblPr>
      <w:tr>
        <w:trPr>
          <w:trHeight w:val="207"/>
        </w:trPr>
        <w:tc>
          <w:tcPr>
            <w:tcW w:w="56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92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12/8/2022</w:t>
            </w:r>
          </w:p>
        </w:tc>
      </w:tr>
      <w:tr>
        <w:trPr>
          <w:trHeight w:val="237"/>
        </w:trPr>
        <w:tc>
          <w:tcPr>
            <w:tcW w:w="56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w w:val="97"/>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4.16</w:t>
            </w:r>
          </w:p>
        </w:tc>
        <w:tc>
          <w:tcPr>
            <w:tcW w:w="92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3/2/2020</w:t>
            </w:r>
          </w:p>
        </w:tc>
      </w:tr>
      <w:tr>
        <w:trPr>
          <w:trHeight w:val="426"/>
        </w:trPr>
        <w:tc>
          <w:tcPr>
            <w:tcW w:w="56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92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9/19/2025</w:t>
            </w:r>
          </w:p>
        </w:tc>
      </w:tr>
      <w:tr>
        <w:trPr>
          <w:trHeight w:val="426"/>
        </w:trPr>
        <w:tc>
          <w:tcPr>
            <w:tcW w:w="56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92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9/19/2025</w:t>
            </w:r>
          </w:p>
        </w:tc>
      </w:tr>
      <w:tr>
        <w:trPr>
          <w:trHeight w:val="237"/>
        </w:trPr>
        <w:tc>
          <w:tcPr>
            <w:tcW w:w="56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w w:val="97"/>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10.18</w:t>
            </w:r>
          </w:p>
        </w:tc>
        <w:tc>
          <w:tcPr>
            <w:tcW w:w="92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2/28/2025</w:t>
            </w:r>
          </w:p>
        </w:tc>
      </w:tr>
      <w:tr>
        <w:trPr>
          <w:trHeight w:val="521"/>
        </w:trPr>
        <w:tc>
          <w:tcPr>
            <w:tcW w:w="56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2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3/27/2025</w:t>
            </w:r>
          </w:p>
        </w:tc>
      </w:tr>
      <w:tr>
        <w:trPr>
          <w:trHeight w:val="616"/>
        </w:trPr>
        <w:tc>
          <w:tcPr>
            <w:tcW w:w="56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2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5/27/2025</w:t>
            </w:r>
          </w:p>
        </w:tc>
      </w:tr>
      <w:tr>
        <w:trPr>
          <w:trHeight w:val="331"/>
        </w:trPr>
        <w:tc>
          <w:tcPr>
            <w:tcW w:w="560" w:type="dxa"/>
            <w:vAlign w:val="bottom"/>
          </w:tcPr>
          <w:p>
            <w:pPr>
              <w:jc w:val="center"/>
              <w:ind w:right="161"/>
              <w:spacing w:after="0"/>
              <w:rPr>
                <w:sz w:val="20"/>
                <w:szCs w:val="20"/>
                <w:color w:val="auto"/>
              </w:rPr>
            </w:pPr>
            <w:r>
              <w:rPr>
                <w:rFonts w:ascii="Times New Roman" w:cs="Times New Roman" w:eastAsia="Times New Roman" w:hAnsi="Times New Roman"/>
                <w:sz w:val="16"/>
                <w:szCs w:val="16"/>
                <w:color w:val="auto"/>
                <w:w w:val="97"/>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22.1</w:t>
            </w:r>
          </w:p>
        </w:tc>
        <w:tc>
          <w:tcPr>
            <w:tcW w:w="92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8"/>
              </w:rPr>
              <w:t>2/27/2024</w:t>
            </w: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Furnished</w:t>
      </w:r>
    </w:p>
    <w:p>
      <w:pPr>
        <w:spacing w:after="0" w:line="24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Furnished</w:t>
      </w:r>
    </w:p>
    <w:p>
      <w:pPr>
        <w:spacing w:after="0" w:line="147" w:lineRule="exact"/>
        <w:rPr>
          <w:sz w:val="20"/>
          <w:szCs w:val="20"/>
          <w:color w:val="auto"/>
        </w:rPr>
      </w:pPr>
    </w:p>
    <w:p>
      <w:pPr>
        <w:sectPr>
          <w:pgSz w:w="11900" w:h="16838" w:orient="portrait"/>
          <w:cols w:equalWidth="0" w:num="3">
            <w:col w:w="580" w:space="360"/>
            <w:col w:w="6340" w:space="520"/>
            <w:col w:w="3420"/>
          </w:cols>
          <w:pgMar w:left="320" w:top="218" w:right="35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5"/>
          <w:szCs w:val="15"/>
          <w:color w:val="auto"/>
        </w:rPr>
        <w:t>The following financial statements from our Quarterly Report on Form 10-Q for the quarter ended September 30, 2025, formatted in Inline XBRL: (i) Interim</w:t>
      </w:r>
    </w:p>
    <w:p>
      <w:pPr>
        <w:spacing w:after="0" w:line="34" w:lineRule="exact"/>
        <w:rPr>
          <w:sz w:val="20"/>
          <w:szCs w:val="20"/>
          <w:color w:val="auto"/>
        </w:rPr>
      </w:pPr>
    </w:p>
    <w:p>
      <w:pPr>
        <w:ind w:left="940" w:right="440" w:hanging="626"/>
        <w:spacing w:after="0" w:line="185" w:lineRule="auto"/>
        <w:tabs>
          <w:tab w:leader="none" w:pos="940" w:val="left"/>
        </w:tabs>
        <w:numPr>
          <w:ilvl w:val="0"/>
          <w:numId w:val="52"/>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Consolidated Statements of Income, (ii) Interim Consolidated Statements of Comprehensive Income, (iii) Interim Consolidated Balance Sheets, (iv) Interim Consolidated Statements of Cash Flows, (v) Interim Consolidated Statements of Stockholders’ Equity, and (vi) Notes to Interim Consolidated Financial Statements</w:t>
      </w:r>
    </w:p>
    <w:p>
      <w:pPr>
        <w:spacing w:after="0" w:line="31" w:lineRule="exact"/>
        <w:rPr>
          <w:sz w:val="20"/>
          <w:szCs w:val="20"/>
          <w:color w:val="auto"/>
        </w:rPr>
      </w:pPr>
    </w:p>
    <w:p>
      <w:pPr>
        <w:ind w:left="940" w:hanging="626"/>
        <w:spacing w:after="0"/>
        <w:tabs>
          <w:tab w:leader="none" w:pos="9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cover page from our Quarterly Report on Form 10-Q for the quarter ended September 30, 2025, formatted in Inline XBRL and contained in Exhibit 101</w:t>
      </w:r>
    </w:p>
    <w:p>
      <w:pPr>
        <w:spacing w:after="0" w:line="170" w:lineRule="exact"/>
        <w:rPr>
          <w:rFonts w:ascii="Times New Roman" w:cs="Times New Roman" w:eastAsia="Times New Roman" w:hAnsi="Times New Roman"/>
          <w:sz w:val="15"/>
          <w:szCs w:val="15"/>
          <w:color w:val="auto"/>
        </w:rPr>
      </w:pPr>
    </w:p>
    <w:p>
      <w:pPr>
        <w:ind w:left="2540" w:hanging="487"/>
        <w:spacing w:after="0"/>
        <w:tabs>
          <w:tab w:leader="none" w:pos="254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type w:val="continuous"/>
        </w:sectPr>
      </w:pPr>
    </w:p>
    <w:bookmarkStart w:id="62" w:name="page63"/>
    <w:bookmarkEnd w:id="62"/>
    <w:p>
      <w:pPr>
        <w:ind w:left="54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MARRIOTT VACATIONS WORLDWIDE CORPORATION</w:t>
            </w:r>
          </w:p>
        </w:tc>
      </w:tr>
      <w:tr>
        <w:trPr>
          <w:trHeight w:val="47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6, 2025</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John E. Geller, Jr.</w:t>
            </w:r>
          </w:p>
        </w:tc>
      </w:tr>
      <w:tr>
        <w:trPr>
          <w:trHeight w:val="217"/>
        </w:trPr>
        <w:tc>
          <w:tcPr>
            <w:tcW w:w="29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John E. Geller, Jr.</w:t>
            </w:r>
          </w:p>
        </w:tc>
      </w:tr>
      <w:tr>
        <w:trPr>
          <w:trHeight w:val="237"/>
        </w:trPr>
        <w:tc>
          <w:tcPr>
            <w:tcW w:w="29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473"/>
        </w:trPr>
        <w:tc>
          <w:tcPr>
            <w:tcW w:w="294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Jason P. Marino</w:t>
            </w:r>
          </w:p>
        </w:tc>
      </w:tr>
      <w:tr>
        <w:trPr>
          <w:trHeight w:val="217"/>
        </w:trPr>
        <w:tc>
          <w:tcPr>
            <w:tcW w:w="29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Jason P. Marino</w:t>
            </w:r>
          </w:p>
        </w:tc>
      </w:tr>
      <w:tr>
        <w:trPr>
          <w:trHeight w:val="237"/>
        </w:trPr>
        <w:tc>
          <w:tcPr>
            <w:tcW w:w="29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817"/>
        </w:trPr>
        <w:tc>
          <w:tcPr>
            <w:tcW w:w="2940" w:type="dxa"/>
            <w:vAlign w:val="bottom"/>
          </w:tcPr>
          <w:p>
            <w:pPr>
              <w:spacing w:after="0"/>
              <w:rPr>
                <w:sz w:val="24"/>
                <w:szCs w:val="24"/>
                <w:color w:val="auto"/>
              </w:rPr>
            </w:pPr>
          </w:p>
        </w:tc>
        <w:tc>
          <w:tcPr>
            <w:tcW w:w="472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61</w:t>
            </w:r>
          </w:p>
        </w:tc>
      </w:tr>
    </w:tbl>
    <w:p>
      <w:pPr>
        <w:sectPr>
          <w:pgSz w:w="11900" w:h="16838" w:orient="portrait"/>
          <w:cols w:equalWidth="0" w:num="1">
            <w:col w:w="10760"/>
          </w:cols>
          <w:pgMar w:left="320" w:top="1044" w:right="8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Executive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Rule 13a-14(a) of the Securities Exchange Act of 1934</w:t>
      </w:r>
    </w:p>
    <w:p>
      <w:pPr>
        <w:spacing w:after="0" w:line="17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John E. Geller, Jr., certify that:</w:t>
      </w:r>
    </w:p>
    <w:p>
      <w:pPr>
        <w:spacing w:after="0" w:line="100" w:lineRule="exact"/>
        <w:rPr>
          <w:sz w:val="20"/>
          <w:szCs w:val="20"/>
          <w:color w:val="auto"/>
        </w:rPr>
      </w:pPr>
    </w:p>
    <w:p>
      <w:pPr>
        <w:ind w:left="565" w:hanging="565"/>
        <w:spacing w:after="0"/>
        <w:tabs>
          <w:tab w:leader="none" w:pos="56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Marriott Vacations Worldwide Corporation;</w:t>
      </w:r>
    </w:p>
    <w:p>
      <w:pPr>
        <w:spacing w:after="0" w:line="10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2" w:lineRule="exact"/>
        <w:rPr>
          <w:rFonts w:ascii="Times New Roman" w:cs="Times New Roman" w:eastAsia="Times New Roman" w:hAnsi="Times New Roman"/>
          <w:sz w:val="16"/>
          <w:szCs w:val="16"/>
          <w:color w:val="auto"/>
        </w:rPr>
      </w:pPr>
    </w:p>
    <w:p>
      <w:pPr>
        <w:ind w:left="56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6"/>
          <w:szCs w:val="16"/>
          <w:color w:val="auto"/>
        </w:rPr>
      </w:pPr>
    </w:p>
    <w:p>
      <w:pPr>
        <w:ind w:left="1145" w:right="220" w:hanging="577"/>
        <w:spacing w:after="0" w:line="261" w:lineRule="auto"/>
        <w:tabs>
          <w:tab w:leader="none" w:pos="1143"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145" w:right="40" w:hanging="577"/>
        <w:spacing w:after="0" w:line="261" w:lineRule="auto"/>
        <w:tabs>
          <w:tab w:leader="none" w:pos="114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145" w:right="360" w:hanging="577"/>
        <w:spacing w:after="0" w:line="276" w:lineRule="auto"/>
        <w:tabs>
          <w:tab w:leader="none" w:pos="1143"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6"/>
          <w:szCs w:val="16"/>
          <w:color w:val="auto"/>
        </w:rPr>
      </w:pPr>
    </w:p>
    <w:p>
      <w:pPr>
        <w:ind w:left="1145" w:right="20" w:hanging="577"/>
        <w:spacing w:after="0" w:line="261" w:lineRule="auto"/>
        <w:tabs>
          <w:tab w:leader="none" w:pos="114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565" w:right="520" w:hanging="565"/>
        <w:spacing w:after="0" w:line="276" w:lineRule="auto"/>
        <w:tabs>
          <w:tab w:leader="none" w:pos="56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6"/>
          <w:szCs w:val="16"/>
          <w:color w:val="auto"/>
        </w:rPr>
      </w:pPr>
    </w:p>
    <w:p>
      <w:pPr>
        <w:ind w:left="1145" w:right="540" w:hanging="577"/>
        <w:spacing w:after="0" w:line="276" w:lineRule="auto"/>
        <w:tabs>
          <w:tab w:leader="none" w:pos="1143"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6"/>
          <w:szCs w:val="16"/>
          <w:color w:val="auto"/>
        </w:rPr>
      </w:pPr>
    </w:p>
    <w:p>
      <w:pPr>
        <w:ind w:left="1145" w:right="140" w:hanging="577"/>
        <w:spacing w:after="0" w:line="276" w:lineRule="auto"/>
        <w:tabs>
          <w:tab w:leader="none" w:pos="114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 November 6, 2025</w:t>
      </w:r>
    </w:p>
    <w:p>
      <w:pPr>
        <w:spacing w:after="0" w:line="361"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29210</wp:posOffset>
            </wp:positionV>
            <wp:extent cx="302958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3029585" cy="7620"/>
                    </a:xfrm>
                    <a:prstGeom prst="rect">
                      <a:avLst/>
                    </a:prstGeom>
                    <a:noFill/>
                  </pic:spPr>
                </pic:pic>
              </a:graphicData>
            </a:graphic>
          </wp:anchor>
        </w:drawing>
      </w:r>
    </w:p>
    <w:p>
      <w:pPr>
        <w:spacing w:after="0" w:line="33"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John E. Geller, Jr.</w:t>
      </w:r>
    </w:p>
    <w:p>
      <w:pPr>
        <w:spacing w:after="0" w:line="29"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41"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5"/>
          </w:cols>
          <w:pgMar w:left="315" w:top="1115" w:right="31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Financial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Rule 13a-14(a) of the Securities Exchange Act of 1934</w:t>
      </w:r>
    </w:p>
    <w:p>
      <w:pPr>
        <w:spacing w:after="0" w:line="17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Jason P. Marino, certify that:</w:t>
      </w:r>
    </w:p>
    <w:p>
      <w:pPr>
        <w:spacing w:after="0" w:line="100" w:lineRule="exact"/>
        <w:rPr>
          <w:sz w:val="20"/>
          <w:szCs w:val="20"/>
          <w:color w:val="auto"/>
        </w:rPr>
      </w:pPr>
    </w:p>
    <w:p>
      <w:pPr>
        <w:ind w:left="565" w:hanging="565"/>
        <w:spacing w:after="0"/>
        <w:tabs>
          <w:tab w:leader="none" w:pos="56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Marriott Vacations Worldwide Corporation;</w:t>
      </w:r>
    </w:p>
    <w:p>
      <w:pPr>
        <w:spacing w:after="0" w:line="10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2" w:lineRule="exact"/>
        <w:rPr>
          <w:rFonts w:ascii="Times New Roman" w:cs="Times New Roman" w:eastAsia="Times New Roman" w:hAnsi="Times New Roman"/>
          <w:sz w:val="16"/>
          <w:szCs w:val="16"/>
          <w:color w:val="auto"/>
        </w:rPr>
      </w:pPr>
    </w:p>
    <w:p>
      <w:pPr>
        <w:ind w:left="56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6"/>
          <w:szCs w:val="16"/>
          <w:color w:val="auto"/>
        </w:rPr>
      </w:pPr>
    </w:p>
    <w:p>
      <w:pPr>
        <w:ind w:left="1145" w:right="220" w:hanging="577"/>
        <w:spacing w:after="0" w:line="261" w:lineRule="auto"/>
        <w:tabs>
          <w:tab w:leader="none" w:pos="1143"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145" w:right="40" w:hanging="577"/>
        <w:spacing w:after="0" w:line="261" w:lineRule="auto"/>
        <w:tabs>
          <w:tab w:leader="none" w:pos="114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145" w:right="360" w:hanging="577"/>
        <w:spacing w:after="0" w:line="276" w:lineRule="auto"/>
        <w:tabs>
          <w:tab w:leader="none" w:pos="1143"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6"/>
          <w:szCs w:val="16"/>
          <w:color w:val="auto"/>
        </w:rPr>
      </w:pPr>
    </w:p>
    <w:p>
      <w:pPr>
        <w:ind w:left="1145" w:right="20" w:hanging="577"/>
        <w:spacing w:after="0" w:line="261" w:lineRule="auto"/>
        <w:tabs>
          <w:tab w:leader="none" w:pos="114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565" w:right="520" w:hanging="565"/>
        <w:spacing w:after="0" w:line="276" w:lineRule="auto"/>
        <w:tabs>
          <w:tab w:leader="none" w:pos="56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6"/>
          <w:szCs w:val="16"/>
          <w:color w:val="auto"/>
        </w:rPr>
      </w:pPr>
    </w:p>
    <w:p>
      <w:pPr>
        <w:ind w:left="1145" w:right="540" w:hanging="577"/>
        <w:spacing w:after="0" w:line="276" w:lineRule="auto"/>
        <w:tabs>
          <w:tab w:leader="none" w:pos="1143"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6"/>
          <w:szCs w:val="16"/>
          <w:color w:val="auto"/>
        </w:rPr>
      </w:pPr>
    </w:p>
    <w:p>
      <w:pPr>
        <w:ind w:left="1145" w:right="140" w:hanging="577"/>
        <w:spacing w:after="0" w:line="276" w:lineRule="auto"/>
        <w:tabs>
          <w:tab w:leader="none" w:pos="114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 November 6, 2025</w:t>
      </w:r>
    </w:p>
    <w:p>
      <w:pPr>
        <w:spacing w:after="0" w:line="372"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13970</wp:posOffset>
            </wp:positionV>
            <wp:extent cx="316484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3164840" cy="7620"/>
                    </a:xfrm>
                    <a:prstGeom prst="rect">
                      <a:avLst/>
                    </a:prstGeom>
                    <a:noFill/>
                  </pic:spPr>
                </pic:pic>
              </a:graphicData>
            </a:graphic>
          </wp:anchor>
        </w:drawing>
      </w:r>
    </w:p>
    <w:p>
      <w:pPr>
        <w:spacing w:after="0" w:line="21"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Jason P. Marino</w:t>
      </w:r>
    </w:p>
    <w:p>
      <w:pPr>
        <w:spacing w:after="0" w:line="53"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41"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65"/>
          </w:cols>
          <w:pgMar w:left="315" w:top="1115" w:right="3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9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Executive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18 U.S.C. Section 1350, as Adopted Pursuant to Section 906 of the Sarbanes-Oxley Act of 2002</w:t>
      </w:r>
    </w:p>
    <w:p>
      <w:pPr>
        <w:spacing w:after="0" w:line="3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John E. Geller, Jr., President and Chief Executive Officer of Marriott Vacations Worldwide Corporation (the “Company”) certify that:</w:t>
      </w:r>
    </w:p>
    <w:p>
      <w:pPr>
        <w:spacing w:after="0" w:line="100" w:lineRule="exact"/>
        <w:rPr>
          <w:sz w:val="20"/>
          <w:szCs w:val="20"/>
          <w:color w:val="auto"/>
        </w:rPr>
      </w:pPr>
    </w:p>
    <w:p>
      <w:pPr>
        <w:ind w:left="565" w:right="120" w:hanging="565"/>
        <w:spacing w:after="0" w:line="276" w:lineRule="auto"/>
        <w:tabs>
          <w:tab w:leader="none" w:pos="56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period ended September 30, 2025 (the “Quarterly Report”), fully complies with the requirements of section 13(a) or 15(d) of the Securities Exchange Act of 1934 (15 U.S.C. 78m or 78o(d)); and</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Quarterly Report fairly presents, in all material respects, the financial condition and results of operations of the Company.</w:t>
      </w:r>
    </w:p>
    <w:p>
      <w:pPr>
        <w:spacing w:after="0" w:line="19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 November 6, 2025</w:t>
      </w:r>
    </w:p>
    <w:p>
      <w:pPr>
        <w:spacing w:after="0" w:line="31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13970</wp:posOffset>
            </wp:positionV>
            <wp:extent cx="302958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3029585" cy="7620"/>
                    </a:xfrm>
                    <a:prstGeom prst="rect">
                      <a:avLst/>
                    </a:prstGeom>
                    <a:noFill/>
                  </pic:spPr>
                </pic:pic>
              </a:graphicData>
            </a:graphic>
          </wp:anchor>
        </w:drawing>
      </w:r>
    </w:p>
    <w:p>
      <w:pPr>
        <w:spacing w:after="0" w:line="3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John E. Geller, Jr.</w:t>
      </w:r>
    </w:p>
    <w:p>
      <w:pPr>
        <w:spacing w:after="0" w:line="5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5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5"/>
          </w:cols>
          <w:pgMar w:left="315" w:top="1115" w:right="3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9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Financial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18 U.S.C. Section 1350, as Adopted Pursuant to Section 906 of the Sarbanes-Oxley Act of 2002</w:t>
      </w:r>
    </w:p>
    <w:p>
      <w:pPr>
        <w:spacing w:after="0" w:line="3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Jason P. Marino, Executive Vice President and Chief Financial Officer of Marriott Vacations Worldwide Corporation (the “Company”) certify that:</w:t>
      </w:r>
    </w:p>
    <w:p>
      <w:pPr>
        <w:spacing w:after="0" w:line="100" w:lineRule="exact"/>
        <w:rPr>
          <w:sz w:val="20"/>
          <w:szCs w:val="20"/>
          <w:color w:val="auto"/>
        </w:rPr>
      </w:pPr>
    </w:p>
    <w:p>
      <w:pPr>
        <w:ind w:left="565" w:right="120" w:hanging="565"/>
        <w:spacing w:after="0" w:line="276" w:lineRule="auto"/>
        <w:tabs>
          <w:tab w:leader="none" w:pos="56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period ended September 30, 2025 (the “Quarterly Report”), fully complies with the requirements of section 13(a) or 15(d) of the Securities Exchange Act of 1934 (15 U.S.C. 78m or 78o(d)); and</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Quarterly Report fairly presents, in all material respects, the financial condition and results of operations of the Company.</w:t>
      </w:r>
    </w:p>
    <w:p>
      <w:pPr>
        <w:spacing w:after="0" w:line="19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 November 6, 2025</w:t>
      </w:r>
    </w:p>
    <w:p>
      <w:pPr>
        <w:spacing w:after="0" w:line="384"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13970</wp:posOffset>
            </wp:positionV>
            <wp:extent cx="31496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3149600" cy="7620"/>
                    </a:xfrm>
                    <a:prstGeom prst="rect">
                      <a:avLst/>
                    </a:prstGeom>
                    <a:noFill/>
                  </pic:spPr>
                </pic:pic>
              </a:graphicData>
            </a:graphic>
          </wp:anchor>
        </w:drawing>
      </w:r>
    </w:p>
    <w:p>
      <w:pPr>
        <w:spacing w:after="0" w:line="21"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Jason P. Marino</w:t>
      </w:r>
    </w:p>
    <w:p>
      <w:pPr>
        <w:spacing w:after="0" w:line="41"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41"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(Principal Financial Officer)</w:t>
      </w:r>
    </w:p>
    <w:sectPr>
      <w:pgSz w:w="11900" w:h="16838" w:orient="portrait"/>
      <w:cols w:equalWidth="0" w:num="1">
        <w:col w:w="11265"/>
      </w:cols>
      <w:pgMar w:left="315" w:top="11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407"/>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2"/>
    </w:lvl>
  </w:abstractNum>
  <w:abstractNum w:abstractNumId="5">
    <w:nsid w:val="737B8DDC"/>
    <w:multiLevelType w:val="hybridMultilevel"/>
    <w:lvl w:ilvl="0">
      <w:lvlJc w:val="left"/>
      <w:lvlText w:val="%1."/>
      <w:numFmt w:val="decimal"/>
      <w:start w:val="3"/>
    </w:lvl>
  </w:abstractNum>
  <w:abstractNum w:abstractNumId="6">
    <w:nsid w:val="6CEAF087"/>
    <w:multiLevelType w:val="hybridMultilevel"/>
    <w:lvl w:ilvl="0">
      <w:lvlJc w:val="left"/>
      <w:lvlText w:val="%1."/>
      <w:numFmt w:val="decimal"/>
      <w:start w:val="5"/>
    </w:lvl>
  </w:abstractNum>
  <w:abstractNum w:abstractNumId="7">
    <w:nsid w:val="22221A70"/>
    <w:multiLevelType w:val="hybridMultilevel"/>
    <w:lvl w:ilvl="0">
      <w:lvlJc w:val="left"/>
      <w:lvlText w:val="%1."/>
      <w:numFmt w:val="decimal"/>
      <w:start w:val="6"/>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7"/>
    </w:lvl>
  </w:abstractNum>
  <w:abstractNum w:abstractNumId="11">
    <w:nsid w:val="419AC241"/>
    <w:multiLevelType w:val="hybridMultilevel"/>
    <w:lvl w:ilvl="0">
      <w:lvlJc w:val="left"/>
      <w:lvlText w:val="%1."/>
      <w:numFmt w:val="decimal"/>
      <w:start w:val="8"/>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10"/>
    </w:lvl>
  </w:abstractNum>
  <w:abstractNum w:abstractNumId="15">
    <w:nsid w:val="3804823E"/>
    <w:multiLevelType w:val="hybridMultilevel"/>
    <w:lvl w:ilvl="0">
      <w:lvlJc w:val="left"/>
      <w:lvlText w:val="•"/>
      <w:numFmt w:val="bullet"/>
      <w:start w:val="1"/>
    </w:lvl>
    <w:lvl w:ilvl="1">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2"/>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3"/>
    </w:lvl>
  </w:abstractNum>
  <w:abstractNum w:abstractNumId="24">
    <w:nsid w:val="153EA438"/>
    <w:multiLevelType w:val="hybridMultilevel"/>
    <w:lvl w:ilvl="0">
      <w:lvlJc w:val="left"/>
      <w:lvlText w:val="%1."/>
      <w:numFmt w:val="decimal"/>
      <w:start w:val="14"/>
    </w:lvl>
  </w:abstractNum>
  <w:abstractNum w:abstractNumId="25">
    <w:nsid w:val="3855585C"/>
    <w:multiLevelType w:val="hybridMultilevel"/>
    <w:lvl w:ilvl="0">
      <w:lvlJc w:val="left"/>
      <w:lvlText w:val="%1."/>
      <w:numFmt w:val="decimal"/>
      <w:start w:val="15"/>
    </w:lvl>
  </w:abstractNum>
  <w:abstractNum w:abstractNumId="26">
    <w:nsid w:val="70A64E2A"/>
    <w:multiLevelType w:val="hybridMultilevel"/>
    <w:lvl w:ilvl="0">
      <w:lvlJc w:val="left"/>
      <w:lvlText w:val="%1."/>
      <w:numFmt w:val="decimal"/>
      <w:start w:val="16"/>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7"/>
    </w:lvl>
  </w:abstractNum>
  <w:abstractNum w:abstractNumId="29">
    <w:nsid w:val="1D4ED43B"/>
    <w:multiLevelType w:val="hybridMultilevel"/>
    <w:lvl w:ilvl="0">
      <w:lvlJc w:val="left"/>
      <w:lvlText w:val="•"/>
      <w:numFmt w:val="bullet"/>
      <w:start w:val="1"/>
    </w:lvl>
    <w:lvl w:ilvl="1">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lvl w:ilvl="1">
      <w:lvlJc w:val="left"/>
      <w:lvlText w:val="•"/>
      <w:numFmt w:val="bullet"/>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101"/>
    </w:lvl>
  </w:abstractNum>
  <w:abstractNum w:abstractNumId="52">
    <w:nsid w:val="23F9C13C"/>
    <w:multiLevelType w:val="hybridMultilevel"/>
    <w:lvl w:ilvl="0">
      <w:lvlJc w:val="left"/>
      <w:lvlText w:val="%1"/>
      <w:numFmt w:val="decimal"/>
      <w:start w:val="104"/>
    </w:lvl>
    <w:lvl w:ilvl="1">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26" Type="http://schemas.openxmlformats.org/officeDocument/2006/relationships/hyperlink" Target="https://www.sec.gov/Archives/edgar/data/1524358/000152435823000022/exhibit32secondrestatedcer.htm" TargetMode="External"/><Relationship Id="rId127" Type="http://schemas.openxmlformats.org/officeDocument/2006/relationships/hyperlink" Target="https://www.sec.gov/Archives/edgar/data/1524358/000152435823000031/a2023q2ex33restatedbylawso.htm" TargetMode="External"/><Relationship Id="rId128" Type="http://schemas.openxmlformats.org/officeDocument/2006/relationships/hyperlink" Target="https://www.sec.gov/Archives/edgar/data/1524358/000119312511271851/d197736dex41.htm" TargetMode="External"/><Relationship Id="rId129" Type="http://schemas.openxmlformats.org/officeDocument/2006/relationships/hyperlink" Target="https://www.sec.gov/Archives/edgar/data/1524358/000119312519259964/d812229dex41.htm" TargetMode="External"/><Relationship Id="rId130" Type="http://schemas.openxmlformats.org/officeDocument/2006/relationships/hyperlink" Target="https://www.sec.gov/Archives/edgar/data/1524358/000119312519259964/d812229dex43.htm" TargetMode="External"/><Relationship Id="rId131" Type="http://schemas.openxmlformats.org/officeDocument/2006/relationships/hyperlink" Target="https://www.sec.gov/Archives/edgar/data/0001524358/000119312521027303/d41256dex41.htm" TargetMode="External"/><Relationship Id="rId132" Type="http://schemas.openxmlformats.org/officeDocument/2006/relationships/hyperlink" Target="https://www.sec.gov/Archives/edgar/data/0001524358/000119312521027303/d41256dex41.htm#exa" TargetMode="External"/><Relationship Id="rId133" Type="http://schemas.openxmlformats.org/officeDocument/2006/relationships/hyperlink" Target="https://www.sec.gov/Archives/edgar/data/0001524358/000119312521195243/d158882dex41.htm" TargetMode="External"/><Relationship Id="rId136" Type="http://schemas.openxmlformats.org/officeDocument/2006/relationships/hyperlink" Target="https://www.sec.gov/Archives/edgar/data/0001524358/000119312521195243/d158882dex41.htm#tx158882_515" TargetMode="External"/><Relationship Id="rId137" Type="http://schemas.openxmlformats.org/officeDocument/2006/relationships/hyperlink" Target="https://www.sec.gov/Archives/edgar/data/1524358/000119312522301061/d433395dex41.htm" TargetMode="External"/><Relationship Id="rId138" Type="http://schemas.openxmlformats.org/officeDocument/2006/relationships/hyperlink" Target="https://www.sec.gov/Archives/edgar/data/1524358/000119312522301061/d433395dex41.htm#tx433395_1" TargetMode="External"/><Relationship Id="rId139" Type="http://schemas.openxmlformats.org/officeDocument/2006/relationships/hyperlink" Target="https://www.sec.gov/Archives/edgar/data/1524358/000152435820000011/a201910-kex416descript.htm" TargetMode="External"/><Relationship Id="rId140" Type="http://schemas.openxmlformats.org/officeDocument/2006/relationships/hyperlink" Target="https://www.sec.gov/Archives/edgar/data/1524358/000152435825000160/a41indenture.htm" TargetMode="External"/><Relationship Id="rId141" Type="http://schemas.openxmlformats.org/officeDocument/2006/relationships/hyperlink" Target="https://www.sec.gov/Archives/edgar/data/1524358/000152435825000160/a41indenture.htm#i899489c2fdc046ad9daa8541df5cae8b_549755814403" TargetMode="External"/><Relationship Id="rId142" Type="http://schemas.openxmlformats.org/officeDocument/2006/relationships/hyperlink" Target="https://www.sec.gov/Archives/edgar/data/1524358/000152435825000044/a2024ex1018changeinctrlsev.htm" TargetMode="External"/><Relationship Id="rId143" Type="http://schemas.openxmlformats.org/officeDocument/2006/relationships/hyperlink" Target="https://www.sec.gov/Archives/edgar/data/1524358/000152435825000093/ex101-incrementalfacilitya.htm" TargetMode="External"/><Relationship Id="rId144" Type="http://schemas.openxmlformats.org/officeDocument/2006/relationships/hyperlink" Target="https://www.sec.gov/Archives/edgar/data/1524358/000152435825000126/ex101-supportagreementmay2.htm" TargetMode="External"/><Relationship Id="rId145" Type="http://schemas.openxmlformats.org/officeDocument/2006/relationships/hyperlink" Target="https://www.sec.gov/Archives/edgar/data/1524358/000152435824000006/a2023ex221xlistoftheissu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2025-11-06T14:09:09Z</dcterms:created>
  <dcterms:modified xsi:type="dcterms:W3CDTF">2025-11-06T14:09:09Z</dcterms:modified>
</cp:coreProperties>
</file>