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7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001-35219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Marriott Vacations Worldwide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892" w:type="dxa"/>
        <w:jc w:val="center"/>
        <w:tblInd w:w="0" w:type="dxa"/>
        <w:tblLayout w:type="fixed"/>
        <w:tblCellMar>
          <w:top w:w="28" w:type="dxa"/>
          <w:left w:w="28" w:type="dxa"/>
          <w:bottom w:w="28" w:type="dxa"/>
          <w:right w:w="28" w:type="dxa"/>
        </w:tblCellMar>
      </w:tblPr>
      <w:tblGrid>
        <w:gridCol w:w="178"/>
        <w:gridCol w:w="156"/>
        <w:gridCol w:w="156"/>
        <w:gridCol w:w="609"/>
        <w:gridCol w:w="609"/>
        <w:gridCol w:w="611"/>
        <w:gridCol w:w="275"/>
        <w:gridCol w:w="275"/>
        <w:gridCol w:w="276"/>
        <w:gridCol w:w="156"/>
        <w:gridCol w:w="156"/>
        <w:gridCol w:w="156"/>
        <w:gridCol w:w="156"/>
        <w:gridCol w:w="156"/>
        <w:gridCol w:w="156"/>
        <w:gridCol w:w="109"/>
        <w:gridCol w:w="109"/>
        <w:gridCol w:w="109"/>
        <w:gridCol w:w="433"/>
        <w:gridCol w:w="433"/>
        <w:gridCol w:w="618"/>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45-2598330</w:t>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7812 Palm Parkway</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Orlando</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32836</w:t>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pPr>
      <w:r>
        <w:rPr>
          <w:rFonts w:ascii="Times New Roman;serif" w:hAnsi="Times New Roman;serif"/>
          <w:b/>
          <w:color w:val="000000"/>
          <w:sz w:val="20"/>
        </w:rPr>
        <w:t xml:space="preserve">(407) 206-6000 </w:t>
      </w: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998"/>
        <w:gridCol w:w="875"/>
        <w:gridCol w:w="887"/>
        <w:gridCol w:w="484"/>
        <w:gridCol w:w="484"/>
        <w:gridCol w:w="486"/>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VAC</w:t>
            </w:r>
          </w:p>
        </w:tc>
        <w:tc>
          <w:tcPr>
            <w:tcW w:w="3314" w:type="dxa"/>
            <w:gridSpan w:val="3"/>
            <w:tcBorders>
              <w:top w:val="single" w:sz="8" w:space="0" w:color="000000"/>
              <w:left w:val="single" w:sz="8" w:space="0" w:color="000000"/>
              <w:bottom w:val="single" w:sz="8"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120" w:after="283"/>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666"/>
        <w:gridCol w:w="586"/>
        <w:gridCol w:w="588"/>
        <w:gridCol w:w="109"/>
        <w:gridCol w:w="109"/>
        <w:gridCol w:w="109"/>
        <w:gridCol w:w="109"/>
        <w:gridCol w:w="109"/>
        <w:gridCol w:w="109"/>
        <w:gridCol w:w="109"/>
        <w:gridCol w:w="109"/>
        <w:gridCol w:w="109"/>
        <w:gridCol w:w="432"/>
        <w:gridCol w:w="432"/>
        <w:gridCol w:w="434"/>
        <w:gridCol w:w="109"/>
        <w:gridCol w:w="109"/>
        <w:gridCol w:w="109"/>
        <w:gridCol w:w="109"/>
        <w:gridCol w:w="109"/>
        <w:gridCol w:w="109"/>
        <w:gridCol w:w="109"/>
        <w:gridCol w:w="109"/>
        <w:gridCol w:w="109"/>
        <w:gridCol w:w="552"/>
        <w:gridCol w:w="552"/>
        <w:gridCol w:w="554"/>
        <w:gridCol w:w="109"/>
        <w:gridCol w:w="109"/>
        <w:gridCol w:w="109"/>
        <w:gridCol w:w="109"/>
        <w:gridCol w:w="109"/>
        <w:gridCol w:w="109"/>
        <w:gridCol w:w="109"/>
        <w:gridCol w:w="109"/>
        <w:gridCol w:w="109"/>
        <w:gridCol w:w="587"/>
        <w:gridCol w:w="587"/>
        <w:gridCol w:w="589"/>
        <w:gridCol w:w="109"/>
        <w:gridCol w:w="109"/>
        <w:gridCol w:w="109"/>
        <w:gridCol w:w="109"/>
        <w:gridCol w:w="109"/>
        <w:gridCol w:w="158"/>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19"/>
        </w:rPr>
        <w:t>Indicate by check mark whether the registrant is a shell company (as defined in Rule 12b-2 of the Exchange Act).</w:t>
      </w:r>
      <w:r>
        <w:rPr>
          <w:color w:val="000000"/>
        </w:rPr>
        <w:t> </w:t>
      </w:r>
      <w:r>
        <w:rPr>
          <w:rFonts w:ascii="Times New Roman;serif" w:hAnsi="Times New Roman;serif"/>
          <w:b w:val="false"/>
          <w:color w:val="000000"/>
          <w:sz w:val="19"/>
        </w:rPr>
        <w:t>Yes</w:t>
      </w:r>
      <w:r>
        <w:rPr>
          <w:color w:val="000000"/>
        </w:rPr>
        <w:t xml:space="preserve"> ☐ </w:t>
      </w:r>
      <w:r>
        <w:rPr>
          <w:rFonts w:ascii="Times New Roman;serif" w:hAnsi="Times New Roman;serif"/>
          <w:b w:val="false"/>
          <w:color w:val="000000"/>
          <w:sz w:val="19"/>
        </w:rPr>
        <w:t>No</w:t>
      </w:r>
      <w:r>
        <w:rPr>
          <w:color w:val="000000"/>
        </w:rPr>
        <w:t xml:space="preserve"> ☒</w:t>
      </w:r>
    </w:p>
    <w:p>
      <w:pPr>
        <w:pStyle w:val="TextBody"/>
        <w:bidi w:val="0"/>
        <w:spacing w:lineRule="auto" w:line="288" w:before="60" w:after="283"/>
        <w:jc w:val="left"/>
        <w:rPr>
          <w:rFonts w:ascii="Times New Roman;serif" w:hAnsi="Times New Roman;serif"/>
          <w:b w:val="false"/>
          <w:color w:val="000000"/>
          <w:sz w:val="19"/>
        </w:rPr>
      </w:pPr>
      <w:r>
        <w:rPr>
          <w:rFonts w:ascii="Times New Roman;serif" w:hAnsi="Times New Roman;serif"/>
          <w:b w:val="false"/>
          <w:color w:val="000000"/>
          <w:sz w:val="19"/>
        </w:rPr>
        <w:t>The number of shares outstanding of the issuer’s common stock, par value $0.01 per share, as of July 30, 2026 was 34,395,320.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before="120" w:after="283"/>
        <w:ind w:left="0" w:right="0" w:firstLine="720"/>
        <w:jc w:val="center"/>
        <w:rPr/>
      </w:pPr>
      <w:r>
        <w:rPr/>
      </w:r>
    </w:p>
    <w:p>
      <w:pPr>
        <w:pStyle w:val="TextBody"/>
        <w:bidi w:val="0"/>
        <w:spacing w:before="120" w:after="283"/>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10-Q TABLE OF CONTENTS</w:t>
      </w:r>
    </w:p>
    <w:tbl>
      <w:tblPr>
        <w:tblW w:w="8686" w:type="dxa"/>
        <w:jc w:val="center"/>
        <w:tblInd w:w="0" w:type="dxa"/>
        <w:tblLayout w:type="fixed"/>
        <w:tblCellMar>
          <w:top w:w="28" w:type="dxa"/>
          <w:left w:w="28" w:type="dxa"/>
          <w:bottom w:w="28" w:type="dxa"/>
          <w:right w:w="28" w:type="dxa"/>
        </w:tblCellMar>
      </w:tblPr>
      <w:tblGrid>
        <w:gridCol w:w="293"/>
        <w:gridCol w:w="258"/>
        <w:gridCol w:w="259"/>
        <w:gridCol w:w="2453"/>
        <w:gridCol w:w="2453"/>
        <w:gridCol w:w="2459"/>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0">
              <w:r>
                <w:rPr>
                  <w:rStyle w:val="InternetLink"/>
                  <w:rFonts w:ascii="Times New Roman;serif" w:hAnsi="Times New Roman;serif"/>
                  <w:b/>
                  <w:color w:val="0000FF"/>
                  <w:sz w:val="19"/>
                  <w:u w:val="single"/>
                </w:rPr>
                <w:t>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38a072794834fb596110a552a0d5274_10">
              <w:r>
                <w:rPr>
                  <w:rStyle w:val="InternetLink"/>
                  <w:rFonts w:ascii="Times New Roman;serif" w:hAnsi="Times New Roman;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3">
              <w:r>
                <w:rPr>
                  <w:rStyle w:val="InternetLink"/>
                  <w:rFonts w:ascii="Times New Roman;serif" w:hAnsi="Times New Roman;serif"/>
                  <w:b w:val="false"/>
                  <w:color w:val="0000FF"/>
                  <w:sz w:val="19"/>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3">
              <w:r>
                <w:rPr>
                  <w:rStyle w:val="InternetLink"/>
                  <w:rFonts w:ascii="Times New Roman;serif" w:hAnsi="Times New Roman;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6">
              <w:r>
                <w:rPr>
                  <w:rStyle w:val="InternetLink"/>
                  <w:rFonts w:ascii="Times New Roman;serif" w:hAnsi="Times New Roman;serif"/>
                  <w:b w:val="false"/>
                  <w:color w:val="0000FF"/>
                  <w:sz w:val="19"/>
                  <w:u w:val="single"/>
                </w:rPr>
                <w:t>Interim Consolidated Statements of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6">
              <w:r>
                <w:rPr>
                  <w:rStyle w:val="InternetLink"/>
                  <w:rFonts w:ascii="Times New Roman;serif" w:hAnsi="Times New Roman;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9">
              <w:r>
                <w:rPr>
                  <w:rStyle w:val="InternetLink"/>
                  <w:rFonts w:ascii="Times New Roman;serif" w:hAnsi="Times New Roman;serif"/>
                  <w:b w:val="false"/>
                  <w:color w:val="0000FF"/>
                  <w:sz w:val="19"/>
                  <w:u w:val="single"/>
                </w:rPr>
                <w:t>Interim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9">
              <w:r>
                <w:rPr>
                  <w:rStyle w:val="InternetLink"/>
                  <w:rFonts w:ascii="Times New Roman;serif" w:hAnsi="Times New Roman;serif"/>
                  <w:b w:val="false"/>
                  <w:color w:val="0000FF"/>
                  <w:sz w:val="19"/>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22">
              <w:r>
                <w:rPr>
                  <w:rStyle w:val="InternetLink"/>
                  <w:rFonts w:ascii="Times New Roman;serif" w:hAnsi="Times New Roman;serif"/>
                  <w:b w:val="false"/>
                  <w:color w:val="0000FF"/>
                  <w:sz w:val="19"/>
                  <w:u w:val="single"/>
                </w:rPr>
                <w:t>Interim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22">
              <w:r>
                <w:rPr>
                  <w:rStyle w:val="InternetLink"/>
                  <w:rFonts w:ascii="Times New Roman;serif" w:hAnsi="Times New Roman;serif"/>
                  <w:b w:val="false"/>
                  <w:color w:val="0000FF"/>
                  <w:sz w:val="19"/>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25">
              <w:r>
                <w:rPr>
                  <w:rStyle w:val="InternetLink"/>
                  <w:rFonts w:ascii="Times New Roman;serif" w:hAnsi="Times New Roman;serif"/>
                  <w:b w:val="false"/>
                  <w:color w:val="0000FF"/>
                  <w:sz w:val="19"/>
                  <w:u w:val="single"/>
                </w:rPr>
                <w:t>Interim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25">
              <w:r>
                <w:rPr>
                  <w:rStyle w:val="InternetLink"/>
                  <w:rFonts w:ascii="Times New Roman;serif" w:hAnsi="Times New Roman;serif"/>
                  <w:b w:val="false"/>
                  <w:color w:val="0000FF"/>
                  <w:sz w:val="19"/>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28">
              <w:r>
                <w:rPr>
                  <w:rStyle w:val="InternetLink"/>
                  <w:rFonts w:ascii="Times New Roman;serif" w:hAnsi="Times New Roman;serif"/>
                  <w:b w:val="false"/>
                  <w:color w:val="0000FF"/>
                  <w:sz w:val="19"/>
                  <w:u w:val="single"/>
                </w:rPr>
                <w:t>Interim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28">
              <w:r>
                <w:rPr>
                  <w:rStyle w:val="InternetLink"/>
                  <w:rFonts w:ascii="Times New Roman;serif" w:hAnsi="Times New Roman;serif"/>
                  <w:b w:val="false"/>
                  <w:color w:val="0000FF"/>
                  <w:sz w:val="19"/>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4">
              <w:r>
                <w:rPr>
                  <w:rStyle w:val="InternetLink"/>
                  <w:rFonts w:ascii="Times New Roman;serif" w:hAnsi="Times New Roman;serif"/>
                  <w:b w:val="false"/>
                  <w:color w:val="0000FF"/>
                  <w:sz w:val="19"/>
                  <w:u w:val="single"/>
                </w:rPr>
                <w:t>Interim Condensed 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4">
              <w:r>
                <w:rPr>
                  <w:rStyle w:val="InternetLink"/>
                  <w:rFonts w:ascii="Times New Roman;serif" w:hAnsi="Times New Roman;serif"/>
                  <w:b w:val="false"/>
                  <w:color w:val="0000FF"/>
                  <w:sz w:val="19"/>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7">
              <w:r>
                <w:rPr>
                  <w:rStyle w:val="InternetLink"/>
                  <w:rFonts w:ascii="Times New Roman;serif" w:hAnsi="Times New Roman;serif"/>
                  <w:b w:val="false"/>
                  <w:color w:val="0000FF"/>
                  <w:sz w:val="19"/>
                  <w:u w:val="single"/>
                </w:rPr>
                <w:t>1. Basis of Presentation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7">
              <w:r>
                <w:rPr>
                  <w:rStyle w:val="InternetLink"/>
                  <w:rFonts w:ascii="Times New Roman;serif" w:hAnsi="Times New Roman;serif"/>
                  <w:b w:val="false"/>
                  <w:color w:val="0000FF"/>
                  <w:sz w:val="19"/>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43">
              <w:r>
                <w:rPr>
                  <w:rStyle w:val="InternetLink"/>
                  <w:rFonts w:ascii="Times New Roman;serif" w:hAnsi="Times New Roman;serif"/>
                  <w:b w:val="false"/>
                  <w:color w:val="0000FF"/>
                  <w:sz w:val="19"/>
                  <w:u w:val="single"/>
                </w:rPr>
                <w:t>2. Significant Accounting Policies and Recent Accounting Standards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43">
              <w:r>
                <w:rPr>
                  <w:rStyle w:val="InternetLink"/>
                  <w:rFonts w:ascii="Times New Roman;serif" w:hAnsi="Times New Roman;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67">
              <w:r>
                <w:rPr>
                  <w:rStyle w:val="InternetLink"/>
                  <w:rFonts w:ascii="Times New Roman;serif" w:hAnsi="Times New Roman;serif"/>
                  <w:b w:val="false"/>
                  <w:color w:val="0000FF"/>
                  <w:sz w:val="19"/>
                  <w:u w:val="single"/>
                </w:rPr>
                <w:t>3. Acquisitions and Dispositions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67">
              <w:r>
                <w:rPr>
                  <w:rStyle w:val="InternetLink"/>
                  <w:rFonts w:ascii="Times New Roman;serif" w:hAnsi="Times New Roman;serif"/>
                  <w:b w:val="false"/>
                  <w:color w:val="0000FF"/>
                  <w:sz w:val="19"/>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73">
              <w:r>
                <w:rPr>
                  <w:rStyle w:val="InternetLink"/>
                  <w:rFonts w:ascii="Times New Roman;serif" w:hAnsi="Times New Roman;serif"/>
                  <w:b w:val="false"/>
                  <w:color w:val="0000FF"/>
                  <w:sz w:val="19"/>
                  <w:u w:val="single"/>
                </w:rPr>
                <w:t>4. Revenue and Receivables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73">
              <w:r>
                <w:rPr>
                  <w:rStyle w:val="InternetLink"/>
                  <w:rFonts w:ascii="Times New Roman;serif" w:hAnsi="Times New Roman;serif"/>
                  <w:b w:val="false"/>
                  <w:color w:val="0000FF"/>
                  <w:sz w:val="19"/>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79">
              <w:r>
                <w:rPr>
                  <w:rStyle w:val="InternetLink"/>
                  <w:rFonts w:ascii="Times New Roman;serif" w:hAnsi="Times New Roman;serif"/>
                  <w:b w:val="false"/>
                  <w:color w:val="0000FF"/>
                  <w:sz w:val="19"/>
                  <w:u w:val="single"/>
                </w:rPr>
                <w:t>5.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79">
              <w:r>
                <w:rPr>
                  <w:rStyle w:val="InternetLink"/>
                  <w:rFonts w:ascii="Times New Roman;serif" w:hAnsi="Times New Roman;serif"/>
                  <w:b w:val="false"/>
                  <w:color w:val="0000FF"/>
                  <w:sz w:val="19"/>
                  <w:u w:val="single"/>
                </w:rPr>
                <w:t>12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88">
              <w:r>
                <w:rPr>
                  <w:rStyle w:val="InternetLink"/>
                  <w:rFonts w:ascii="Times New Roman;serif" w:hAnsi="Times New Roman;serif"/>
                  <w:b w:val="false"/>
                  <w:color w:val="0000FF"/>
                  <w:sz w:val="19"/>
                  <w:u w:val="single"/>
                </w:rPr>
                <w:t>6. Vacation Ownership Notes Receivable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88">
              <w:r>
                <w:rPr>
                  <w:rStyle w:val="InternetLink"/>
                  <w:rFonts w:ascii="Times New Roman;serif" w:hAnsi="Times New Roman;serif"/>
                  <w:b w:val="false"/>
                  <w:color w:val="0000FF"/>
                  <w:sz w:val="19"/>
                  <w:u w:val="single"/>
                </w:rPr>
                <w:t>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91">
              <w:r>
                <w:rPr>
                  <w:rStyle w:val="InternetLink"/>
                  <w:rFonts w:ascii="Times New Roman;serif" w:hAnsi="Times New Roman;serif"/>
                  <w:b w:val="false"/>
                  <w:color w:val="0000FF"/>
                  <w:sz w:val="19"/>
                  <w:u w:val="single"/>
                </w:rPr>
                <w:t>7.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91">
              <w:r>
                <w:rPr>
                  <w:rStyle w:val="InternetLink"/>
                  <w:rFonts w:ascii="Times New Roman;serif" w:hAnsi="Times New Roman;serif"/>
                  <w:b w:val="false"/>
                  <w:color w:val="0000FF"/>
                  <w:sz w:val="19"/>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94">
              <w:r>
                <w:rPr>
                  <w:rStyle w:val="InternetLink"/>
                  <w:rFonts w:ascii="Times New Roman;serif" w:hAnsi="Times New Roman;serif"/>
                  <w:b w:val="false"/>
                  <w:color w:val="0000FF"/>
                  <w:sz w:val="19"/>
                  <w:u w:val="single"/>
                </w:rPr>
                <w:t>8. Earnings Per Share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94">
              <w:r>
                <w:rPr>
                  <w:rStyle w:val="InternetLink"/>
                  <w:rFonts w:ascii="Times New Roman;serif" w:hAnsi="Times New Roman;serif"/>
                  <w:b w:val="false"/>
                  <w:color w:val="0000FF"/>
                  <w:sz w:val="19"/>
                  <w:u w:val="single"/>
                </w:rPr>
                <w:t>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00">
              <w:r>
                <w:rPr>
                  <w:rStyle w:val="InternetLink"/>
                  <w:rFonts w:ascii="Times New Roman;serif" w:hAnsi="Times New Roman;serif"/>
                  <w:b w:val="false"/>
                  <w:color w:val="0000FF"/>
                  <w:sz w:val="19"/>
                  <w:u w:val="single"/>
                </w:rPr>
                <w:t>9. Inventory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00">
              <w:r>
                <w:rPr>
                  <w:rStyle w:val="InternetLink"/>
                  <w:rFonts w:ascii="Times New Roman;serif" w:hAnsi="Times New Roman;serif"/>
                  <w:b w:val="false"/>
                  <w:color w:val="0000FF"/>
                  <w:sz w:val="19"/>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03">
              <w:r>
                <w:rPr>
                  <w:rStyle w:val="InternetLink"/>
                  <w:rFonts w:ascii="Times New Roman;serif" w:hAnsi="Times New Roman;serif"/>
                  <w:b w:val="false"/>
                  <w:color w:val="0000FF"/>
                  <w:sz w:val="19"/>
                  <w:u w:val="single"/>
                </w:rPr>
                <w:t>10. Contingencies and Commitments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03">
              <w:r>
                <w:rPr>
                  <w:rStyle w:val="InternetLink"/>
                  <w:rFonts w:ascii="Times New Roman;serif" w:hAnsi="Times New Roman;serif"/>
                  <w:b w:val="false"/>
                  <w:color w:val="0000FF"/>
                  <w:sz w:val="19"/>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06">
              <w:r>
                <w:rPr>
                  <w:rStyle w:val="InternetLink"/>
                  <w:rFonts w:ascii="Times New Roman;serif" w:hAnsi="Times New Roman;serif"/>
                  <w:b w:val="false"/>
                  <w:color w:val="0000FF"/>
                  <w:sz w:val="19"/>
                  <w:u w:val="single"/>
                </w:rPr>
                <w:t>11. Securitized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06">
              <w:r>
                <w:rPr>
                  <w:rStyle w:val="InternetLink"/>
                  <w:rFonts w:ascii="Times New Roman;serif" w:hAnsi="Times New Roman;serif"/>
                  <w:b w:val="false"/>
                  <w:color w:val="0000FF"/>
                  <w:sz w:val="19"/>
                  <w:u w:val="single"/>
                </w:rPr>
                <w:t>20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15">
              <w:r>
                <w:rPr>
                  <w:rStyle w:val="InternetLink"/>
                  <w:rFonts w:ascii="Times New Roman;serif" w:hAnsi="Times New Roman;serif"/>
                  <w:b w:val="false"/>
                  <w:color w:val="0000FF"/>
                  <w:sz w:val="19"/>
                  <w:u w:val="single"/>
                </w:rPr>
                <w:t>12.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15">
              <w:r>
                <w:rPr>
                  <w:rStyle w:val="InternetLink"/>
                  <w:rFonts w:ascii="Times New Roman;serif" w:hAnsi="Times New Roman;serif"/>
                  <w:b w:val="false"/>
                  <w:color w:val="0000FF"/>
                  <w:sz w:val="19"/>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24">
              <w:r>
                <w:rPr>
                  <w:rStyle w:val="InternetLink"/>
                  <w:rFonts w:ascii="Times New Roman;serif" w:hAnsi="Times New Roman;serif"/>
                  <w:b w:val="false"/>
                  <w:color w:val="0000FF"/>
                  <w:sz w:val="19"/>
                  <w:u w:val="single"/>
                </w:rPr>
                <w:t>13.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24">
              <w:r>
                <w:rPr>
                  <w:rStyle w:val="InternetLink"/>
                  <w:rFonts w:ascii="Times New Roman;serif" w:hAnsi="Times New Roman;serif"/>
                  <w:b w:val="false"/>
                  <w:color w:val="0000FF"/>
                  <w:sz w:val="19"/>
                  <w:u w:val="single"/>
                </w:rPr>
                <w:t>24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27">
              <w:r>
                <w:rPr>
                  <w:rStyle w:val="InternetLink"/>
                  <w:rFonts w:ascii="Times New Roman;serif" w:hAnsi="Times New Roman;serif"/>
                  <w:b w:val="false"/>
                  <w:color w:val="0000FF"/>
                  <w:sz w:val="19"/>
                  <w:u w:val="single"/>
                </w:rPr>
                <w:t>14. Share-Based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27">
              <w:r>
                <w:rPr>
                  <w:rStyle w:val="InternetLink"/>
                  <w:rFonts w:ascii="Times New Roman;serif" w:hAnsi="Times New Roman;serif"/>
                  <w:b w:val="false"/>
                  <w:color w:val="0000FF"/>
                  <w:sz w:val="19"/>
                  <w:u w:val="single"/>
                </w:rPr>
                <w:t>25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30">
              <w:r>
                <w:rPr>
                  <w:rStyle w:val="InternetLink"/>
                  <w:rFonts w:ascii="Times New Roman;serif" w:hAnsi="Times New Roman;serif"/>
                  <w:b w:val="false"/>
                  <w:color w:val="0000FF"/>
                  <w:sz w:val="19"/>
                  <w:u w:val="single"/>
                </w:rPr>
                <w:t>15. Variable Interest Entities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30">
              <w:r>
                <w:rPr>
                  <w:rStyle w:val="InternetLink"/>
                  <w:rFonts w:ascii="Times New Roman;serif" w:hAnsi="Times New Roman;serif"/>
                  <w:b w:val="false"/>
                  <w:color w:val="0000FF"/>
                  <w:sz w:val="19"/>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36">
              <w:r>
                <w:rPr>
                  <w:rStyle w:val="InternetLink"/>
                  <w:rFonts w:ascii="Times New Roman;serif" w:hAnsi="Times New Roman;serif"/>
                  <w:b w:val="false"/>
                  <w:color w:val="0000FF"/>
                  <w:sz w:val="19"/>
                  <w:u w:val="single"/>
                </w:rPr>
                <w:t>16. Business Segments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36">
              <w:r>
                <w:rPr>
                  <w:rStyle w:val="InternetLink"/>
                  <w:rFonts w:ascii="Times New Roman;serif" w:hAnsi="Times New Roman;serif"/>
                  <w:b w:val="false"/>
                  <w:color w:val="0000FF"/>
                  <w:sz w:val="19"/>
                  <w:u w:val="single"/>
                </w:rPr>
                <w:t>28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42">
              <w:r>
                <w:rPr>
                  <w:rStyle w:val="InternetLink"/>
                  <w:rFonts w:ascii="Times New Roman;serif" w:hAnsi="Times New Roman;serif"/>
                  <w:b w:val="false"/>
                  <w:color w:val="0000FF"/>
                  <w:sz w:val="19"/>
                  <w:u w:val="single"/>
                </w:rPr>
                <w:t>17. Modernization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42">
              <w:r>
                <w:rPr>
                  <w:rStyle w:val="InternetLink"/>
                  <w:rFonts w:ascii="Times New Roman;serif" w:hAnsi="Times New Roman;serif"/>
                  <w:b w:val="false"/>
                  <w:color w:val="0000FF"/>
                  <w:sz w:val="19"/>
                  <w:u w:val="single"/>
                </w:rPr>
                <w:t>30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145">
              <w:r>
                <w:rPr>
                  <w:rStyle w:val="InternetLink"/>
                  <w:rFonts w:ascii="Times New Roman;serif" w:hAnsi="Times New Roman;serif"/>
                  <w:b w:val="false"/>
                  <w:color w:val="0000FF"/>
                  <w:sz w:val="19"/>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145">
              <w:r>
                <w:rPr>
                  <w:rStyle w:val="InternetLink"/>
                  <w:rFonts w:ascii="Times New Roman;serif" w:hAnsi="Times New Roman;serif"/>
                  <w:b w:val="false"/>
                  <w:color w:val="0000FF"/>
                  <w:sz w:val="19"/>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19">
              <w:r>
                <w:rPr>
                  <w:rStyle w:val="InternetLink"/>
                  <w:rFonts w:ascii="Times New Roman;serif" w:hAnsi="Times New Roman;serif"/>
                  <w:b w:val="false"/>
                  <w:color w:val="0000FF"/>
                  <w:sz w:val="19"/>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19">
              <w:r>
                <w:rPr>
                  <w:rStyle w:val="InternetLink"/>
                  <w:rFonts w:ascii="Times New Roman;serif" w:hAnsi="Times New Roman;serif"/>
                  <w:b w:val="false"/>
                  <w:color w:val="0000FF"/>
                  <w:sz w:val="19"/>
                  <w:u w:val="single"/>
                </w:rPr>
                <w:t>52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22">
              <w:r>
                <w:rPr>
                  <w:rStyle w:val="InternetLink"/>
                  <w:rFonts w:ascii="Times New Roman;serif" w:hAnsi="Times New Roman;serif"/>
                  <w:b w:val="false"/>
                  <w:color w:val="0000FF"/>
                  <w:sz w:val="19"/>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22">
              <w:r>
                <w:rPr>
                  <w:rStyle w:val="InternetLink"/>
                  <w:rFonts w:ascii="Times New Roman;serif" w:hAnsi="Times New Roman;serif"/>
                  <w:b w:val="false"/>
                  <w:color w:val="0000FF"/>
                  <w:sz w:val="19"/>
                  <w:u w:val="single"/>
                </w:rPr>
                <w:t>53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25">
              <w:r>
                <w:rPr>
                  <w:rStyle w:val="InternetLink"/>
                  <w:rFonts w:ascii="Times New Roman;serif" w:hAnsi="Times New Roman;serif"/>
                  <w:b/>
                  <w:color w:val="0000FF"/>
                  <w:sz w:val="19"/>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25">
              <w:r>
                <w:rPr>
                  <w:rStyle w:val="InternetLink"/>
                  <w:rFonts w:ascii="Times New Roman;serif" w:hAnsi="Times New Roman;serif"/>
                  <w:b w:val="false"/>
                  <w:color w:val="0000FF"/>
                  <w:sz w:val="19"/>
                  <w:u w:val="single"/>
                </w:rPr>
                <w:t>53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28">
              <w:r>
                <w:rPr>
                  <w:rStyle w:val="InternetLink"/>
                  <w:rFonts w:ascii="Times New Roman;serif" w:hAnsi="Times New Roman;serif"/>
                  <w:b w:val="false"/>
                  <w:color w:val="0000FF"/>
                  <w:sz w:val="19"/>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28">
              <w:r>
                <w:rPr>
                  <w:rStyle w:val="InternetLink"/>
                  <w:rFonts w:ascii="Times New Roman;serif" w:hAnsi="Times New Roman;serif"/>
                  <w:b w:val="false"/>
                  <w:color w:val="0000FF"/>
                  <w:sz w:val="19"/>
                  <w:u w:val="single"/>
                </w:rPr>
                <w:t>53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31">
              <w:r>
                <w:rPr>
                  <w:rStyle w:val="InternetLink"/>
                  <w:rFonts w:ascii="Times New Roman;serif" w:hAnsi="Times New Roman;serif"/>
                  <w:b w:val="false"/>
                  <w:color w:val="0000FF"/>
                  <w:sz w:val="19"/>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31">
              <w:r>
                <w:rPr>
                  <w:rStyle w:val="InternetLink"/>
                  <w:rFonts w:ascii="Times New Roman;serif" w:hAnsi="Times New Roman;serif"/>
                  <w:b w:val="false"/>
                  <w:color w:val="0000FF"/>
                  <w:sz w:val="19"/>
                  <w:u w:val="single"/>
                </w:rPr>
                <w:t>53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34">
              <w:r>
                <w:rPr>
                  <w:rStyle w:val="InternetLink"/>
                  <w:rFonts w:ascii="Times New Roman;serif" w:hAnsi="Times New Roman;serif"/>
                  <w:b w:val="false"/>
                  <w:color w:val="0000FF"/>
                  <w:sz w:val="19"/>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34">
              <w:r>
                <w:rPr>
                  <w:rStyle w:val="InternetLink"/>
                  <w:rFonts w:ascii="Times New Roman;serif" w:hAnsi="Times New Roman;serif"/>
                  <w:b w:val="false"/>
                  <w:color w:val="0000FF"/>
                  <w:sz w:val="19"/>
                  <w:u w:val="single"/>
                </w:rPr>
                <w:t>53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37">
              <w:r>
                <w:rPr>
                  <w:rStyle w:val="InternetLink"/>
                  <w:rFonts w:ascii="Times New Roman;serif" w:hAnsi="Times New Roman;serif"/>
                  <w:b w:val="false"/>
                  <w:color w:val="0000FF"/>
                  <w:sz w:val="19"/>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37">
              <w:r>
                <w:rPr>
                  <w:rStyle w:val="InternetLink"/>
                  <w:rFonts w:ascii="Times New Roman;serif" w:hAnsi="Times New Roman;serif"/>
                  <w:b w:val="false"/>
                  <w:color w:val="0000FF"/>
                  <w:sz w:val="19"/>
                  <w:u w:val="single"/>
                </w:rPr>
                <w:t>54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46">
              <w:r>
                <w:rPr>
                  <w:rStyle w:val="InternetLink"/>
                  <w:rFonts w:ascii="Times New Roman;serif" w:hAnsi="Times New Roman;serif"/>
                  <w:b w:val="false"/>
                  <w:color w:val="0000FF"/>
                  <w:sz w:val="19"/>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46">
              <w:r>
                <w:rPr>
                  <w:rStyle w:val="InternetLink"/>
                  <w:rFonts w:ascii="Times New Roman;serif" w:hAnsi="Times New Roman;serif"/>
                  <w:b w:val="false"/>
                  <w:color w:val="0000FF"/>
                  <w:sz w:val="19"/>
                  <w:u w:val="single"/>
                </w:rPr>
                <w:t>54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a072794834fb596110a552a0d5274_349">
              <w:r>
                <w:rPr>
                  <w:rStyle w:val="InternetLink"/>
                  <w:rFonts w:ascii="Times New Roman;serif" w:hAnsi="Times New Roman;serif"/>
                  <w:b w:val="false"/>
                  <w:color w:val="0000FF"/>
                  <w:sz w:val="19"/>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8a072794834fb596110a552a0d5274_349">
              <w:r>
                <w:rPr>
                  <w:rStyle w:val="InternetLink"/>
                  <w:rFonts w:ascii="Times New Roman;serif" w:hAnsi="Times New Roman;serif"/>
                  <w:b w:val="false"/>
                  <w:color w:val="0000FF"/>
                  <w:sz w:val="19"/>
                  <w:u w:val="single"/>
                </w:rPr>
                <w:t>56</w:t>
              </w:r>
            </w:hyperlink>
          </w:p>
        </w:tc>
      </w:tr>
    </w:tbl>
    <w:p>
      <w:pPr>
        <w:pStyle w:val="TextBody"/>
        <w:bidi w:val="0"/>
        <w:spacing w:lineRule="auto" w:line="288" w:before="120" w:after="283"/>
        <w:jc w:val="left"/>
        <w:rPr/>
      </w:pPr>
      <w:r>
        <w:rPr>
          <w:rFonts w:ascii="Times New Roman;serif" w:hAnsi="Times New Roman;serif"/>
          <w:b w:val="false"/>
          <w:color w:val="000000"/>
          <w:sz w:val="20"/>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symbols, however, such references are not intended to indicate in any way that MVW or the owner, as applicable, will not assert, to the fullest extent under applicable law, all rights to such trademarks, trade names, and service marks.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and unaudited)</w:t>
      </w:r>
    </w:p>
    <w:tbl>
      <w:tblPr>
        <w:tblW w:w="10205" w:type="dxa"/>
        <w:jc w:val="center"/>
        <w:tblInd w:w="0" w:type="dxa"/>
        <w:tblLayout w:type="fixed"/>
        <w:tblCellMar>
          <w:top w:w="28" w:type="dxa"/>
          <w:left w:w="28" w:type="dxa"/>
          <w:bottom w:w="28" w:type="dxa"/>
          <w:right w:w="28" w:type="dxa"/>
        </w:tblCellMar>
      </w:tblPr>
      <w:tblGrid>
        <w:gridCol w:w="1972"/>
        <w:gridCol w:w="1424"/>
        <w:gridCol w:w="1427"/>
        <w:gridCol w:w="276"/>
        <w:gridCol w:w="669"/>
        <w:gridCol w:w="142"/>
        <w:gridCol w:w="109"/>
        <w:gridCol w:w="109"/>
        <w:gridCol w:w="109"/>
        <w:gridCol w:w="276"/>
        <w:gridCol w:w="669"/>
        <w:gridCol w:w="142"/>
        <w:gridCol w:w="109"/>
        <w:gridCol w:w="109"/>
        <w:gridCol w:w="109"/>
        <w:gridCol w:w="276"/>
        <w:gridCol w:w="669"/>
        <w:gridCol w:w="142"/>
        <w:gridCol w:w="109"/>
        <w:gridCol w:w="109"/>
        <w:gridCol w:w="109"/>
        <w:gridCol w:w="273"/>
        <w:gridCol w:w="661"/>
        <w:gridCol w:w="206"/>
      </w:tblGrid>
      <w:tr>
        <w:trPr/>
        <w:tc>
          <w:tcPr>
            <w:tcW w:w="197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Modernization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 AND NONCONTROLLING INTERESTS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COMMON STOCKHOLDERS</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SHARE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3260"/>
                <wp:effectExtent l="0" t="0" r="0" b="0"/>
                <wp:wrapNone/>
                <wp:docPr id="3" name="Frame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182"/>
        <w:gridCol w:w="1461"/>
        <w:gridCol w:w="1469"/>
        <w:gridCol w:w="305"/>
        <w:gridCol w:w="523"/>
        <w:gridCol w:w="157"/>
        <w:gridCol w:w="115"/>
        <w:gridCol w:w="115"/>
        <w:gridCol w:w="115"/>
        <w:gridCol w:w="305"/>
        <w:gridCol w:w="523"/>
        <w:gridCol w:w="157"/>
        <w:gridCol w:w="109"/>
        <w:gridCol w:w="109"/>
        <w:gridCol w:w="109"/>
        <w:gridCol w:w="278"/>
        <w:gridCol w:w="615"/>
        <w:gridCol w:w="143"/>
        <w:gridCol w:w="109"/>
        <w:gridCol w:w="109"/>
        <w:gridCol w:w="109"/>
        <w:gridCol w:w="274"/>
        <w:gridCol w:w="606"/>
        <w:gridCol w:w="208"/>
      </w:tblGrid>
      <w:tr>
        <w:trPr/>
        <w:tc>
          <w:tcPr>
            <w:tcW w:w="218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adjustments realized upon disposition of an entity</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 net of tax</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GAIN (LOSS), NET OF TAX</w:t>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NONCONTROLLING INTERESTS</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STOCKHOLDERS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3260"/>
                <wp:effectExtent l="0" t="0" r="0" b="0"/>
                <wp:wrapNone/>
                <wp:docPr id="4" name="Frame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761"/>
        <w:gridCol w:w="2209"/>
        <w:gridCol w:w="2227"/>
        <w:gridCol w:w="264"/>
        <w:gridCol w:w="771"/>
        <w:gridCol w:w="136"/>
        <w:gridCol w:w="109"/>
        <w:gridCol w:w="109"/>
        <w:gridCol w:w="109"/>
        <w:gridCol w:w="323"/>
        <w:gridCol w:w="945"/>
        <w:gridCol w:w="242"/>
      </w:tblGrid>
      <w:tr>
        <w:trPr/>
        <w:tc>
          <w:tcPr>
            <w:tcW w:w="276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(including $87 and $81 from VIEs,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net (including $17 and $15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 (including $2,082 and $1,900 from VIEs,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(including $188 and $168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deposits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(including $4 and $4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 liability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Securitized debt, net (including $2,381 and $2,173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Contingencies and Commitments (Note 10)</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 value; 2,000,000 shares authorized; none issued or outstanding</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100,000,000 shares authorized; 75,919,908 and 75,891,531 shares issued,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at cost; 41,525,622 and 41,767,498 shares,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MVW STOCKHOLDERS' EQUITY</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abbreviation VIEs above means Variable Interest Entities.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770"/>
        <w:gridCol w:w="2421"/>
        <w:gridCol w:w="2427"/>
        <w:gridCol w:w="337"/>
        <w:gridCol w:w="578"/>
        <w:gridCol w:w="174"/>
        <w:gridCol w:w="109"/>
        <w:gridCol w:w="109"/>
        <w:gridCol w:w="109"/>
        <w:gridCol w:w="296"/>
        <w:gridCol w:w="654"/>
        <w:gridCol w:w="221"/>
      </w:tblGrid>
      <w:tr>
        <w:trPr/>
        <w:tc>
          <w:tcPr>
            <w:tcW w:w="277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7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cash equivalents and restricted cash provided by (used in) operating activities: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and contracts receivable reserve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loss (gain)</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assets and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originations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advance deposits and accrued liabilities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 liabilities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development of property for future transfer to inventory</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cash equivalents and restricted cash provided by (used in) operating activities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entity</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and equipment (excluding inventory)</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company owned life insurance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dispositions, net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cash equivalents and restricted cash provided by (used in) investing activities</w:t>
            </w:r>
          </w:p>
        </w:tc>
        <w:tc>
          <w:tcPr>
            <w:tcW w:w="9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3260"/>
                <wp:effectExtent l="0" t="0" r="0" b="0"/>
                <wp:wrapNone/>
                <wp:docPr id="6" name="Frame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CASH FLOWS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0120" w:type="dxa"/>
        <w:jc w:val="center"/>
        <w:tblInd w:w="0" w:type="dxa"/>
        <w:tblLayout w:type="fixed"/>
        <w:tblCellMar>
          <w:top w:w="28" w:type="dxa"/>
          <w:left w:w="28" w:type="dxa"/>
          <w:bottom w:w="28" w:type="dxa"/>
          <w:right w:w="28" w:type="dxa"/>
        </w:tblCellMar>
      </w:tblPr>
      <w:tblGrid>
        <w:gridCol w:w="2611"/>
        <w:gridCol w:w="2289"/>
        <w:gridCol w:w="2300"/>
        <w:gridCol w:w="342"/>
        <w:gridCol w:w="756"/>
        <w:gridCol w:w="176"/>
        <w:gridCol w:w="109"/>
        <w:gridCol w:w="109"/>
        <w:gridCol w:w="109"/>
        <w:gridCol w:w="335"/>
        <w:gridCol w:w="740"/>
        <w:gridCol w:w="244"/>
      </w:tblGrid>
      <w:tr>
        <w:trPr/>
        <w:tc>
          <w:tcPr>
            <w:tcW w:w="2611"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securitization transactions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related to securitization transactions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payment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and securitized debt issuance costs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withholding taxes on vesting of restricted stock units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cash equivalents and restricted cash (used in) provided by financing activities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exchange rates on cash, cash equivalents and restricted cash</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treasury stock for employee stock purchase plan</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 from inventory to property and equipment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 from property and equipment to inventory</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 from other assets to property and equipment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260"/>
                <wp:effectExtent l="0" t="0" r="0" b="0"/>
                <wp:wrapNone/>
                <wp:docPr id="7" name="Frame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3096"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590"/>
        <w:gridCol w:w="410"/>
        <w:gridCol w:w="411"/>
        <w:gridCol w:w="302"/>
        <w:gridCol w:w="367"/>
        <w:gridCol w:w="157"/>
        <w:gridCol w:w="109"/>
        <w:gridCol w:w="109"/>
        <w:gridCol w:w="109"/>
        <w:gridCol w:w="211"/>
        <w:gridCol w:w="631"/>
        <w:gridCol w:w="109"/>
        <w:gridCol w:w="109"/>
        <w:gridCol w:w="109"/>
        <w:gridCol w:w="109"/>
        <w:gridCol w:w="211"/>
        <w:gridCol w:w="616"/>
        <w:gridCol w:w="109"/>
        <w:gridCol w:w="109"/>
        <w:gridCol w:w="109"/>
        <w:gridCol w:w="109"/>
        <w:gridCol w:w="395"/>
        <w:gridCol w:w="705"/>
        <w:gridCol w:w="206"/>
        <w:gridCol w:w="109"/>
        <w:gridCol w:w="109"/>
        <w:gridCol w:w="109"/>
        <w:gridCol w:w="217"/>
        <w:gridCol w:w="480"/>
        <w:gridCol w:w="114"/>
        <w:gridCol w:w="109"/>
        <w:gridCol w:w="109"/>
        <w:gridCol w:w="109"/>
        <w:gridCol w:w="260"/>
        <w:gridCol w:w="760"/>
        <w:gridCol w:w="136"/>
        <w:gridCol w:w="109"/>
        <w:gridCol w:w="109"/>
        <w:gridCol w:w="109"/>
        <w:gridCol w:w="366"/>
        <w:gridCol w:w="705"/>
        <w:gridCol w:w="190"/>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MVW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adjustments realized upon disposition of entity</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2931"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425"/>
        <w:gridCol w:w="410"/>
        <w:gridCol w:w="411"/>
        <w:gridCol w:w="302"/>
        <w:gridCol w:w="367"/>
        <w:gridCol w:w="157"/>
        <w:gridCol w:w="109"/>
        <w:gridCol w:w="109"/>
        <w:gridCol w:w="109"/>
        <w:gridCol w:w="211"/>
        <w:gridCol w:w="631"/>
        <w:gridCol w:w="109"/>
        <w:gridCol w:w="109"/>
        <w:gridCol w:w="109"/>
        <w:gridCol w:w="109"/>
        <w:gridCol w:w="211"/>
        <w:gridCol w:w="616"/>
        <w:gridCol w:w="109"/>
        <w:gridCol w:w="109"/>
        <w:gridCol w:w="109"/>
        <w:gridCol w:w="109"/>
        <w:gridCol w:w="395"/>
        <w:gridCol w:w="705"/>
        <w:gridCol w:w="206"/>
        <w:gridCol w:w="109"/>
        <w:gridCol w:w="109"/>
        <w:gridCol w:w="109"/>
        <w:gridCol w:w="217"/>
        <w:gridCol w:w="480"/>
        <w:gridCol w:w="114"/>
        <w:gridCol w:w="109"/>
        <w:gridCol w:w="109"/>
        <w:gridCol w:w="109"/>
        <w:gridCol w:w="260"/>
        <w:gridCol w:w="760"/>
        <w:gridCol w:w="136"/>
        <w:gridCol w:w="109"/>
        <w:gridCol w:w="109"/>
        <w:gridCol w:w="109"/>
        <w:gridCol w:w="366"/>
        <w:gridCol w:w="705"/>
        <w:gridCol w:w="190"/>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MVW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36" w:type="dxa"/>
        <w:jc w:val="left"/>
        <w:tblInd w:w="0" w:type="dxa"/>
        <w:tblLayout w:type="fixed"/>
        <w:tblCellMar>
          <w:top w:w="28" w:type="dxa"/>
          <w:left w:w="28" w:type="dxa"/>
          <w:bottom w:w="28" w:type="dxa"/>
          <w:right w:w="28" w:type="dxa"/>
        </w:tblCellMar>
      </w:tblPr>
      <w:tblGrid>
        <w:gridCol w:w="124"/>
        <w:gridCol w:w="109"/>
        <w:gridCol w:w="109"/>
        <w:gridCol w:w="759"/>
        <w:gridCol w:w="759"/>
        <w:gridCol w:w="1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 </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BASIS OF PRESENTATION</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2025 (the “2025 Annual Report”). We also use certain other terms that are defined within these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or loss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and volatility in the broader macroeconomic environment, including inflation, the impact of changing trade policy,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2025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“Legacy-ILG” to refer to the business and brands acquired in our 2018 acquisition of ILG, Inc. (the “ILG Acquisition”), and we use “Legacy-MVW” to refer to the business we conducted and our associated brands prior to the ILG Acquisition. “Legacy-Welk” refers to the business and brand acquired in our 2021 acquisition of Welk Hospitality Group, Inc. (the “Welk Acquisition”); all of the Welk Acquisition resorts were rebranded as Hyatt Vacation Club resorts in 2023. We use “Marriott Vacation Ownership” for our Marriott, Sheraton, and Westin branded businesses, and “Hyatt Vacation Ownership” for our Hyatt branded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amounts from the prior fiscal year have been reclassified to conform to the current period presentation. Additionally, commencing in the first quarter of 2026, interest expense associated with our Warehouse Credit Facility is included as a component of Consumer financing interest expense within Financing expense. For the three and six months ended June 30, 2025, interest expense associated with our Warehouse Credit Facility is included as a component of Interest expense, net. Interest expense on our Warehouse Credit Facility was $2 million and $5 million for the three and six months ended June 30, 2026, respectively, and $3 million and $7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7977" w:type="dxa"/>
        <w:jc w:val="left"/>
        <w:tblInd w:w="0" w:type="dxa"/>
        <w:tblLayout w:type="fixed"/>
        <w:tblCellMar>
          <w:top w:w="28" w:type="dxa"/>
          <w:left w:w="28" w:type="dxa"/>
          <w:bottom w:w="28" w:type="dxa"/>
          <w:right w:w="28" w:type="dxa"/>
        </w:tblCellMar>
      </w:tblPr>
      <w:tblGrid>
        <w:gridCol w:w="124"/>
        <w:gridCol w:w="109"/>
        <w:gridCol w:w="109"/>
        <w:gridCol w:w="2237"/>
        <w:gridCol w:w="2237"/>
        <w:gridCol w:w="3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2. </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ACCOUNTING POLICIES AND RECENT ACCOUNTING STANDARDS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New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Accounting Standards Update 2024-04 - “</w:t>
      </w:r>
      <w:r>
        <w:rPr>
          <w:rFonts w:ascii="Times New Roman;serif" w:hAnsi="Times New Roman;serif"/>
          <w:b w:val="false"/>
          <w:i/>
          <w:color w:val="000000"/>
          <w:sz w:val="20"/>
        </w:rPr>
        <w:t>Debt - 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(“ASU 2024-04”)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accounting standards update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We adopted ASU 2024-04 on a prospective basis on January 1, 2026, with no impact to our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Accounting Standards Update 2025-05 - </w:t>
      </w:r>
      <w:r>
        <w:rPr>
          <w:color w:val="000000"/>
        </w:rPr>
        <w:t>“</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which introduces a practical expedient for estimating expected credit losses on current accounts receivable and contract assets. Under this expedient, entities may assume that conditions existing at the balance sheet date will persist for the remaining life of the asset, which simplifies the estimation process by eliminating the need to forecast future economic conditions for short-term assets. We adopted ASU 2025-05 and elected the practical expedient on a prospective basis on January 1, 2026, with no material impact to our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Accounting Standards Update 2025-11 - </w:t>
      </w:r>
      <w:r>
        <w:rPr>
          <w:color w:val="000000"/>
        </w:rPr>
        <w:t>“</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(“ASU 2025-11”)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which updates Accounting Standards Codification (“ASC”) 270 to improve clarity and consistency, without fundamentally altering the nature or scope of interim reporting requirements. The guidance provides a comprehensive list of interim disclosures required by GAAP and incorporates a disclosure principle that requires disclosures at interim periods when an event or change that has a material effect on an entity has occurred since the last annual reporting period. The guidance is effective for interim reporting periods within annual reporting periods beginning after December 15, 2027, with early adoption permitted. We adopted ASU 2025-11 on a prospective basis on January 1, 2026, with no impact to our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Future Adoption of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Accounting Standards Update 2024-03 - </w:t>
      </w:r>
      <w:r>
        <w:rPr>
          <w:color w:val="000000"/>
        </w:rPr>
        <w:t>“</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Accounting Standards Update 2025-09 - </w:t>
      </w:r>
      <w:r>
        <w:rPr>
          <w:color w:val="000000"/>
        </w:rPr>
        <w:t>“</w:t>
      </w:r>
      <w:r>
        <w:rPr>
          <w:rFonts w:ascii="Times New Roman;serif" w:hAnsi="Times New Roman;serif"/>
          <w:b w:val="false"/>
          <w:i/>
          <w:color w:val="000000"/>
          <w:sz w:val="20"/>
        </w:rPr>
        <w:t>Derivatives and Hedging (Topic 815): Hedge Accounting Improvements”</w:t>
      </w:r>
      <w:r>
        <w:rPr>
          <w:color w:val="000000"/>
        </w:rPr>
        <w:t xml:space="preserve"> </w:t>
      </w:r>
      <w:r>
        <w:rPr>
          <w:rFonts w:ascii="Times New Roman;serif" w:hAnsi="Times New Roman;serif"/>
          <w:b w:val="false"/>
          <w:color w:val="000000"/>
          <w:sz w:val="20"/>
        </w:rPr>
        <w:t>(“ASU 2025-09”)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which amends certain aspects of hedge accounting guidance under ASC 815. The amendments clarify the assessment of risk for cash flow hedges; provide guidance on hedges of forecasted interest payments on choose</w:t>
        <w:noBreakHyphen/>
        <w:t>your</w:t>
        <w:noBreakHyphen/>
        <w:t>rate debt; expand the application of hedge accounting to certain nonfinancial forecasted transactions; permit the use of net written options as hedging instruments; and address the accounting for dual hedges of foreign</w:t>
        <w:noBreakHyphen/>
        <w:t>currency</w:t>
        <w:noBreakHyphen/>
        <w:t>denominated debt. This update is effective for annual periods beginning after December 15, 2026, and interim periods within those annual reporting periods, with early adoption permitted. We are evaluating the impact that the adoption of this update, including the timing of implementation, will have on our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3761" w:type="dxa"/>
        <w:jc w:val="left"/>
        <w:tblInd w:w="0" w:type="dxa"/>
        <w:tblLayout w:type="fixed"/>
        <w:tblCellMar>
          <w:top w:w="28" w:type="dxa"/>
          <w:left w:w="28" w:type="dxa"/>
          <w:bottom w:w="28" w:type="dxa"/>
          <w:right w:w="28" w:type="dxa"/>
        </w:tblCellMar>
      </w:tblPr>
      <w:tblGrid>
        <w:gridCol w:w="124"/>
        <w:gridCol w:w="109"/>
        <w:gridCol w:w="109"/>
        <w:gridCol w:w="1001"/>
        <w:gridCol w:w="1001"/>
        <w:gridCol w:w="1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3. </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ACQUISITIONS AND DISPOSITIONS</w:t>
            </w:r>
          </w:p>
        </w:tc>
      </w:tr>
    </w:tbl>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Cancun, Mexico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disposed of an entity that owned and operated a Vacation Ownership segment hotel in Cancun, Mexico, for proceeds of $50 million, consistent with our strategy to monetize non-core assets. The net carrying value of the entity disposed of, as of the date of the disposition, was $50 million, the majority of which was comprised of property and equipment that was recorded in Other Assets on our balance sheet. As a result of this disposition, we recorded a gain of $2 million in (Losses) gains and other (expense) income, net on our Income Statements for the six months ended June 30, 2026, which related to the realization of cumulative foreign currency translation gains.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Khao Lak, Thailand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acquired 52 completed vacation ownership units located in Khao Lak, Thailand for $50 million and included them in Property and equipment, net. We paid $43 million in cash consideration for these units during the second quarter of 2025. Additionally, during the second quarter of 2025, we reclassified $7 million of deposits paid in 2024 in connection with the project from Other assets to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27" w:type="dxa"/>
        <w:jc w:val="left"/>
        <w:tblInd w:w="0" w:type="dxa"/>
        <w:tblLayout w:type="fixed"/>
        <w:tblCellMar>
          <w:top w:w="28" w:type="dxa"/>
          <w:left w:w="28" w:type="dxa"/>
          <w:bottom w:w="28" w:type="dxa"/>
          <w:right w:w="28" w:type="dxa"/>
        </w:tblCellMar>
      </w:tblPr>
      <w:tblGrid>
        <w:gridCol w:w="124"/>
        <w:gridCol w:w="109"/>
        <w:gridCol w:w="109"/>
        <w:gridCol w:w="873"/>
        <w:gridCol w:w="873"/>
        <w:gridCol w:w="1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4.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AND RECEIVABLES</w:t>
            </w:r>
          </w:p>
        </w:tc>
      </w:tr>
    </w:tbl>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Sources of Revenue by Segment</w:t>
      </w:r>
    </w:p>
    <w:tbl>
      <w:tblPr>
        <w:tblW w:w="10205" w:type="dxa"/>
        <w:jc w:val="center"/>
        <w:tblInd w:w="0" w:type="dxa"/>
        <w:tblLayout w:type="fixed"/>
        <w:tblCellMar>
          <w:top w:w="28" w:type="dxa"/>
          <w:left w:w="28" w:type="dxa"/>
          <w:bottom w:w="28" w:type="dxa"/>
          <w:right w:w="28" w:type="dxa"/>
        </w:tblCellMar>
      </w:tblPr>
      <w:tblGrid>
        <w:gridCol w:w="1090"/>
        <w:gridCol w:w="841"/>
        <w:gridCol w:w="806"/>
        <w:gridCol w:w="332"/>
        <w:gridCol w:w="972"/>
        <w:gridCol w:w="173"/>
        <w:gridCol w:w="109"/>
        <w:gridCol w:w="109"/>
        <w:gridCol w:w="109"/>
        <w:gridCol w:w="734"/>
        <w:gridCol w:w="1415"/>
        <w:gridCol w:w="382"/>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0"/>
        <w:gridCol w:w="841"/>
        <w:gridCol w:w="806"/>
        <w:gridCol w:w="332"/>
        <w:gridCol w:w="972"/>
        <w:gridCol w:w="173"/>
        <w:gridCol w:w="109"/>
        <w:gridCol w:w="109"/>
        <w:gridCol w:w="109"/>
        <w:gridCol w:w="734"/>
        <w:gridCol w:w="1415"/>
        <w:gridCol w:w="382"/>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90"/>
        <w:gridCol w:w="842"/>
        <w:gridCol w:w="806"/>
        <w:gridCol w:w="332"/>
        <w:gridCol w:w="972"/>
        <w:gridCol w:w="173"/>
        <w:gridCol w:w="109"/>
        <w:gridCol w:w="109"/>
        <w:gridCol w:w="109"/>
        <w:gridCol w:w="678"/>
        <w:gridCol w:w="1499"/>
        <w:gridCol w:w="353"/>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0"/>
        <w:gridCol w:w="842"/>
        <w:gridCol w:w="806"/>
        <w:gridCol w:w="332"/>
        <w:gridCol w:w="972"/>
        <w:gridCol w:w="173"/>
        <w:gridCol w:w="109"/>
        <w:gridCol w:w="109"/>
        <w:gridCol w:w="109"/>
        <w:gridCol w:w="678"/>
        <w:gridCol w:w="1499"/>
        <w:gridCol w:w="353"/>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Timing of Revenue from Contracts with Customers by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timing of revenue from contracts with customers by segment for the time periods presented.</w:t>
      </w:r>
    </w:p>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758"/>
        <w:gridCol w:w="1298"/>
        <w:gridCol w:w="393"/>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758"/>
        <w:gridCol w:w="1298"/>
        <w:gridCol w:w="393"/>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656"/>
        <w:gridCol w:w="1451"/>
        <w:gridCol w:w="342"/>
        <w:gridCol w:w="109"/>
        <w:gridCol w:w="109"/>
        <w:gridCol w:w="109"/>
        <w:gridCol w:w="450"/>
        <w:gridCol w:w="770"/>
        <w:gridCol w:w="234"/>
        <w:gridCol w:w="109"/>
        <w:gridCol w:w="109"/>
        <w:gridCol w:w="109"/>
        <w:gridCol w:w="211"/>
        <w:gridCol w:w="616"/>
        <w:gridCol w:w="160"/>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656"/>
        <w:gridCol w:w="1451"/>
        <w:gridCol w:w="342"/>
        <w:gridCol w:w="109"/>
        <w:gridCol w:w="109"/>
        <w:gridCol w:w="109"/>
        <w:gridCol w:w="450"/>
        <w:gridCol w:w="770"/>
        <w:gridCol w:w="234"/>
        <w:gridCol w:w="109"/>
        <w:gridCol w:w="109"/>
        <w:gridCol w:w="109"/>
        <w:gridCol w:w="211"/>
        <w:gridCol w:w="616"/>
        <w:gridCol w:w="160"/>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 of Vacation Ownership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were reduced during the second quarter and first half of 2026 by $7 million and $11 million, respectively, due to changes in our estimates of variable consideration for performance obligations that were satisfied in prior periods.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Receivables from Contracts with Customers, Contract Assets, &amp; Contract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composition of our receivables from contracts with customers and contract liabilities. We had no contract assets at either June 30, 2026 or December 31, 2025. </w:t>
      </w:r>
    </w:p>
    <w:tbl>
      <w:tblPr>
        <w:tblW w:w="7359" w:type="dxa"/>
        <w:jc w:val="center"/>
        <w:tblInd w:w="0" w:type="dxa"/>
        <w:tblLayout w:type="fixed"/>
        <w:tblCellMar>
          <w:top w:w="28" w:type="dxa"/>
          <w:left w:w="28" w:type="dxa"/>
          <w:bottom w:w="28" w:type="dxa"/>
          <w:right w:w="28" w:type="dxa"/>
        </w:tblCellMar>
      </w:tblPr>
      <w:tblGrid>
        <w:gridCol w:w="1380"/>
        <w:gridCol w:w="1211"/>
        <w:gridCol w:w="1218"/>
        <w:gridCol w:w="314"/>
        <w:gridCol w:w="918"/>
        <w:gridCol w:w="162"/>
        <w:gridCol w:w="109"/>
        <w:gridCol w:w="109"/>
        <w:gridCol w:w="109"/>
        <w:gridCol w:w="393"/>
        <w:gridCol w:w="1149"/>
        <w:gridCol w:w="28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from Contracts with Customers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net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Contract Liabilities</w:t>
            </w:r>
            <w:r>
              <w:rPr>
                <w:rFonts w:ascii="Times New Roman;serif" w:hAnsi="Times New Roman;serif"/>
                <w:b w:val="false"/>
                <w:color w:val="000000"/>
                <w:sz w:val="13"/>
              </w:rPr>
              <w:t>(1)</w:t>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deposits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$105 million and $99 million of other refundable deposits at June 30, 2026 and December 31,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second quarter and first half of 2026 that was included in our contract liabilities balance at December 31, 2025 was $94 million and $214 million, respectively.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Remaining Performance Obligations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recorded contract liabilities (excluding other refundable deposits) represent the aggregate amount of the transaction price allocated to the performance obligations that are unsatisfied (or partially unsatisfied) as of June 30, 2026. At June 30, 2026, approximately 90% of the recorded contract liabilities are expected to be recognized as revenue over the next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Accounts and Contracts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tbl>
      <w:tblPr>
        <w:tblW w:w="7464" w:type="dxa"/>
        <w:jc w:val="center"/>
        <w:tblInd w:w="0" w:type="dxa"/>
        <w:tblLayout w:type="fixed"/>
        <w:tblCellMar>
          <w:top w:w="28" w:type="dxa"/>
          <w:left w:w="28" w:type="dxa"/>
          <w:bottom w:w="28" w:type="dxa"/>
          <w:right w:w="28" w:type="dxa"/>
        </w:tblCellMar>
      </w:tblPr>
      <w:tblGrid>
        <w:gridCol w:w="1416"/>
        <w:gridCol w:w="1244"/>
        <w:gridCol w:w="1254"/>
        <w:gridCol w:w="374"/>
        <w:gridCol w:w="827"/>
        <w:gridCol w:w="193"/>
        <w:gridCol w:w="109"/>
        <w:gridCol w:w="109"/>
        <w:gridCol w:w="109"/>
        <w:gridCol w:w="463"/>
        <w:gridCol w:w="1025"/>
        <w:gridCol w:w="341"/>
      </w:tblGrid>
      <w:tr>
        <w:trPr/>
        <w:tc>
          <w:tcPr>
            <w:tcW w:w="14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contracts with customers, net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 credit receivable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91" w:type="dxa"/>
        <w:jc w:val="left"/>
        <w:tblInd w:w="0" w:type="dxa"/>
        <w:tblLayout w:type="fixed"/>
        <w:tblCellMar>
          <w:top w:w="28" w:type="dxa"/>
          <w:left w:w="28" w:type="dxa"/>
          <w:bottom w:w="28" w:type="dxa"/>
          <w:right w:w="28" w:type="dxa"/>
        </w:tblCellMar>
      </w:tblPr>
      <w:tblGrid>
        <w:gridCol w:w="124"/>
        <w:gridCol w:w="109"/>
        <w:gridCol w:w="109"/>
        <w:gridCol w:w="482"/>
        <w:gridCol w:w="482"/>
        <w:gridCol w:w="6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5.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w:t>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is calculated using an estimated annual effective tax rate (“AETR”), which is based upon projected annual income or loss, including anticipated losses in certain jurisdictions, non-deductible expenses under applicable federal and local tax laws, statutory rates, and planned tax strategies across the jurisdictions in which we operate. Certain items that do not relate directly to ordinary income are excluded from the AETR and are recognized in the period in which they occur. </w:t>
      </w:r>
    </w:p>
    <w:p>
      <w:pPr>
        <w:pStyle w:val="TextBody"/>
        <w:bidi w:val="0"/>
        <w:spacing w:lineRule="auto" w:line="288" w:before="60" w:after="283"/>
        <w:jc w:val="left"/>
        <w:rPr/>
      </w:pPr>
      <w:r>
        <w:rPr>
          <w:rFonts w:ascii="Times New Roman;serif" w:hAnsi="Times New Roman;serif"/>
          <w:b w:val="false"/>
          <w:color w:val="000000"/>
          <w:sz w:val="20"/>
        </w:rPr>
        <w:t>Our effective tax rate was 32.4% and 26.8% for the three months ended June 30, 2026 and June 30, 2025, respectively, and 37.5% and 35.5% for the six months ended June 30, 2026 and June 30, 2025, respectively</w:t>
      </w:r>
      <w:r>
        <w:rPr>
          <w:rFonts w:ascii="Times New Roman;serif" w:hAnsi="Times New Roman;serif"/>
          <w:b w:val="false"/>
          <w:color w:val="EE2724"/>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differed from the blended U.S. federal and state statutory tax rate primarily due to projected losses in certain foreign jurisdictions for which no tax benefit was recognized as a result of valuation allowances with respect to such foreign jurisdictions, as well as discrete tax benefits related to uncertain tax positions and the effective settlement of a domestic tax audit, partially offset by penalties accrued for foreign tax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2025 was generally consistent with the blended U.S. federal and state statutory tax rate, with no significant variances.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differed from the blended U.S. federal and state statutory tax rate primarily due to projected losses in certain foreign jurisdictions for which no tax benefit was recognized as a result of valuation allowances with respect to such foreign jurisdictions, as well as discrete tax benefits related to uncertain tax positions, partially offset by a $6 million cumulative adjustment related to a foreign tax provision and penalties accrued for foreign tax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2025 differed from the blended U.S. federal and state statutory tax rate primarily due to the effect of losses incurred in certain non-U.S. jurisdictions for which no tax benefit was recognized. Additionally, permanent differences between the book and tax treatment contributed to the variance from the statutory 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income tax returns remain subject to examination by the relevant tax authorities in various jurisdictions for tax years 2007 through 2025. The amount of the unrecognized tax benefits may change within the next twelve months as a result of audits, settlements with tax authorities, or the expiration of statutes of limitations.</w:t>
      </w:r>
    </w:p>
    <w:p>
      <w:pPr>
        <w:pStyle w:val="TextBody"/>
        <w:bidi w:val="0"/>
        <w:spacing w:lineRule="auto" w:line="288" w:before="120" w:after="283"/>
        <w:jc w:val="left"/>
        <w:rPr/>
      </w:pPr>
      <w:r>
        <w:rPr>
          <w:rFonts w:ascii="Times New Roman;serif" w:hAnsi="Times New Roman;serif"/>
          <w:b w:val="false"/>
          <w:color w:val="000000"/>
          <w:sz w:val="20"/>
        </w:rPr>
        <w:t>During the third quarter of 2025, the One Big Beautiful Bill Act (Public Law 119-21) was signed into law, making several provisions of the Tax Cuts and Jobs Act permanent. Under ASC 740, “</w:t>
      </w:r>
      <w:r>
        <w:rPr>
          <w:rFonts w:ascii="Times New Roman;serif" w:hAnsi="Times New Roman;serif"/>
          <w:b w:val="false"/>
          <w:i/>
          <w:color w:val="000000"/>
          <w:sz w:val="20"/>
        </w:rPr>
        <w:t>Income Taxes</w:t>
      </w:r>
      <w:r>
        <w:rPr>
          <w:rFonts w:ascii="Times New Roman;serif" w:hAnsi="Times New Roman;serif"/>
          <w:b w:val="false"/>
          <w:color w:val="000000"/>
          <w:sz w:val="20"/>
        </w:rPr>
        <w:t>,” the effects of changes in tax laws are recognized in the period of enactment. The provisions effective during the first six months of 2026 did not have a material impact on our effective tax rate for the three months or six months ended June 30, 2026, but we continue to assess the potential impact of these legal changes, including provisions that become effective later in 2026, on our business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4812" w:type="dxa"/>
        <w:jc w:val="left"/>
        <w:tblInd w:w="0" w:type="dxa"/>
        <w:tblLayout w:type="fixed"/>
        <w:tblCellMar>
          <w:top w:w="28" w:type="dxa"/>
          <w:left w:w="28" w:type="dxa"/>
          <w:bottom w:w="28" w:type="dxa"/>
          <w:right w:w="28" w:type="dxa"/>
        </w:tblCellMar>
      </w:tblPr>
      <w:tblGrid>
        <w:gridCol w:w="124"/>
        <w:gridCol w:w="109"/>
        <w:gridCol w:w="109"/>
        <w:gridCol w:w="1309"/>
        <w:gridCol w:w="1309"/>
        <w:gridCol w:w="1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6. </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VACATION OWNERSHIP NOTES RECEIVABLE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our vacation ownership notes receivable balances, net of reserves. Originated vacation ownership notes receivable represent vacation ownership notes receivable originated by Legacy-ILG and Legacy-Welk subsequent to each respective acquisition date, and all Legacy-MVW vacation ownership notes receivable. Acquired vacation ownership notes receivable represent vacation ownership notes receivable acquired as part of the ILG Acquisition and the Welk Acquisition.</w:t>
      </w:r>
    </w:p>
    <w:tbl>
      <w:tblPr>
        <w:tblW w:w="10205" w:type="dxa"/>
        <w:jc w:val="center"/>
        <w:tblInd w:w="0" w:type="dxa"/>
        <w:tblLayout w:type="fixed"/>
        <w:tblCellMar>
          <w:top w:w="28" w:type="dxa"/>
          <w:left w:w="28" w:type="dxa"/>
          <w:bottom w:w="28" w:type="dxa"/>
          <w:right w:w="28" w:type="dxa"/>
        </w:tblCellMar>
      </w:tblPr>
      <w:tblGrid>
        <w:gridCol w:w="987"/>
        <w:gridCol w:w="824"/>
        <w:gridCol w:w="670"/>
        <w:gridCol w:w="229"/>
        <w:gridCol w:w="672"/>
        <w:gridCol w:w="118"/>
        <w:gridCol w:w="118"/>
        <w:gridCol w:w="118"/>
        <w:gridCol w:w="118"/>
        <w:gridCol w:w="278"/>
        <w:gridCol w:w="477"/>
        <w:gridCol w:w="146"/>
        <w:gridCol w:w="118"/>
        <w:gridCol w:w="118"/>
        <w:gridCol w:w="118"/>
        <w:gridCol w:w="229"/>
        <w:gridCol w:w="672"/>
        <w:gridCol w:w="118"/>
        <w:gridCol w:w="118"/>
        <w:gridCol w:w="118"/>
        <w:gridCol w:w="118"/>
        <w:gridCol w:w="229"/>
        <w:gridCol w:w="672"/>
        <w:gridCol w:w="118"/>
        <w:gridCol w:w="118"/>
        <w:gridCol w:w="118"/>
        <w:gridCol w:w="118"/>
        <w:gridCol w:w="278"/>
        <w:gridCol w:w="477"/>
        <w:gridCol w:w="146"/>
        <w:gridCol w:w="118"/>
        <w:gridCol w:w="118"/>
        <w:gridCol w:w="118"/>
        <w:gridCol w:w="229"/>
        <w:gridCol w:w="672"/>
        <w:gridCol w:w="194"/>
      </w:tblGrid>
      <w:tr>
        <w:trPr/>
        <w:tc>
          <w:tcPr>
            <w:tcW w:w="98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Eligible for securitization</w:t>
            </w:r>
            <w:r>
              <w:rPr>
                <w:rFonts w:ascii="Times New Roman;serif" w:hAnsi="Times New Roman;serif"/>
                <w:b w:val="false"/>
                <w:color w:val="000000"/>
                <w:sz w:val="12"/>
              </w:rPr>
              <w:t>(1)</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 eligible for securitization</w:t>
            </w:r>
            <w:r>
              <w:rPr>
                <w:rFonts w:ascii="Times New Roman;serif" w:hAnsi="Times New Roman;serif"/>
                <w:b w:val="false"/>
                <w:color w:val="000000"/>
                <w:sz w:val="12"/>
              </w:rPr>
              <w:t>(1)</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Non-securitized</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Refer to Footnote 7 “Financial Instruments” for discussion of eligibility of our vacation ownership notes receivable for securitization.</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future principal payments, net of reserves, and interest rates for our vacation ownership notes receivable at June 30, 2026.</w:t>
      </w:r>
    </w:p>
    <w:tbl>
      <w:tblPr>
        <w:tblW w:w="7749" w:type="dxa"/>
        <w:jc w:val="center"/>
        <w:tblInd w:w="0" w:type="dxa"/>
        <w:tblLayout w:type="fixed"/>
        <w:tblCellMar>
          <w:top w:w="28" w:type="dxa"/>
          <w:left w:w="28" w:type="dxa"/>
          <w:bottom w:w="28" w:type="dxa"/>
          <w:right w:w="28" w:type="dxa"/>
        </w:tblCellMar>
      </w:tblPr>
      <w:tblGrid>
        <w:gridCol w:w="1125"/>
        <w:gridCol w:w="989"/>
        <w:gridCol w:w="990"/>
        <w:gridCol w:w="358"/>
        <w:gridCol w:w="792"/>
        <w:gridCol w:w="186"/>
        <w:gridCol w:w="109"/>
        <w:gridCol w:w="109"/>
        <w:gridCol w:w="109"/>
        <w:gridCol w:w="294"/>
        <w:gridCol w:w="858"/>
        <w:gridCol w:w="153"/>
        <w:gridCol w:w="109"/>
        <w:gridCol w:w="109"/>
        <w:gridCol w:w="109"/>
        <w:gridCol w:w="290"/>
        <w:gridCol w:w="848"/>
        <w:gridCol w:w="212"/>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stated interest rate</w:t>
            </w:r>
          </w:p>
        </w:tc>
        <w:tc>
          <w:tcPr>
            <w:tcW w:w="13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stated interest rates</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21.9%</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Credit Quality Indicators - Vacation Ownership Notes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FICO score within our consolidated vacation ownership notes receivable pool was 731 and 729, at June 30, 2026 and December 31, 2025, respectively, based upon the FICO score of the borrower at the time of origination.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vacation ownership notes receivable, before reserves, by brand and borrower FICO score at origination.</w:t>
      </w:r>
    </w:p>
    <w:tbl>
      <w:tblPr>
        <w:tblW w:w="7983" w:type="dxa"/>
        <w:jc w:val="center"/>
        <w:tblInd w:w="0" w:type="dxa"/>
        <w:tblLayout w:type="fixed"/>
        <w:tblCellMar>
          <w:top w:w="28" w:type="dxa"/>
          <w:left w:w="28" w:type="dxa"/>
          <w:bottom w:w="28" w:type="dxa"/>
          <w:right w:w="28" w:type="dxa"/>
        </w:tblCellMar>
      </w:tblPr>
      <w:tblGrid>
        <w:gridCol w:w="902"/>
        <w:gridCol w:w="792"/>
        <w:gridCol w:w="795"/>
        <w:gridCol w:w="211"/>
        <w:gridCol w:w="616"/>
        <w:gridCol w:w="109"/>
        <w:gridCol w:w="109"/>
        <w:gridCol w:w="109"/>
        <w:gridCol w:w="109"/>
        <w:gridCol w:w="213"/>
        <w:gridCol w:w="471"/>
        <w:gridCol w:w="110"/>
        <w:gridCol w:w="109"/>
        <w:gridCol w:w="109"/>
        <w:gridCol w:w="109"/>
        <w:gridCol w:w="211"/>
        <w:gridCol w:w="361"/>
        <w:gridCol w:w="109"/>
        <w:gridCol w:w="109"/>
        <w:gridCol w:w="109"/>
        <w:gridCol w:w="109"/>
        <w:gridCol w:w="213"/>
        <w:gridCol w:w="471"/>
        <w:gridCol w:w="110"/>
        <w:gridCol w:w="109"/>
        <w:gridCol w:w="109"/>
        <w:gridCol w:w="109"/>
        <w:gridCol w:w="211"/>
        <w:gridCol w:w="61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Vacation Ownership Notes Receivable as of June 30, 2026</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600 - 699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 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 Score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 Ownership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Hyatt Vacation Ownership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83" w:type="dxa"/>
        <w:jc w:val="center"/>
        <w:tblInd w:w="0" w:type="dxa"/>
        <w:tblLayout w:type="fixed"/>
        <w:tblCellMar>
          <w:top w:w="28" w:type="dxa"/>
          <w:left w:w="28" w:type="dxa"/>
          <w:bottom w:w="28" w:type="dxa"/>
          <w:right w:w="28" w:type="dxa"/>
        </w:tblCellMar>
      </w:tblPr>
      <w:tblGrid>
        <w:gridCol w:w="902"/>
        <w:gridCol w:w="792"/>
        <w:gridCol w:w="795"/>
        <w:gridCol w:w="211"/>
        <w:gridCol w:w="616"/>
        <w:gridCol w:w="109"/>
        <w:gridCol w:w="109"/>
        <w:gridCol w:w="109"/>
        <w:gridCol w:w="109"/>
        <w:gridCol w:w="213"/>
        <w:gridCol w:w="471"/>
        <w:gridCol w:w="110"/>
        <w:gridCol w:w="109"/>
        <w:gridCol w:w="109"/>
        <w:gridCol w:w="109"/>
        <w:gridCol w:w="211"/>
        <w:gridCol w:w="361"/>
        <w:gridCol w:w="109"/>
        <w:gridCol w:w="109"/>
        <w:gridCol w:w="109"/>
        <w:gridCol w:w="109"/>
        <w:gridCol w:w="213"/>
        <w:gridCol w:w="471"/>
        <w:gridCol w:w="110"/>
        <w:gridCol w:w="109"/>
        <w:gridCol w:w="109"/>
        <w:gridCol w:w="109"/>
        <w:gridCol w:w="211"/>
        <w:gridCol w:w="61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Vacation Ownership Notes Receivable as of December 31, 2025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600 - 699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 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 Score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 Ownership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Hyatt Vacation Ownership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origination year of our vacation ownership notes receivable, before reserves, by brand and borrower FICO score at origination as of June 30, 2026, and gross write-offs by brand for the first half of 2026.</w:t>
      </w:r>
    </w:p>
    <w:tbl>
      <w:tblPr>
        <w:tblW w:w="8233" w:type="dxa"/>
        <w:jc w:val="center"/>
        <w:tblInd w:w="0" w:type="dxa"/>
        <w:tblLayout w:type="fixed"/>
        <w:tblCellMar>
          <w:top w:w="28" w:type="dxa"/>
          <w:left w:w="28" w:type="dxa"/>
          <w:bottom w:w="28" w:type="dxa"/>
          <w:right w:w="28" w:type="dxa"/>
        </w:tblCellMar>
      </w:tblPr>
      <w:tblGrid>
        <w:gridCol w:w="500"/>
        <w:gridCol w:w="439"/>
        <w:gridCol w:w="44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4"/>
        <w:gridCol w:w="649"/>
        <w:gridCol w:w="151"/>
        <w:gridCol w:w="109"/>
        <w:gridCol w:w="109"/>
        <w:gridCol w:w="109"/>
        <w:gridCol w:w="211"/>
        <w:gridCol w:w="61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Vacation Ownership Notes Receivable - Marriott Vacation Ownership</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 &amp;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600 - 699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&lt; 600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Score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write-offs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09" w:type="dxa"/>
        <w:jc w:val="center"/>
        <w:tblInd w:w="0" w:type="dxa"/>
        <w:tblLayout w:type="fixed"/>
        <w:tblCellMar>
          <w:top w:w="28" w:type="dxa"/>
          <w:left w:w="28" w:type="dxa"/>
          <w:bottom w:w="28" w:type="dxa"/>
          <w:right w:w="28" w:type="dxa"/>
        </w:tblCellMar>
      </w:tblPr>
      <w:tblGrid>
        <w:gridCol w:w="500"/>
        <w:gridCol w:w="439"/>
        <w:gridCol w:w="440"/>
        <w:gridCol w:w="211"/>
        <w:gridCol w:w="406"/>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339"/>
        <w:gridCol w:w="580"/>
        <w:gridCol w:w="176"/>
        <w:gridCol w:w="109"/>
        <w:gridCol w:w="109"/>
        <w:gridCol w:w="109"/>
        <w:gridCol w:w="211"/>
        <w:gridCol w:w="4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Vacation Ownership Notes Receivable - Hyatt Vacation Ownership</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 &amp;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600 - 699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&lt; 600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Score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write-offs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reflect interest income associated with vacation ownership notes receivable on our Income Statements in the Financing revenues caption. The following table summarizes interest income associated with vacation ownership notes receivable.</w:t>
      </w:r>
    </w:p>
    <w:tbl>
      <w:tblPr>
        <w:tblW w:w="10205" w:type="dxa"/>
        <w:jc w:val="center"/>
        <w:tblInd w:w="0" w:type="dxa"/>
        <w:tblLayout w:type="fixed"/>
        <w:tblCellMar>
          <w:top w:w="28" w:type="dxa"/>
          <w:left w:w="28" w:type="dxa"/>
          <w:bottom w:w="28" w:type="dxa"/>
          <w:right w:w="28" w:type="dxa"/>
        </w:tblCellMar>
      </w:tblPr>
      <w:tblGrid>
        <w:gridCol w:w="1859"/>
        <w:gridCol w:w="1550"/>
        <w:gridCol w:w="1562"/>
        <w:gridCol w:w="321"/>
        <w:gridCol w:w="550"/>
        <w:gridCol w:w="165"/>
        <w:gridCol w:w="112"/>
        <w:gridCol w:w="112"/>
        <w:gridCol w:w="112"/>
        <w:gridCol w:w="321"/>
        <w:gridCol w:w="550"/>
        <w:gridCol w:w="165"/>
        <w:gridCol w:w="109"/>
        <w:gridCol w:w="109"/>
        <w:gridCol w:w="109"/>
        <w:gridCol w:w="285"/>
        <w:gridCol w:w="630"/>
        <w:gridCol w:w="147"/>
        <w:gridCol w:w="109"/>
        <w:gridCol w:w="109"/>
        <w:gridCol w:w="109"/>
        <w:gridCol w:w="280"/>
        <w:gridCol w:w="621"/>
        <w:gridCol w:w="209"/>
      </w:tblGrid>
      <w:tr>
        <w:trPr/>
        <w:tc>
          <w:tcPr>
            <w:tcW w:w="185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 securitized vacation ownership notes receivable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 non-securitized vacation ownership notes receivable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associated with vacation ownership notes receivable</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Vacation Ownership Notes Receivable Reserve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 during the first half of 2026.</w:t>
      </w:r>
    </w:p>
    <w:tbl>
      <w:tblPr>
        <w:tblW w:w="10205" w:type="dxa"/>
        <w:jc w:val="center"/>
        <w:tblInd w:w="0" w:type="dxa"/>
        <w:tblLayout w:type="fixed"/>
        <w:tblCellMar>
          <w:top w:w="28" w:type="dxa"/>
          <w:left w:w="28" w:type="dxa"/>
          <w:bottom w:w="28" w:type="dxa"/>
          <w:right w:w="28" w:type="dxa"/>
        </w:tblCellMar>
      </w:tblPr>
      <w:tblGrid>
        <w:gridCol w:w="1872"/>
        <w:gridCol w:w="1363"/>
        <w:gridCol w:w="1297"/>
        <w:gridCol w:w="480"/>
        <w:gridCol w:w="1063"/>
        <w:gridCol w:w="249"/>
        <w:gridCol w:w="180"/>
        <w:gridCol w:w="180"/>
        <w:gridCol w:w="180"/>
        <w:gridCol w:w="423"/>
        <w:gridCol w:w="812"/>
        <w:gridCol w:w="180"/>
        <w:gridCol w:w="180"/>
        <w:gridCol w:w="180"/>
        <w:gridCol w:w="180"/>
        <w:gridCol w:w="349"/>
        <w:gridCol w:w="773"/>
        <w:gridCol w:w="264"/>
      </w:tblGrid>
      <w:tr>
        <w:trPr/>
        <w:tc>
          <w:tcPr>
            <w:tcW w:w="187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 Reserve</w:t>
            </w:r>
          </w:p>
        </w:tc>
      </w:tr>
      <w:tr>
        <w:trPr/>
        <w:tc>
          <w:tcPr>
            <w:tcW w:w="4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vacation ownership notes receivable reserve</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Clean-up call</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Defaulted vacation ownership notes receivable repurchase activity</w:t>
            </w:r>
            <w:r>
              <w:rPr>
                <w:rFonts w:ascii="Times New Roman;serif" w:hAnsi="Times New Roman;serif"/>
                <w:b w:val="false"/>
                <w:color w:val="000000"/>
                <w:sz w:val="12"/>
              </w:rPr>
              <w:t>(1)</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our acquired vacation ownership notes receivable, the remaining reserve was $6 million as of June 30, 2026, and we recorded $3 million of write-offs for the six months ended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Vacation Ownership Notes Receivable on Non-Accrual Status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both non-securitized and securitized vacation ownership notes receivable, we estimated the average remaining default rates of 13.05% as of June 30, 2026 and 13.51% as of December 31, 2025. A 0.5 percentage point increase in the estimated default rate would have resulted in an increase in the related vacation ownership notes receivable reserve of $15 million as of both June 30, 2026 and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recorded investment in non-accrual vacation ownership notes receivable, which are vacation ownership notes receivable that are 90 days or more past due.</w:t>
      </w:r>
    </w:p>
    <w:tbl>
      <w:tblPr>
        <w:tblW w:w="10205" w:type="dxa"/>
        <w:jc w:val="center"/>
        <w:tblInd w:w="0" w:type="dxa"/>
        <w:tblLayout w:type="fixed"/>
        <w:tblCellMar>
          <w:top w:w="28" w:type="dxa"/>
          <w:left w:w="28" w:type="dxa"/>
          <w:bottom w:w="28" w:type="dxa"/>
          <w:right w:w="28" w:type="dxa"/>
        </w:tblCellMar>
      </w:tblPr>
      <w:tblGrid>
        <w:gridCol w:w="2340"/>
        <w:gridCol w:w="2026"/>
        <w:gridCol w:w="2026"/>
        <w:gridCol w:w="358"/>
        <w:gridCol w:w="792"/>
        <w:gridCol w:w="186"/>
        <w:gridCol w:w="112"/>
        <w:gridCol w:w="112"/>
        <w:gridCol w:w="112"/>
        <w:gridCol w:w="293"/>
        <w:gridCol w:w="501"/>
        <w:gridCol w:w="152"/>
        <w:gridCol w:w="112"/>
        <w:gridCol w:w="112"/>
        <w:gridCol w:w="112"/>
        <w:gridCol w:w="217"/>
        <w:gridCol w:w="480"/>
        <w:gridCol w:w="162"/>
      </w:tblGrid>
      <w:tr>
        <w:trPr/>
        <w:tc>
          <w:tcPr>
            <w:tcW w:w="234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 Notes Receivable</w:t>
            </w:r>
          </w:p>
        </w:tc>
      </w:tr>
      <w:tr>
        <w:trPr/>
        <w:tc>
          <w:tcPr>
            <w:tcW w:w="6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vacation ownership notes receivable on non-accrual status at June 30, 2026</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vacation ownership notes receivable on non-accrual status at December 31, 2025</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aging of the recorded investment in principal, before reserves, in vacation ownership notes receivable as of June 30, 2026 and December 31, 2025.</w:t>
      </w:r>
    </w:p>
    <w:tbl>
      <w:tblPr>
        <w:tblW w:w="10205" w:type="dxa"/>
        <w:jc w:val="center"/>
        <w:tblInd w:w="0" w:type="dxa"/>
        <w:tblLayout w:type="fixed"/>
        <w:tblCellMar>
          <w:top w:w="28" w:type="dxa"/>
          <w:left w:w="28" w:type="dxa"/>
          <w:bottom w:w="28" w:type="dxa"/>
          <w:right w:w="28" w:type="dxa"/>
        </w:tblCellMar>
      </w:tblPr>
      <w:tblGrid>
        <w:gridCol w:w="860"/>
        <w:gridCol w:w="613"/>
        <w:gridCol w:w="614"/>
        <w:gridCol w:w="358"/>
        <w:gridCol w:w="792"/>
        <w:gridCol w:w="186"/>
        <w:gridCol w:w="109"/>
        <w:gridCol w:w="109"/>
        <w:gridCol w:w="109"/>
        <w:gridCol w:w="213"/>
        <w:gridCol w:w="622"/>
        <w:gridCol w:w="111"/>
        <w:gridCol w:w="109"/>
        <w:gridCol w:w="109"/>
        <w:gridCol w:w="109"/>
        <w:gridCol w:w="211"/>
        <w:gridCol w:w="616"/>
        <w:gridCol w:w="109"/>
        <w:gridCol w:w="109"/>
        <w:gridCol w:w="109"/>
        <w:gridCol w:w="109"/>
        <w:gridCol w:w="358"/>
        <w:gridCol w:w="792"/>
        <w:gridCol w:w="186"/>
        <w:gridCol w:w="109"/>
        <w:gridCol w:w="109"/>
        <w:gridCol w:w="109"/>
        <w:gridCol w:w="213"/>
        <w:gridCol w:w="622"/>
        <w:gridCol w:w="111"/>
        <w:gridCol w:w="109"/>
        <w:gridCol w:w="109"/>
        <w:gridCol w:w="109"/>
        <w:gridCol w:w="211"/>
        <w:gridCol w:w="616"/>
        <w:gridCol w:w="156"/>
      </w:tblGrid>
      <w:tr>
        <w:trPr/>
        <w:tc>
          <w:tcPr>
            <w:tcW w:w="8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6782" w:type="dxa"/>
            <w:gridSpan w:val="30"/>
            <w:tcBorders/>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90 days past due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 days past due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120 days past due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past due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vacation ownership notes receivable</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3027" w:type="dxa"/>
        <w:jc w:val="left"/>
        <w:tblInd w:w="0" w:type="dxa"/>
        <w:tblLayout w:type="fixed"/>
        <w:tblCellMar>
          <w:top w:w="28" w:type="dxa"/>
          <w:left w:w="28" w:type="dxa"/>
          <w:bottom w:w="28" w:type="dxa"/>
          <w:right w:w="28" w:type="dxa"/>
        </w:tblCellMar>
      </w:tblPr>
      <w:tblGrid>
        <w:gridCol w:w="124"/>
        <w:gridCol w:w="109"/>
        <w:gridCol w:w="109"/>
        <w:gridCol w:w="786"/>
        <w:gridCol w:w="786"/>
        <w:gridCol w:w="11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7. </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INSTRUMENTS</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 </w:t>
      </w:r>
    </w:p>
    <w:tbl>
      <w:tblPr>
        <w:tblW w:w="10005" w:type="dxa"/>
        <w:jc w:val="center"/>
        <w:tblInd w:w="0" w:type="dxa"/>
        <w:tblLayout w:type="fixed"/>
        <w:tblCellMar>
          <w:top w:w="28" w:type="dxa"/>
          <w:left w:w="28" w:type="dxa"/>
          <w:bottom w:w="28" w:type="dxa"/>
          <w:right w:w="28" w:type="dxa"/>
        </w:tblCellMar>
      </w:tblPr>
      <w:tblGrid>
        <w:gridCol w:w="1435"/>
        <w:gridCol w:w="1260"/>
        <w:gridCol w:w="1264"/>
        <w:gridCol w:w="313"/>
        <w:gridCol w:w="1025"/>
        <w:gridCol w:w="161"/>
        <w:gridCol w:w="109"/>
        <w:gridCol w:w="109"/>
        <w:gridCol w:w="109"/>
        <w:gridCol w:w="211"/>
        <w:gridCol w:w="691"/>
        <w:gridCol w:w="109"/>
        <w:gridCol w:w="109"/>
        <w:gridCol w:w="109"/>
        <w:gridCol w:w="109"/>
        <w:gridCol w:w="313"/>
        <w:gridCol w:w="1025"/>
        <w:gridCol w:w="161"/>
        <w:gridCol w:w="109"/>
        <w:gridCol w:w="109"/>
        <w:gridCol w:w="109"/>
        <w:gridCol w:w="211"/>
        <w:gridCol w:w="69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for financed VOI sales,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net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Corporate Credit Facility,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Vacation Ownership Notes Receivable </w:t>
      </w:r>
    </w:p>
    <w:tbl>
      <w:tblPr>
        <w:tblW w:w="8415" w:type="dxa"/>
        <w:jc w:val="center"/>
        <w:tblInd w:w="0" w:type="dxa"/>
        <w:tblLayout w:type="fixed"/>
        <w:tblCellMar>
          <w:top w:w="28" w:type="dxa"/>
          <w:left w:w="28" w:type="dxa"/>
          <w:bottom w:w="28" w:type="dxa"/>
          <w:right w:w="28" w:type="dxa"/>
        </w:tblCellMar>
      </w:tblPr>
      <w:tblGrid>
        <w:gridCol w:w="961"/>
        <w:gridCol w:w="845"/>
        <w:gridCol w:w="713"/>
        <w:gridCol w:w="338"/>
        <w:gridCol w:w="987"/>
        <w:gridCol w:w="174"/>
        <w:gridCol w:w="109"/>
        <w:gridCol w:w="109"/>
        <w:gridCol w:w="109"/>
        <w:gridCol w:w="211"/>
        <w:gridCol w:w="616"/>
        <w:gridCol w:w="109"/>
        <w:gridCol w:w="109"/>
        <w:gridCol w:w="109"/>
        <w:gridCol w:w="109"/>
        <w:gridCol w:w="338"/>
        <w:gridCol w:w="987"/>
        <w:gridCol w:w="174"/>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Eligible for securitization</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eligible for securitization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Non-securitized</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Contracts Receivable for Financed VOI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include $188 million and $168 million of company owned insurance policies (the “COLI policies”) acquired on the lives of certain participants in the Marriott Vacations Worldwide Deferred Compensation Plan (the “Deferred Compensation Plan”) at June 30, 2026 and December 31, 2025, respectively, that are held in a rabbi trust. The rabbi trust is considered a VIE, which we consolidate because we are the primary beneficiary as we direct the activities of the trust and are the beneficiary of the trust. The carrying value of the COLI policies is equal to their cash surrender value (Level 2 inputs).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Securitized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Revolving Corporate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2028 Notes, 2029 Notes, and 2033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2637" w:type="dxa"/>
        <w:jc w:val="left"/>
        <w:tblInd w:w="0" w:type="dxa"/>
        <w:tblLayout w:type="fixed"/>
        <w:tblCellMar>
          <w:top w:w="28" w:type="dxa"/>
          <w:left w:w="28" w:type="dxa"/>
          <w:bottom w:w="28" w:type="dxa"/>
          <w:right w:w="28" w:type="dxa"/>
        </w:tblCellMar>
      </w:tblPr>
      <w:tblGrid>
        <w:gridCol w:w="124"/>
        <w:gridCol w:w="109"/>
        <w:gridCol w:w="109"/>
        <w:gridCol w:w="671"/>
        <w:gridCol w:w="671"/>
        <w:gridCol w:w="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8. </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common stockholders is calculated by dividing net income attributable to common stockholders by the weighted average number of shares of common stock outstanding during the reporting period. Diluted earnings per share attributable to common stockholders is calculated to give effect to all potentially dilutive common shares that were outstanding during the reporting period. The dilutive effect of outstanding equity-based compensation awards is reflected in diluted earnings per share applicable to common stockholders by application of the treasury stock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illustrate the reconciliation of the earnings or loss and number of shares used in our calculation of basic and diluted earnings or loss per share attributable to common stockholders.</w:t>
      </w:r>
    </w:p>
    <w:tbl>
      <w:tblPr>
        <w:tblW w:w="9722" w:type="dxa"/>
        <w:jc w:val="center"/>
        <w:tblInd w:w="0" w:type="dxa"/>
        <w:tblLayout w:type="fixed"/>
        <w:tblCellMar>
          <w:top w:w="28" w:type="dxa"/>
          <w:left w:w="28" w:type="dxa"/>
          <w:bottom w:w="28" w:type="dxa"/>
          <w:right w:w="28" w:type="dxa"/>
        </w:tblCellMar>
      </w:tblPr>
      <w:tblGrid>
        <w:gridCol w:w="1477"/>
        <w:gridCol w:w="1295"/>
        <w:gridCol w:w="1307"/>
        <w:gridCol w:w="293"/>
        <w:gridCol w:w="710"/>
        <w:gridCol w:w="15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147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for basic earnings per share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84"/>
        <w:gridCol w:w="1496"/>
        <w:gridCol w:w="1510"/>
        <w:gridCol w:w="278"/>
        <w:gridCol w:w="674"/>
        <w:gridCol w:w="143"/>
        <w:gridCol w:w="109"/>
        <w:gridCol w:w="109"/>
        <w:gridCol w:w="109"/>
        <w:gridCol w:w="278"/>
        <w:gridCol w:w="674"/>
        <w:gridCol w:w="143"/>
        <w:gridCol w:w="109"/>
        <w:gridCol w:w="109"/>
        <w:gridCol w:w="109"/>
        <w:gridCol w:w="278"/>
        <w:gridCol w:w="674"/>
        <w:gridCol w:w="143"/>
        <w:gridCol w:w="109"/>
        <w:gridCol w:w="109"/>
        <w:gridCol w:w="109"/>
        <w:gridCol w:w="275"/>
        <w:gridCol w:w="666"/>
        <w:gridCol w:w="208"/>
      </w:tblGrid>
      <w:tr>
        <w:trPr/>
        <w:tc>
          <w:tcPr>
            <w:tcW w:w="178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back of interest expense related to convertible notes, net of tax</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Numerator used to calculate diluted earnings per share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for basic earnings per share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shares outstanding</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for diluted earnings per share</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computations of diluted earnings per share attributable to common stockholders above exclude approximately 873,000 and 645,000 shares of common stock, the maximum number of shares issuable as of June 30, 2026 and June 30, 2025, respectively, upon the vesting of certain performance-based and market-based awards, because the performance or market conditions required to be met for the shares subject to such awards to vest were not achieved by the end of the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applicable accounting guidance for calculating earnings per share, for the second quarter of 2026, we excluded from our calculation of diluted earnings per share 635,060 shares underlying stock appreciation rights (“SARs”) that may settle in shares of common stock because the exercise prices of such SARs, which ranged from $93.73 to $173.88, were greater than the average market price of our common stock for the applicable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2026, we excluded from our calculation of diluted earnings per share 763,659 shares underlying SARs that may settle in shares of common stock because the exercise prices of such SARs, which ranged from $71.17 to $173.88, were greater than the average market price of our common stock for the applicable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and first half of 2025, we excluded from our calculation of diluted earnings per share 788,607 shares underlying SARs that may settle in shares of common stock because the exercise prices of such SARs, which ranged from $71.17 to $173.88, were greater than the average market price of our common stock for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1663" w:type="dxa"/>
        <w:jc w:val="left"/>
        <w:tblInd w:w="0" w:type="dxa"/>
        <w:tblLayout w:type="fixed"/>
        <w:tblCellMar>
          <w:top w:w="28" w:type="dxa"/>
          <w:left w:w="28" w:type="dxa"/>
          <w:bottom w:w="28" w:type="dxa"/>
          <w:right w:w="28" w:type="dxa"/>
        </w:tblCellMar>
      </w:tblPr>
      <w:tblGrid>
        <w:gridCol w:w="124"/>
        <w:gridCol w:w="109"/>
        <w:gridCol w:w="109"/>
        <w:gridCol w:w="387"/>
        <w:gridCol w:w="387"/>
        <w:gridCol w:w="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9.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our inventory balances:</w:t>
      </w:r>
    </w:p>
    <w:tbl>
      <w:tblPr>
        <w:tblW w:w="10205" w:type="dxa"/>
        <w:jc w:val="center"/>
        <w:tblInd w:w="0" w:type="dxa"/>
        <w:tblLayout w:type="fixed"/>
        <w:tblCellMar>
          <w:top w:w="28" w:type="dxa"/>
          <w:left w:w="28" w:type="dxa"/>
          <w:bottom w:w="28" w:type="dxa"/>
          <w:right w:w="28" w:type="dxa"/>
        </w:tblCellMar>
      </w:tblPr>
      <w:tblGrid>
        <w:gridCol w:w="1326"/>
        <w:gridCol w:w="1152"/>
        <w:gridCol w:w="1097"/>
        <w:gridCol w:w="696"/>
        <w:gridCol w:w="1540"/>
        <w:gridCol w:w="359"/>
        <w:gridCol w:w="227"/>
        <w:gridCol w:w="227"/>
        <w:gridCol w:w="227"/>
        <w:gridCol w:w="847"/>
        <w:gridCol w:w="1876"/>
        <w:gridCol w:w="631"/>
      </w:tblGrid>
      <w:tr>
        <w:trPr/>
        <w:tc>
          <w:tcPr>
            <w:tcW w:w="132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35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35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 estate inventory</w:t>
            </w:r>
            <w:r>
              <w:rPr>
                <w:rFonts w:ascii="Times New Roman;serif" w:hAnsi="Times New Roman;serif"/>
                <w:b w:val="false"/>
                <w:color w:val="000000"/>
                <w:sz w:val="10"/>
              </w:rPr>
              <w:t>(1)</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completed inventory that is registered for sale as VOIs and vacation ownership inventory expected to be reacquired pursuant to estimated future defaults on originated vacation ownership notes receivable.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cost true-up activity relating to vacation ownership products increased carrying values of inventory by $17 million during the first half of 2026 and $28 million during the first half of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at June 30, 2026 and December 31, 2025, we had $229 million and $224 million, respectively, of completed vacation ownership units which are classified as a component of Property and equipment, net until the time at which they are available and legally registered for sale as vacation ownership products.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had deposits on future purchases of inventory of $34 million at June 30, 2026, of which $25 million was included in Other assets and $9 million was included in Accounts and contracts receivable, net on our Balance Sheet, and $31 million at December 31, 2025, of which $26 million was included in Other assets and $5 million was included in Accounts and contracts receivable, net on our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45" w:type="dxa"/>
        <w:jc w:val="left"/>
        <w:tblInd w:w="0" w:type="dxa"/>
        <w:tblLayout w:type="fixed"/>
        <w:tblCellMar>
          <w:top w:w="28" w:type="dxa"/>
          <w:left w:w="28" w:type="dxa"/>
          <w:bottom w:w="28" w:type="dxa"/>
          <w:right w:w="28" w:type="dxa"/>
        </w:tblCellMar>
      </w:tblPr>
      <w:tblGrid>
        <w:gridCol w:w="152"/>
        <w:gridCol w:w="134"/>
        <w:gridCol w:w="134"/>
        <w:gridCol w:w="1120"/>
        <w:gridCol w:w="1120"/>
        <w:gridCol w:w="158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10.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CONTINGENCIES AND COMMITMENTS</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Commitments and Letters of Credit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the following commitments outstanding: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various agreements for cloud computing and outsourcing of development, maintenance and support related to information technology that we use in the normal course of business. We expect aggregate obligations under these contracts of $153 million, of which we expect $53 million, $45 million, $27 million, $11 million, $11 million and $6 million will be paid in the remainder of 2026, 2027, 2028, 2029, 2030, and thereafter, respectively.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a commitment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of $122 million in 2027.</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2027, and we expect to make remaining payments with respect to these units as follows: $4 million in 2027, and $33 million in 2028.</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recent sale of an entity that owned and operated a hotel in Cancun, we entered into a commitment to purchase vacation ownership units located in Puerto Vallarta, Mexico, contingent upon completion of construction to agreed-upon standards within specified timeframes, for use in our Vacation Ownership segment. Presuming all construction milestones are achieved, we will acquire 64 vacation ownership units for $46 million in 2028. See Footnote 3 “Acquisitions and Dispositions” for further details on our sale of and entity that owned and operated a hotel in Cancun in the first quarter of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a remaining commitment of $11 million to purchase 32 vacation ownership units located in Bali, Indonesia, contingent upon completion of construction to agreed-upon standards within specified timeframes, for use in our Vacation Ownership segment. Subsequent to the end of the second quarter of 2026, we completed the acquisition of these vacation ownership units and made the remaining payments of $11 million.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have a commitment to acquire real estate in Waikiki, Hawaii for use in our Vacation Ownership segment via our involvement with a VIE. Refer to Footnote 15 “Variable Interest Entities” for additional information and our activities relating to the VIE involved in this commitment.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$5 million of letters of credit outstanding under our Revolving Corporate Credit Facility (as defined in Footnote 12 “Debt”), of which $4 million were related to and in lieu of reserves required for certain of our outstanding securitization transactions. In addition, as of June 30, 2026, we had $34 million in letters of credit outstanding that were related to and in lieu of reserves required for certain other outstanding securitization transactions, which were not issued pursuant to, nor do they impact our borrowing capacity under, the Revolving 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Surety bonds issued as of June 30, 2026 totaled $140 million, the majority of which were requested by federal, state or local governments in connection with our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June 30, 2026, our expected commitment for the remainder of 2026 is $13 million, which will ultimately be recorded as a component of rental expense on our income statement.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Loss Contingencies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accrued for certain pending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90" w:type="dxa"/>
        <w:jc w:val="left"/>
        <w:tblInd w:w="0" w:type="dxa"/>
        <w:tblLayout w:type="fixed"/>
        <w:tblCellMar>
          <w:top w:w="28" w:type="dxa"/>
          <w:left w:w="28" w:type="dxa"/>
          <w:bottom w:w="28" w:type="dxa"/>
          <w:right w:w="28" w:type="dxa"/>
        </w:tblCellMar>
      </w:tblPr>
      <w:tblGrid>
        <w:gridCol w:w="152"/>
        <w:gridCol w:w="134"/>
        <w:gridCol w:w="134"/>
        <w:gridCol w:w="606"/>
        <w:gridCol w:w="606"/>
        <w:gridCol w:w="858"/>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11.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SECURITIZED DEBT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securitized debt, net of unamortized debt discount and issuance costs.</w:t>
      </w:r>
    </w:p>
    <w:tbl>
      <w:tblPr>
        <w:tblW w:w="10205" w:type="dxa"/>
        <w:jc w:val="center"/>
        <w:tblInd w:w="0" w:type="dxa"/>
        <w:tblLayout w:type="fixed"/>
        <w:tblCellMar>
          <w:top w:w="28" w:type="dxa"/>
          <w:left w:w="28" w:type="dxa"/>
          <w:bottom w:w="28" w:type="dxa"/>
          <w:right w:w="28" w:type="dxa"/>
        </w:tblCellMar>
      </w:tblPr>
      <w:tblGrid>
        <w:gridCol w:w="1019"/>
        <w:gridCol w:w="896"/>
        <w:gridCol w:w="896"/>
        <w:gridCol w:w="896"/>
        <w:gridCol w:w="896"/>
        <w:gridCol w:w="924"/>
        <w:gridCol w:w="420"/>
        <w:gridCol w:w="1231"/>
        <w:gridCol w:w="216"/>
        <w:gridCol w:w="166"/>
        <w:gridCol w:w="166"/>
        <w:gridCol w:w="166"/>
        <w:gridCol w:w="495"/>
        <w:gridCol w:w="1450"/>
        <w:gridCol w:w="368"/>
      </w:tblGrid>
      <w:tr>
        <w:trPr/>
        <w:tc>
          <w:tcPr>
            <w:tcW w:w="101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552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Vacation ownership notes receivable securitizations, gross</w:t>
            </w:r>
            <w:r>
              <w:rPr>
                <w:rFonts w:ascii="Times New Roman;serif" w:hAnsi="Times New Roman;serif"/>
                <w:b w:val="false"/>
                <w:color w:val="000000"/>
                <w:sz w:val="12"/>
              </w:rPr>
              <w:t>(1)</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Warehouse Credit Facility, gross</w:t>
            </w:r>
            <w:r>
              <w:rPr>
                <w:rFonts w:ascii="Times New Roman;serif" w:hAnsi="Times New Roman;serif"/>
                <w:b w:val="false"/>
                <w:color w:val="000000"/>
                <w:sz w:val="13"/>
              </w:rPr>
              <w:t>(2)</w:t>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costs</w:t>
            </w:r>
            <w:r>
              <w:rPr>
                <w:rFonts w:ascii="Times New Roman;serif" w:hAnsi="Times New Roman;serif"/>
                <w:b w:val="false"/>
                <w:color w:val="000000"/>
                <w:sz w:val="13"/>
              </w:rPr>
              <w:t>(3)</w:t>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Interest rates as of June 30, 2026 range from 1.5% to 6.6%, with a weighted average interest rate of 4.8%.</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Effective interest rate as of June 30, 2026 was 4.8%.</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Excludes $2 million of unamortized debt issuance costs classified as a component of Other Assets on our Balance Sheet as of December 31, 2025, as no cash borrowings were outstanding under the Warehouse Credit Facility at that time.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of our securitized debt is non-recourse. See Footnote 15 “Variable Interest Entities” for a discussion of the collateral for the non-recourse debt associated with our securitized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anticipated future principal payments for our securitized debt as of June 30, 2026.</w:t>
      </w:r>
    </w:p>
    <w:tbl>
      <w:tblPr>
        <w:tblW w:w="7880" w:type="dxa"/>
        <w:jc w:val="center"/>
        <w:tblInd w:w="0" w:type="dxa"/>
        <w:tblLayout w:type="fixed"/>
        <w:tblCellMar>
          <w:top w:w="28" w:type="dxa"/>
          <w:left w:w="28" w:type="dxa"/>
          <w:bottom w:w="28" w:type="dxa"/>
          <w:right w:w="28" w:type="dxa"/>
        </w:tblCellMar>
      </w:tblPr>
      <w:tblGrid>
        <w:gridCol w:w="580"/>
        <w:gridCol w:w="509"/>
        <w:gridCol w:w="510"/>
        <w:gridCol w:w="635"/>
        <w:gridCol w:w="1858"/>
        <w:gridCol w:w="330"/>
        <w:gridCol w:w="119"/>
        <w:gridCol w:w="119"/>
        <w:gridCol w:w="119"/>
        <w:gridCol w:w="446"/>
        <w:gridCol w:w="987"/>
        <w:gridCol w:w="232"/>
        <w:gridCol w:w="119"/>
        <w:gridCol w:w="119"/>
        <w:gridCol w:w="119"/>
        <w:gridCol w:w="232"/>
        <w:gridCol w:w="678"/>
        <w:gridCol w:w="169"/>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br/>
              <w:t>Notes Receivable Securitizations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Warehouse Credit</w:t>
            </w:r>
          </w:p>
          <w:p>
            <w:pPr>
              <w:pStyle w:val="TableContents"/>
              <w:bidi w:val="0"/>
              <w:spacing w:lineRule="auto" w:line="240" w:before="0" w:after="0"/>
              <w:jc w:val="center"/>
              <w:rPr/>
            </w:pPr>
            <w:r>
              <w:rPr>
                <w:rFonts w:ascii="Times New Roman;serif" w:hAnsi="Times New Roman;serif"/>
                <w:b/>
                <w:color w:val="000000"/>
                <w:sz w:val="18"/>
              </w:rPr>
              <w:t>Facility</w:t>
            </w:r>
            <w:r>
              <w:rPr>
                <w:rFonts w:ascii="Times New Roman;serif" w:hAnsi="Times New Roman;serif"/>
                <w:b/>
                <w:color w:val="000000"/>
                <w:sz w:val="12"/>
              </w:rPr>
              <w:t>(1)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823" w:type="dxa"/>
            <w:gridSpan w:val="3"/>
            <w:vMerge w:val="continue"/>
            <w:tcBorders/>
            <w:tcMar>
              <w:top w:w="0" w:type="dxa"/>
              <w:left w:w="0" w:type="dxa"/>
              <w:bottom w:w="0" w:type="dxa"/>
              <w:right w:w="0" w:type="dxa"/>
            </w:tcMar>
            <w:vAlign w:val="center"/>
          </w:tcPr>
          <w:p>
            <w:pPr>
              <w:pStyle w:val="Normal"/>
              <w:bidi w:val="0"/>
              <w:jc w:val="left"/>
              <w:rPr/>
            </w:pPr>
            <w:r>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continue"/>
            <w:tcBorders/>
            <w:tcMar>
              <w:top w:w="0" w:type="dxa"/>
              <w:left w:w="0" w:type="dxa"/>
              <w:bottom w:w="0" w:type="dxa"/>
              <w:right w:w="0" w:type="dxa"/>
            </w:tcMar>
            <w:vAlign w:val="center"/>
          </w:tcPr>
          <w:p>
            <w:pPr>
              <w:pStyle w:val="Normal"/>
              <w:bidi w:val="0"/>
              <w:jc w:val="left"/>
              <w:rPr/>
            </w:pPr>
            <w:r>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Payment Year</w:t>
            </w:r>
          </w:p>
        </w:tc>
        <w:tc>
          <w:tcPr>
            <w:tcW w:w="2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80"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0" w:type="dxa"/>
            <w:gridSpan w:val="18"/>
            <w:tcBorders/>
            <w:tcMar>
              <w:top w:w="0" w:type="dxa"/>
              <w:left w:w="0" w:type="dxa"/>
              <w:bottom w:w="0" w:type="dxa"/>
              <w:right w:w="0" w:type="dxa"/>
            </w:tcMar>
            <w:vAlign w:val="center"/>
          </w:tcPr>
          <w:p>
            <w:pPr>
              <w:pStyle w:val="TableContents"/>
              <w:bidi w:val="0"/>
              <w:spacing w:lineRule="auto" w:line="240"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Excludes future Warehouse Credit Facility renewals or refinancing through ABS transactions.</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Vacation Ownership Notes Receivable Securitizations</w:t>
      </w:r>
    </w:p>
    <w:p>
      <w:pPr>
        <w:pStyle w:val="TextBody"/>
        <w:bidi w:val="0"/>
        <w:spacing w:lineRule="auto" w:line="288" w:before="120" w:after="283"/>
        <w:jc w:val="left"/>
        <w:rPr/>
      </w:pPr>
      <w:r>
        <w:rPr>
          <w:rFonts w:ascii="Times New Roman;serif" w:hAnsi="Times New Roman;serif"/>
          <w:b w:val="false"/>
          <w:color w:val="000000"/>
          <w:sz w:val="20"/>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2026, and as of June 30, 2026, we had 12 securitized vacation ownership notes receivable pools outstanding, none of which were out of compliance with their respective established parameters.</w:t>
      </w:r>
      <w:r>
        <w:rPr>
          <w:color w:val="EE2724"/>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securitized a pool of $470 million of vacation ownership notes receivable. In connection with the securitization, $460 million in vacation ownership loan backed notes were issued by MVW 2026-1 LLC (the “2026-1 LLC”) in a private placement. Three classes of vacation ownership loan backed notes were issued by the 2026-1 LLC: $277 million of Class A Notes, $97 million of Class B Notes, and $86 million of Class C Notes. The Class A Notes have an interest rate of 4.67%, the Class B Notes have an interest rate of 4.97%, and the Class C Notes have an interest rate of 5.36%, for an overall weighted average interest rate of 4.86%. Proceeds from the transaction, net of fees, were used to repay outstanding credit facility obligations and for other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Warehouse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warehouse credit facility (the “Warehouse Credit Facility”), allows for the securitization of vacation ownership notes receivable on a revolving non-recourse basis, has a borrowing capacity of $500 million and, prior to its July 15, 2026 amendment (the “Warehouse Amendment”), had a facility expiration date of June 11, 2027. The Warehouse Amendment extended the revolving period from June 11, 2027 to June 12, 2028 and made certain other non-material changes. The credit spread for the Warehouse Credit Facility is 110 basis points over the Secured Overnight Financing Rate (“SOFR”).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1111" w:type="dxa"/>
        <w:jc w:val="left"/>
        <w:tblInd w:w="0" w:type="dxa"/>
        <w:tblLayout w:type="fixed"/>
        <w:tblCellMar>
          <w:top w:w="28" w:type="dxa"/>
          <w:left w:w="28" w:type="dxa"/>
          <w:bottom w:w="28" w:type="dxa"/>
          <w:right w:w="28" w:type="dxa"/>
        </w:tblCellMar>
      </w:tblPr>
      <w:tblGrid>
        <w:gridCol w:w="152"/>
        <w:gridCol w:w="134"/>
        <w:gridCol w:w="134"/>
        <w:gridCol w:w="202"/>
        <w:gridCol w:w="202"/>
        <w:gridCol w:w="28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12.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debt balances, net of unamortized debt discount and issuance costs.</w:t>
      </w:r>
    </w:p>
    <w:tbl>
      <w:tblPr>
        <w:tblW w:w="10205" w:type="dxa"/>
        <w:jc w:val="center"/>
        <w:tblInd w:w="0" w:type="dxa"/>
        <w:tblLayout w:type="fixed"/>
        <w:tblCellMar>
          <w:top w:w="28" w:type="dxa"/>
          <w:left w:w="28" w:type="dxa"/>
          <w:bottom w:w="28" w:type="dxa"/>
          <w:right w:w="28" w:type="dxa"/>
        </w:tblCellMar>
      </w:tblPr>
      <w:tblGrid>
        <w:gridCol w:w="511"/>
        <w:gridCol w:w="449"/>
        <w:gridCol w:w="449"/>
        <w:gridCol w:w="1959"/>
        <w:gridCol w:w="1135"/>
        <w:gridCol w:w="1099"/>
        <w:gridCol w:w="414"/>
        <w:gridCol w:w="1212"/>
        <w:gridCol w:w="213"/>
        <w:gridCol w:w="165"/>
        <w:gridCol w:w="165"/>
        <w:gridCol w:w="165"/>
        <w:gridCol w:w="486"/>
        <w:gridCol w:w="1421"/>
        <w:gridCol w:w="362"/>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5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56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Credit Facility</w:t>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w:t>
            </w:r>
            <w:r>
              <w:rPr>
                <w:rFonts w:ascii="Times New Roman;serif" w:hAnsi="Times New Roman;serif"/>
                <w:b w:val="false"/>
                <w:color w:val="000000"/>
                <w:sz w:val="12"/>
              </w:rPr>
              <w:t>(1)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Revolving Corporate Credit Facility</w:t>
            </w:r>
            <w:r>
              <w:rPr>
                <w:rFonts w:ascii="Times New Roman;serif" w:hAnsi="Times New Roman;serif"/>
                <w:b w:val="false"/>
                <w:color w:val="000000"/>
                <w:sz w:val="12"/>
              </w:rPr>
              <w:t>(2)</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costs</w:t>
            </w:r>
            <w:r>
              <w:rPr>
                <w:rFonts w:ascii="Times New Roman;serif" w:hAnsi="Times New Roman;serif"/>
                <w:b w:val="false"/>
                <w:color w:val="000000"/>
                <w:sz w:val="13"/>
              </w:rPr>
              <w:t>(3)</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w:t>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Convertible Notes</w:t>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effective interest rate as of June 30, 2026 was 5.9%.</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effective interest rate as of June 30, 2026 was 5.1%.</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Excludes $4 million of unamortized debt issuance costs classified as a component of Other Assets on our Balance Sheet as of December 31, 2025, as no cash borrowings were outstanding under the Revolving Corporate Credit Facility at that time.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scheduled principal payments for our debt, excluding finance leases, as of June 30, 2026.</w:t>
      </w:r>
    </w:p>
    <w:tbl>
      <w:tblPr>
        <w:tblW w:w="10205" w:type="dxa"/>
        <w:jc w:val="center"/>
        <w:tblInd w:w="0" w:type="dxa"/>
        <w:tblLayout w:type="fixed"/>
        <w:tblCellMar>
          <w:top w:w="28" w:type="dxa"/>
          <w:left w:w="28" w:type="dxa"/>
          <w:bottom w:w="28" w:type="dxa"/>
          <w:right w:w="28" w:type="dxa"/>
        </w:tblCellMar>
      </w:tblPr>
      <w:tblGrid>
        <w:gridCol w:w="797"/>
        <w:gridCol w:w="652"/>
        <w:gridCol w:w="592"/>
        <w:gridCol w:w="416"/>
        <w:gridCol w:w="505"/>
        <w:gridCol w:w="21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8"/>
      </w:tblGrid>
      <w:tr>
        <w:trPr/>
        <w:tc>
          <w:tcPr>
            <w:tcW w:w="7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Year</w:t>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Corporate Credit Facility</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credit facility (the “Corporate Credit Facility”) provides support for our business, including ongoing liquidity and letters of credit, and consists of an $800 million term loan facility (the “Term Loan”) which is scheduled to mature on April 1, 2031, and a revolving credit facility with a borrowing capacity of $800 million (the “Revolving Corporate Credit Facility”), which includes a letter of credit sub-facility of $150 million, that terminates on March 24, 2030.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entered into a $300 million interest rate swap pursuant to which we pay interest at a fixed rate of 3.344% and receive interest at a floating rate (SOFR) through May 2027 to hedge a portion of our interest rate risk on the Term Loan. This interest rate swap has been designated and qualifies as a cash flow hedge of interest rate risk and is recorded in Other Assets on our Balance Sheet as of June 30, 2026 and in Other Liabilities on our Balance Sheet as of December 31, 2025. We characterize payments we make or receive in connection with this derivative instrument as interest expense and a reclassification of accumulated other comprehensive income or loss for presentation purposes.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Our senior notes include: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$350 million aggregate principal amount of 4.750% Senior Unsecured Notes due 2028 issued in the fourth quarter of 2019 with a maturity date of January 15, 2028 (the “2028 Notes”).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$500 million aggregate principal amount of 4.500% Senior Unsecured Notes due 2029 issued in the second quarter of 2021 with a maturity date of June 15, 2029 (the “2029 Notes”).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$575 million aggregate principal amount of 6.500% Senior Unsecured Notes due 2033 issued in the third quarter of 2025 with a maturity date of October 1, 2033 (the “2033 Notes”).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2026 Convertible Notes Maturity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2021, we issued $575 million aggregate principal amount of convertible senior notes (the “2026 Convertible Notes”) that bore interest at a rate of 0.00%. The 2026 Convertible Notes matured at par on January 15, 2026, at which time none of the 2026 Convertible Notes were converted and all were settled in cash, and the deferred financing costs were fully amortized. Amortization of debt issuance costs related to the 2026 Convertible Notes was less than $1 million during the first half of 2026, and $1 million and $2 million for the second quarter and first half of 2025,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2026 Convertible Note Hedges and Warrants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of the 2026 Convertible Notes, we concurrently entered into the following privately-negotiated separate transactions: convertible note hedge transactions with respect to our common stock (the “2026 Convertible Note Hedges”), covering shares of our common stock, and warrant transactions (the “2026 Warrants”), whereby we sold to the counterparties to the 2026 Convertible Note Hedges warrants to acquire shares of our common stock.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2026 Convertible Note Hedges expired upon the maturity of the 2026 Convertible Notes on January 15, 2026, and none were exercised. The 2026 Warrants expired subsequent to the end of the second quarter of 2026, and none were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2027 Convertible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conversion rate of the 2027 Convertible Notes is subject to adjustment for certain events as described in the indenture governing the notes and was subject to adjustment as of June 30, 2026 to 5.3216 shares of common stock per $1,000 principal amount of 2027 Convertible Notes (equivalent to a conversion price of $187.91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June 30, 2026, the effective interest rate was 3.88%.</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related to the 2027 Convertible Notes.</w:t>
      </w:r>
    </w:p>
    <w:tbl>
      <w:tblPr>
        <w:tblW w:w="8704" w:type="dxa"/>
        <w:jc w:val="center"/>
        <w:tblInd w:w="0" w:type="dxa"/>
        <w:tblLayout w:type="fixed"/>
        <w:tblCellMar>
          <w:top w:w="28" w:type="dxa"/>
          <w:left w:w="28" w:type="dxa"/>
          <w:bottom w:w="28" w:type="dxa"/>
          <w:right w:w="28" w:type="dxa"/>
        </w:tblCellMar>
      </w:tblPr>
      <w:tblGrid>
        <w:gridCol w:w="1088"/>
        <w:gridCol w:w="955"/>
        <w:gridCol w:w="957"/>
        <w:gridCol w:w="423"/>
        <w:gridCol w:w="513"/>
        <w:gridCol w:w="218"/>
        <w:gridCol w:w="129"/>
        <w:gridCol w:w="129"/>
        <w:gridCol w:w="129"/>
        <w:gridCol w:w="423"/>
        <w:gridCol w:w="513"/>
        <w:gridCol w:w="218"/>
        <w:gridCol w:w="109"/>
        <w:gridCol w:w="109"/>
        <w:gridCol w:w="109"/>
        <w:gridCol w:w="358"/>
        <w:gridCol w:w="612"/>
        <w:gridCol w:w="185"/>
        <w:gridCol w:w="109"/>
        <w:gridCol w:w="109"/>
        <w:gridCol w:w="109"/>
        <w:gridCol w:w="349"/>
        <w:gridCol w:w="597"/>
        <w:gridCol w:w="254"/>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2027 Convertible Note Hedges and Warrants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of the 2027 Convertible Notes, we concurrently entered into the following privately-negotiated separate transactions: convertible note hedge transactions with respect to our common stock (the “2027 Convertible Note Hedges”), covering a total of 3.1 million shares of our common stock, and warrant transactions (the “2027 Warrants”), whereby we sold to the counterparties to the 2027 Convertible Note Hedges warrants to acquire 3.1 million shares of our common stock, in each case, as of June 30, 2026. The strike prices of the 2027 Convertible Note Hedges and the 2027 Warrants were subject to adjustment to $187.91 and $283.63, respectively, as of June 30, 2026, and no 2027 Convertible Note Hedges or 2027 Warrants have been exercised.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Security and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2027 Convertible Notes, the 2028 Notes, the 2029 Notes, and the 2033 Notes are guaranteed by MVWC and certain of our direct and indirect, existing and future, domestic subsidiaries, excluding certain bankruptcy remote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60" w:type="dxa"/>
        <w:jc w:val="left"/>
        <w:tblInd w:w="0" w:type="dxa"/>
        <w:tblLayout w:type="fixed"/>
        <w:tblCellMar>
          <w:top w:w="28" w:type="dxa"/>
          <w:left w:w="28" w:type="dxa"/>
          <w:bottom w:w="28" w:type="dxa"/>
          <w:right w:w="28" w:type="dxa"/>
        </w:tblCellMar>
      </w:tblPr>
      <w:tblGrid>
        <w:gridCol w:w="152"/>
        <w:gridCol w:w="134"/>
        <w:gridCol w:w="134"/>
        <w:gridCol w:w="773"/>
        <w:gridCol w:w="773"/>
        <w:gridCol w:w="10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13.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Vacations Worldwide has 100,000,000 authorized shares of common stock, par value of $0.01 per share. At June 30, 2026, there were 75,919,908 shares of Marriott Vacations Worldwide common stock issued, of which 34,394,286 shares were outstanding and 41,525,622 shares were held as treasury stock. At December 31, 2025, there were 75,891,531 shares of Marriott Vacations Worldwide common stock issued, of which 34,124,033 shares were outstanding and 41,767,498 shares were held as treasury stock. Marriott Vacations Worldwide has 2,000,000 authorized shares of preferred stock, par value of $0.01 per share, none of which were issued or outstanding as of June 30, 2026 or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with the approval of our Board of Directors, we may undertake programs to purchase shares of our common stock (each, a “Share Repurchase Program”). As of June 30, 2026, approximately $322 million remained available for share repurchases under the current Share Repurchase Program, which authorizes share repurchases through December 31,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under our Share Repurchase Program:</w:t>
      </w:r>
    </w:p>
    <w:tbl>
      <w:tblPr>
        <w:tblW w:w="10205" w:type="dxa"/>
        <w:jc w:val="center"/>
        <w:tblInd w:w="0" w:type="dxa"/>
        <w:tblLayout w:type="fixed"/>
        <w:tblCellMar>
          <w:top w:w="28" w:type="dxa"/>
          <w:left w:w="28" w:type="dxa"/>
          <w:bottom w:w="28" w:type="dxa"/>
          <w:right w:w="28" w:type="dxa"/>
        </w:tblCellMar>
      </w:tblPr>
      <w:tblGrid>
        <w:gridCol w:w="1074"/>
        <w:gridCol w:w="941"/>
        <w:gridCol w:w="949"/>
        <w:gridCol w:w="857"/>
        <w:gridCol w:w="854"/>
        <w:gridCol w:w="856"/>
        <w:gridCol w:w="109"/>
        <w:gridCol w:w="109"/>
        <w:gridCol w:w="109"/>
        <w:gridCol w:w="612"/>
        <w:gridCol w:w="1797"/>
        <w:gridCol w:w="319"/>
        <w:gridCol w:w="109"/>
        <w:gridCol w:w="109"/>
        <w:gridCol w:w="109"/>
        <w:gridCol w:w="276"/>
        <w:gridCol w:w="808"/>
        <w:gridCol w:w="208"/>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 except per share amounts)</w:t>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26,795,163 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2026</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1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26,795,163 </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declared cash dividends to holders of our common stock during the first half of 2026 as follows. Any future dividend payments will be subject to the restrictions imposed under the agreements covering our debt and approval of our Board of Directors. There can be no assurance that we will pay dividends in the future.</w:t>
      </w:r>
    </w:p>
    <w:tbl>
      <w:tblPr>
        <w:tblW w:w="7729"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679"/>
        <w:gridCol w:w="679"/>
        <w:gridCol w:w="681"/>
        <w:gridCol w:w="109"/>
        <w:gridCol w:w="109"/>
        <w:gridCol w:w="109"/>
        <w:gridCol w:w="484"/>
        <w:gridCol w:w="484"/>
        <w:gridCol w:w="486"/>
        <w:gridCol w:w="109"/>
        <w:gridCol w:w="109"/>
        <w:gridCol w:w="109"/>
        <w:gridCol w:w="482"/>
        <w:gridCol w:w="482"/>
        <w:gridCol w:w="686"/>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70" w:type="dxa"/>
        <w:jc w:val="left"/>
        <w:tblInd w:w="0" w:type="dxa"/>
        <w:tblLayout w:type="fixed"/>
        <w:tblCellMar>
          <w:top w:w="28" w:type="dxa"/>
          <w:left w:w="28" w:type="dxa"/>
          <w:bottom w:w="28" w:type="dxa"/>
          <w:right w:w="28" w:type="dxa"/>
        </w:tblCellMar>
      </w:tblPr>
      <w:tblGrid>
        <w:gridCol w:w="152"/>
        <w:gridCol w:w="134"/>
        <w:gridCol w:w="134"/>
        <w:gridCol w:w="923"/>
        <w:gridCol w:w="923"/>
        <w:gridCol w:w="130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14.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SHARE-BASED COMPENSATION</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our stockholders approved the Second Amended and Restated Marriott Vacations Worldwide Corporation 2020 Equity Incentive Plan (the “MVW Equity Plan”), which increased the aggregate number of authorized shares of our common stock that may be issued pursuant to grants under the plan by 2.5 million shares. The MVW Equity Plan is maintained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As of June 30, 2026, approximately 3 million shares were available for grants under the MVW Equity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share-based compensation expense related to award grants to our officers, directors, and employees:</w:t>
      </w:r>
    </w:p>
    <w:tbl>
      <w:tblPr>
        <w:tblW w:w="7803" w:type="dxa"/>
        <w:jc w:val="center"/>
        <w:tblInd w:w="0" w:type="dxa"/>
        <w:tblLayout w:type="fixed"/>
        <w:tblCellMar>
          <w:top w:w="28" w:type="dxa"/>
          <w:left w:w="28" w:type="dxa"/>
          <w:bottom w:w="28" w:type="dxa"/>
          <w:right w:w="28" w:type="dxa"/>
        </w:tblCellMar>
      </w:tblPr>
      <w:tblGrid>
        <w:gridCol w:w="777"/>
        <w:gridCol w:w="682"/>
        <w:gridCol w:w="686"/>
        <w:gridCol w:w="358"/>
        <w:gridCol w:w="613"/>
        <w:gridCol w:w="184"/>
        <w:gridCol w:w="113"/>
        <w:gridCol w:w="113"/>
        <w:gridCol w:w="113"/>
        <w:gridCol w:w="358"/>
        <w:gridCol w:w="613"/>
        <w:gridCol w:w="184"/>
        <w:gridCol w:w="109"/>
        <w:gridCol w:w="109"/>
        <w:gridCol w:w="109"/>
        <w:gridCol w:w="358"/>
        <w:gridCol w:w="612"/>
        <w:gridCol w:w="185"/>
        <w:gridCol w:w="109"/>
        <w:gridCol w:w="109"/>
        <w:gridCol w:w="109"/>
        <w:gridCol w:w="349"/>
        <w:gridCol w:w="597"/>
        <w:gridCol w:w="2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RSUs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deferred compensation costs related to unvested awards:</w:t>
      </w:r>
    </w:p>
    <w:tbl>
      <w:tblPr>
        <w:tblW w:w="5696" w:type="dxa"/>
        <w:jc w:val="center"/>
        <w:tblInd w:w="0" w:type="dxa"/>
        <w:tblLayout w:type="fixed"/>
        <w:tblCellMar>
          <w:top w:w="28" w:type="dxa"/>
          <w:left w:w="28" w:type="dxa"/>
          <w:bottom w:w="28" w:type="dxa"/>
          <w:right w:w="28" w:type="dxa"/>
        </w:tblCellMar>
      </w:tblPr>
      <w:tblGrid>
        <w:gridCol w:w="777"/>
        <w:gridCol w:w="682"/>
        <w:gridCol w:w="686"/>
        <w:gridCol w:w="432"/>
        <w:gridCol w:w="740"/>
        <w:gridCol w:w="223"/>
        <w:gridCol w:w="109"/>
        <w:gridCol w:w="109"/>
        <w:gridCol w:w="109"/>
        <w:gridCol w:w="531"/>
        <w:gridCol w:w="909"/>
        <w:gridCol w:w="389"/>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RSUs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granted 610,856 service-based RSUs, which are subject to time-based vesting conditions, with a weighted average grant-date fair value of $61.82, to our employees and non-employee directors during the first half of 2026. During the first half of 2026, we also granted one-time performance-based RSUs (the “PSUs”), which are subject to performance-based vesting conditions, to certain executives. A maximum of 300,000 RSUs may be earned under the PSU awards granted during the first half of 2026. The PSUs vest over a three-year performance period beginning January 1, 2026 subject to continuous service, and are earned based on the achievement of the highest cumulative performance metric achieved during any four consecutive quarters relative to specified performance thresholds.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also granted one-time market-based RSUs (“MRSUs”) to certain executives. A maximum of 300,000 shares can be earned under the MRSUs. The MRSUs vest over a 3.5 year performance period beginning January 1, 2026, subject to continuous service, and are earned based on the Company’s stock price exceeding specified thresholds. The grant date fair value of $51.38 per share for the MRSUs was determined using a Monte Carlo simulation model, based on an expected volatility of 45.57%, a risk-free interest rate of 3.54% and a dividend yield of 4.56%. Compensation expense for the MRSUs is recognized straight line over the requisite service period.</w:t>
      </w:r>
    </w:p>
    <w:p>
      <w:pPr>
        <w:pStyle w:val="TextBody"/>
        <w:bidi w:val="0"/>
        <w:spacing w:lineRule="auto" w:line="288" w:before="120" w:after="283"/>
        <w:jc w:val="left"/>
        <w:rPr/>
      </w:pPr>
      <w:r>
        <w:rPr>
          <w:rFonts w:ascii="Times New Roman;serif" w:hAnsi="Times New Roman;serif"/>
          <w:b w:val="false"/>
          <w:color w:val="000000"/>
          <w:sz w:val="20"/>
        </w:rPr>
        <w:t xml:space="preserve">The PSUs and MRSUs are required to be settled in shares, or cash if sufficient shares are not available under the MVW Equity Plan, and are classified as equity under ASC 718, </w:t>
      </w:r>
      <w:r>
        <w:rPr>
          <w:rFonts w:ascii="Times New Roman;serif" w:hAnsi="Times New Roman;serif"/>
          <w:b w:val="false"/>
          <w:i/>
          <w:color w:val="000000"/>
          <w:sz w:val="20"/>
        </w:rPr>
        <w:t>Compensation—Stock Compensation</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granted 474,423 SARs, with a weighted average grant-date fair value of $23.59 and a weighted average exercise price of $68.20, to members of management during the first half of 2026. We use the Black-Scholes model to estimate the fair value of the SARs granted. The expected stock price volatility was calculated based on the average of the historical and implied volatility of our stock price. The average expected term was calculated using the simplified method, as we have insufficient historical information to provide a basis for estimating average expected term. The risk-free interest rate was calculated based on U.S. Treasury zero-coupon issues with a remaining term equal to the expected life assumed at the date of grant. The dividend yield assumption listed below is based on the expectation of future payouts.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the assumptions used to estimate the fair value of grants during the first half of 2026:</w:t>
      </w:r>
    </w:p>
    <w:tbl>
      <w:tblPr>
        <w:tblW w:w="3644" w:type="dxa"/>
        <w:jc w:val="center"/>
        <w:tblInd w:w="0" w:type="dxa"/>
        <w:tblLayout w:type="fixed"/>
        <w:tblCellMar>
          <w:top w:w="28" w:type="dxa"/>
          <w:left w:w="28" w:type="dxa"/>
          <w:bottom w:w="28" w:type="dxa"/>
          <w:right w:w="28" w:type="dxa"/>
        </w:tblCellMar>
      </w:tblPr>
      <w:tblGrid>
        <w:gridCol w:w="756"/>
        <w:gridCol w:w="663"/>
        <w:gridCol w:w="666"/>
        <w:gridCol w:w="455"/>
        <w:gridCol w:w="455"/>
        <w:gridCol w:w="649"/>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50.41% - 50.73%</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4.40% - 4.56%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3.73% - 3.95%</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6.00 - 6.25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99" w:type="dxa"/>
        <w:jc w:val="left"/>
        <w:tblInd w:w="0" w:type="dxa"/>
        <w:tblLayout w:type="fixed"/>
        <w:tblCellMar>
          <w:top w:w="28" w:type="dxa"/>
          <w:left w:w="28" w:type="dxa"/>
          <w:bottom w:w="28" w:type="dxa"/>
          <w:right w:w="28" w:type="dxa"/>
        </w:tblCellMar>
      </w:tblPr>
      <w:tblGrid>
        <w:gridCol w:w="152"/>
        <w:gridCol w:w="134"/>
        <w:gridCol w:w="134"/>
        <w:gridCol w:w="931"/>
        <w:gridCol w:w="931"/>
        <w:gridCol w:w="131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15.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INTEREST ENTITIES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Variable Interest Entities Related to Our Vacation Ownership Notes Receivable Securitizations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consolidated assets, which are collateral for the obligations of the VIEs related to our vacation ownership notes receivable securitizations, and consolidated liabilities included on our Balance Sheet at June 30, 2026:</w:t>
      </w:r>
    </w:p>
    <w:tbl>
      <w:tblPr>
        <w:tblW w:w="8879" w:type="dxa"/>
        <w:jc w:val="center"/>
        <w:tblInd w:w="0" w:type="dxa"/>
        <w:tblLayout w:type="fixed"/>
        <w:tblCellMar>
          <w:top w:w="28" w:type="dxa"/>
          <w:left w:w="28" w:type="dxa"/>
          <w:bottom w:w="28" w:type="dxa"/>
          <w:right w:w="28" w:type="dxa"/>
        </w:tblCellMar>
      </w:tblPr>
      <w:tblGrid>
        <w:gridCol w:w="1577"/>
        <w:gridCol w:w="1382"/>
        <w:gridCol w:w="1391"/>
        <w:gridCol w:w="381"/>
        <w:gridCol w:w="1115"/>
        <w:gridCol w:w="198"/>
        <w:gridCol w:w="109"/>
        <w:gridCol w:w="109"/>
        <w:gridCol w:w="109"/>
        <w:gridCol w:w="322"/>
        <w:gridCol w:w="711"/>
        <w:gridCol w:w="167"/>
        <w:gridCol w:w="109"/>
        <w:gridCol w:w="109"/>
        <w:gridCol w:w="109"/>
        <w:gridCol w:w="211"/>
        <w:gridCol w:w="61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Assets</w:t>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 of reserves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Liabilities</w:t>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interest income and expense recognized as a result of our involvement with these VIEs during the second quarter of 2026:</w:t>
      </w:r>
    </w:p>
    <w:tbl>
      <w:tblPr>
        <w:tblW w:w="9479" w:type="dxa"/>
        <w:jc w:val="center"/>
        <w:tblInd w:w="0" w:type="dxa"/>
        <w:tblLayout w:type="fixed"/>
        <w:tblCellMar>
          <w:top w:w="28" w:type="dxa"/>
          <w:left w:w="28" w:type="dxa"/>
          <w:bottom w:w="28" w:type="dxa"/>
          <w:right w:w="28" w:type="dxa"/>
        </w:tblCellMar>
      </w:tblPr>
      <w:tblGrid>
        <w:gridCol w:w="979"/>
        <w:gridCol w:w="858"/>
        <w:gridCol w:w="862"/>
        <w:gridCol w:w="1300"/>
        <w:gridCol w:w="2225"/>
        <w:gridCol w:w="675"/>
        <w:gridCol w:w="109"/>
        <w:gridCol w:w="109"/>
        <w:gridCol w:w="109"/>
        <w:gridCol w:w="348"/>
        <w:gridCol w:w="670"/>
        <w:gridCol w:w="182"/>
        <w:gridCol w:w="109"/>
        <w:gridCol w:w="109"/>
        <w:gridCol w:w="109"/>
        <w:gridCol w:w="211"/>
        <w:gridCol w:w="361"/>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 Notes Receivable 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 amortization</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interest income and expense recognized as a result of our involvement with these VIEs during the first half of 2026:</w:t>
      </w:r>
    </w:p>
    <w:tbl>
      <w:tblPr>
        <w:tblW w:w="9583" w:type="dxa"/>
        <w:jc w:val="center"/>
        <w:tblInd w:w="0" w:type="dxa"/>
        <w:tblLayout w:type="fixed"/>
        <w:tblCellMar>
          <w:top w:w="28" w:type="dxa"/>
          <w:left w:w="28" w:type="dxa"/>
          <w:bottom w:w="28" w:type="dxa"/>
          <w:right w:w="28" w:type="dxa"/>
        </w:tblCellMar>
      </w:tblPr>
      <w:tblGrid>
        <w:gridCol w:w="979"/>
        <w:gridCol w:w="858"/>
        <w:gridCol w:w="862"/>
        <w:gridCol w:w="1126"/>
        <w:gridCol w:w="2487"/>
        <w:gridCol w:w="586"/>
        <w:gridCol w:w="109"/>
        <w:gridCol w:w="109"/>
        <w:gridCol w:w="109"/>
        <w:gridCol w:w="348"/>
        <w:gridCol w:w="670"/>
        <w:gridCol w:w="182"/>
        <w:gridCol w:w="109"/>
        <w:gridCol w:w="109"/>
        <w:gridCol w:w="109"/>
        <w:gridCol w:w="211"/>
        <w:gridCol w:w="46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 Notes Receivable 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 amortization</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cash flows between us and the vacation ownership notes receivable securitization VIEs:</w:t>
      </w:r>
    </w:p>
    <w:tbl>
      <w:tblPr>
        <w:tblW w:w="8635" w:type="dxa"/>
        <w:jc w:val="center"/>
        <w:tblInd w:w="0" w:type="dxa"/>
        <w:tblLayout w:type="fixed"/>
        <w:tblCellMar>
          <w:top w:w="28" w:type="dxa"/>
          <w:left w:w="28" w:type="dxa"/>
          <w:bottom w:w="28" w:type="dxa"/>
          <w:right w:w="28" w:type="dxa"/>
        </w:tblCellMar>
      </w:tblPr>
      <w:tblGrid>
        <w:gridCol w:w="2465"/>
        <w:gridCol w:w="1740"/>
        <w:gridCol w:w="1749"/>
        <w:gridCol w:w="310"/>
        <w:gridCol w:w="685"/>
        <w:gridCol w:w="160"/>
        <w:gridCol w:w="109"/>
        <w:gridCol w:w="109"/>
        <w:gridCol w:w="109"/>
        <w:gridCol w:w="304"/>
        <w:gridCol w:w="673"/>
        <w:gridCol w:w="222"/>
      </w:tblGrid>
      <w:tr>
        <w:trPr/>
        <w:tc>
          <w:tcPr>
            <w:tcW w:w="246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Inflows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vacation ownership notes receivable securitizations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receipts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receipts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release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Outflows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repurchases of defaulted vacation ownership notes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clean-up call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cash flows between us and the Warehouse Credit Facility VIE:</w:t>
      </w:r>
    </w:p>
    <w:tbl>
      <w:tblPr>
        <w:tblW w:w="8636" w:type="dxa"/>
        <w:jc w:val="center"/>
        <w:tblInd w:w="0" w:type="dxa"/>
        <w:tblLayout w:type="fixed"/>
        <w:tblCellMar>
          <w:top w:w="28" w:type="dxa"/>
          <w:left w:w="28" w:type="dxa"/>
          <w:bottom w:w="28" w:type="dxa"/>
          <w:right w:w="28" w:type="dxa"/>
        </w:tblCellMar>
      </w:tblPr>
      <w:tblGrid>
        <w:gridCol w:w="2465"/>
        <w:gridCol w:w="1740"/>
        <w:gridCol w:w="1750"/>
        <w:gridCol w:w="310"/>
        <w:gridCol w:w="685"/>
        <w:gridCol w:w="160"/>
        <w:gridCol w:w="109"/>
        <w:gridCol w:w="109"/>
        <w:gridCol w:w="109"/>
        <w:gridCol w:w="304"/>
        <w:gridCol w:w="673"/>
        <w:gridCol w:w="222"/>
      </w:tblGrid>
      <w:tr>
        <w:trPr/>
        <w:tc>
          <w:tcPr>
            <w:tcW w:w="246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Inflows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vacation ownership notes receivable securitizations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receipts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receipts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release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Outflows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repurchases of defaulted vacation ownership notes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Warehouse Credit Facility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vacation ownership notes receivable securitizations and Warehouse Credit Facility,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Other Variable Interest Entities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 commitment to purchase completed vacation ownership units located in Waikiki, Hawaii for $41 million in 2026.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As of June 30, 2026, our Balance Sheet reflected $1 million in Accounts and contracts receivable, net, including a note receivable of less than $1 million, and $4 million in Property and equipment, net. We believe that our maximum exposure to loss as a result of our involvement with this VIE is approximately $5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152"/>
        <w:gridCol w:w="134"/>
        <w:gridCol w:w="134"/>
        <w:gridCol w:w="645"/>
        <w:gridCol w:w="645"/>
        <w:gridCol w:w="91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16.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 These segments are managed independently due to the differing nature of their products and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and modernization, as our CODM does not use this information to make operating segment resource allocations.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attributable to common stockholders, before interest expense (excluding consumer financing interest expense), income taxes, depreciation and amortization, excluding share-based compensation expense and amortization of cloud computing software implementation costs, and adjusted for certain items that affect the comparability of our operating performance. We do not report asset information by segment because that information is not used to evaluate performance or allocate resources between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reconciliation of the aggregate amount of Adjusted EBITDA for our reportable segments to consolidated net income attributable to common stockholders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Segment Revenues and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attributable to common stockholders.</w:t>
      </w:r>
    </w:p>
    <w:tbl>
      <w:tblPr>
        <w:tblW w:w="17150" w:type="dxa"/>
        <w:jc w:val="center"/>
        <w:tblInd w:w="0" w:type="dxa"/>
        <w:tblLayout w:type="fixed"/>
        <w:tblCellMar>
          <w:top w:w="28" w:type="dxa"/>
          <w:left w:w="28" w:type="dxa"/>
          <w:bottom w:w="28" w:type="dxa"/>
          <w:right w:w="28" w:type="dxa"/>
        </w:tblCellMar>
      </w:tblPr>
      <w:tblGrid>
        <w:gridCol w:w="807"/>
        <w:gridCol w:w="313"/>
        <w:gridCol w:w="216"/>
        <w:gridCol w:w="211"/>
        <w:gridCol w:w="616"/>
        <w:gridCol w:w="109"/>
        <w:gridCol w:w="109"/>
        <w:gridCol w:w="109"/>
        <w:gridCol w:w="109"/>
        <w:gridCol w:w="362"/>
        <w:gridCol w:w="620"/>
        <w:gridCol w:w="189"/>
        <w:gridCol w:w="109"/>
        <w:gridCol w:w="109"/>
        <w:gridCol w:w="109"/>
        <w:gridCol w:w="211"/>
        <w:gridCol w:w="616"/>
        <w:gridCol w:w="109"/>
        <w:gridCol w:w="109"/>
        <w:gridCol w:w="109"/>
        <w:gridCol w:w="109"/>
        <w:gridCol w:w="211"/>
        <w:gridCol w:w="616"/>
        <w:gridCol w:w="109"/>
        <w:gridCol w:w="109"/>
        <w:gridCol w:w="109"/>
        <w:gridCol w:w="109"/>
        <w:gridCol w:w="362"/>
        <w:gridCol w:w="620"/>
        <w:gridCol w:w="189"/>
        <w:gridCol w:w="109"/>
        <w:gridCol w:w="109"/>
        <w:gridCol w:w="109"/>
        <w:gridCol w:w="211"/>
        <w:gridCol w:w="616"/>
        <w:gridCol w:w="109"/>
        <w:gridCol w:w="109"/>
        <w:gridCol w:w="109"/>
        <w:gridCol w:w="109"/>
        <w:gridCol w:w="211"/>
        <w:gridCol w:w="616"/>
        <w:gridCol w:w="109"/>
        <w:gridCol w:w="109"/>
        <w:gridCol w:w="109"/>
        <w:gridCol w:w="109"/>
        <w:gridCol w:w="314"/>
        <w:gridCol w:w="694"/>
        <w:gridCol w:w="163"/>
        <w:gridCol w:w="109"/>
        <w:gridCol w:w="109"/>
        <w:gridCol w:w="109"/>
        <w:gridCol w:w="211"/>
        <w:gridCol w:w="616"/>
        <w:gridCol w:w="109"/>
        <w:gridCol w:w="109"/>
        <w:gridCol w:w="109"/>
        <w:gridCol w:w="109"/>
        <w:gridCol w:w="211"/>
        <w:gridCol w:w="616"/>
        <w:gridCol w:w="109"/>
        <w:gridCol w:w="109"/>
        <w:gridCol w:w="109"/>
        <w:gridCol w:w="109"/>
        <w:gridCol w:w="314"/>
        <w:gridCol w:w="694"/>
        <w:gridCol w:w="163"/>
        <w:gridCol w:w="327"/>
        <w:gridCol w:w="211"/>
        <w:gridCol w:w="616"/>
        <w:gridCol w:w="154"/>
      </w:tblGrid>
      <w:tr>
        <w:trPr/>
        <w:tc>
          <w:tcPr>
            <w:tcW w:w="8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Vacation</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Financing</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software implementation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Corporate and Other consists of results that are not allocable to our segments, including company-wide general and administrative expenses, and transaction and integration costs. In addition, Corporate and Other includes revenues and expenses from Consolidated Property Owners’ Associations. Our CODM does not use this information for operating segment resource allocations.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Commencing in the first quarter of 2026, interest expense associated with our Warehouse Credit Facility is included as a component of Consumer financing interest expense within Financing expense. For the three and six months ended June 30, 2025, interest expense associated with our Warehouse Credit Facility is included as a component of Interest expense, net. Interest expense on our Warehouse Credit Facility was $2 million and $5 million for the three and six months ended June 30, 2026, respectively, and $3 million and $7 million for the three and six months ended June 30, 2025, respectively.</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include cost reimbursements, share-based compensation, amortization of cloud computing software implementation costs,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2281" w:type="dxa"/>
        <w:jc w:val="left"/>
        <w:tblInd w:w="0" w:type="dxa"/>
        <w:tblLayout w:type="fixed"/>
        <w:tblCellMar>
          <w:top w:w="28" w:type="dxa"/>
          <w:left w:w="28" w:type="dxa"/>
          <w:bottom w:w="28" w:type="dxa"/>
          <w:right w:w="28" w:type="dxa"/>
        </w:tblCellMar>
      </w:tblPr>
      <w:tblGrid>
        <w:gridCol w:w="152"/>
        <w:gridCol w:w="134"/>
        <w:gridCol w:w="134"/>
        <w:gridCol w:w="545"/>
        <w:gridCol w:w="545"/>
        <w:gridCol w:w="771"/>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17.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MODERNIZATION</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our Modernization expense.</w:t>
      </w:r>
    </w:p>
    <w:tbl>
      <w:tblPr>
        <w:tblW w:w="8147" w:type="dxa"/>
        <w:jc w:val="center"/>
        <w:tblInd w:w="0" w:type="dxa"/>
        <w:tblLayout w:type="fixed"/>
        <w:tblCellMar>
          <w:top w:w="28" w:type="dxa"/>
          <w:left w:w="28" w:type="dxa"/>
          <w:bottom w:w="28" w:type="dxa"/>
          <w:right w:w="28" w:type="dxa"/>
        </w:tblCellMar>
      </w:tblPr>
      <w:tblGrid>
        <w:gridCol w:w="902"/>
        <w:gridCol w:w="792"/>
        <w:gridCol w:w="795"/>
        <w:gridCol w:w="358"/>
        <w:gridCol w:w="613"/>
        <w:gridCol w:w="184"/>
        <w:gridCol w:w="113"/>
        <w:gridCol w:w="113"/>
        <w:gridCol w:w="113"/>
        <w:gridCol w:w="358"/>
        <w:gridCol w:w="613"/>
        <w:gridCol w:w="184"/>
        <w:gridCol w:w="109"/>
        <w:gridCol w:w="109"/>
        <w:gridCol w:w="109"/>
        <w:gridCol w:w="358"/>
        <w:gridCol w:w="612"/>
        <w:gridCol w:w="185"/>
        <w:gridCol w:w="109"/>
        <w:gridCol w:w="109"/>
        <w:gridCol w:w="109"/>
        <w:gridCol w:w="349"/>
        <w:gridCol w:w="597"/>
        <w:gridCol w:w="2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Advisory services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(implementation)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costs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for this accrual on our Balance Sheet related to our Modernization efforts.</w:t>
      </w:r>
    </w:p>
    <w:tbl>
      <w:tblPr>
        <w:tblW w:w="3647" w:type="dxa"/>
        <w:jc w:val="center"/>
        <w:tblInd w:w="0" w:type="dxa"/>
        <w:tblLayout w:type="fixed"/>
        <w:tblCellMar>
          <w:top w:w="28" w:type="dxa"/>
          <w:left w:w="28" w:type="dxa"/>
          <w:bottom w:w="28" w:type="dxa"/>
          <w:right w:w="28" w:type="dxa"/>
        </w:tblCellMar>
      </w:tblPr>
      <w:tblGrid>
        <w:gridCol w:w="940"/>
        <w:gridCol w:w="824"/>
        <w:gridCol w:w="830"/>
        <w:gridCol w:w="109"/>
        <w:gridCol w:w="109"/>
        <w:gridCol w:w="109"/>
        <w:gridCol w:w="211"/>
        <w:gridCol w:w="36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Modernization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2025, we entered into outsourced service arrangements and completed the transition of a portion of certain corporate overhead functions to outsourced service providers. The arrangements are for terms of five to six years, and are cancellable for convenience by us subject to a termination penalty. As of June 30, 2026, our aggregate expected obligation under these arrangements is $121 million, of which $21 million, $27 million, $26 million, $26 million, $18 million, and $3 million is expected to be paid in the remainder of 2026, 2027, 2028, 2029, 2030, and thereafter, respectively, and the total penalties for early termination are $27 million, if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our possible or assumed future results of operations, cash flows, financial condition, leverage, liquidity; future dividend payments; business strategies and management priorities for 2026, including efforts to improve profitability, accelerate growth, lower costs, monetize non-core assets and enhance Tour quality and VPG, expected trends in rental profit, marketing and sales expenses and cost of vacation ownership products as a percentage of revenue; the adequacy of capital to meet short-term and long-term liquidity requirements; our expectations regarding the costs and benefits of our modernization efforts; our plan to reduce our corporate debt, net of cash and equivalents, to Adjusted EBITDA ratio; our expectations regarding inventory spending; and the impact of inventory repurchases and timing of payments for inventory.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or travel; future health crises and related governmental responses and their potential adverse effects; variations in demand for vacation ownership and exchange products and services; failure of vendors and other third parties to timely comply with their contractual obligations; worker absenteeism; our ability to attract and retain our global workforce; price inflation; difficulties associated with implementing new or maintaining existing technologies; the ability to integrate artificial intelligence (“AI”) technologies successfully while managing and mitigating related operational, legal, intellectual property, data security and reputational risks; changes in privacy and other laws and regulations affecting our business; instability, disruptions, or distress in the banking system or financial institutions; impacts of severe weather events, climate conditions or natural or man-made disasters; delinquency and default rates in our financing business; global supply chain disruptions; volatility in the international and national economies and credit markets; the impacts of ongoing global conflicts and related sanctions or geopolitical measures;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herein and also in our 2025 Annual Report, and which may be updated in our future periodic filings with the U.S. Securities and Exchange Commission (the “SEC”).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risk factors discussed in “Risk Factors” in our 2025 Annual Report, and under Item 1A of Part II of this Quarterly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(as defined below), which we discuss below, reflect our historical financial condition, results of operations and cash flows. The financial information discussed below and included in this Quarterly Report may not, however, necessarily reflect what our financial condition, results of operations or cash flows may be in the future.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References throughout to numbered “Footnotes” refer to the numbered Notes in the Interim Condensed Notes to Consolidated Financial Statements included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routinely post important information, including news releases, announcements and other statements about our business and results of operations, that may be deemed material to investors on the Investor Relations section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Vacation Ownership segment generates revenues from four primary sources: selling vacation ownership products; managing vacation ownership resorts, clubs and owners’ associations; financing consumer purchases of vacation ownership products; and renting vacation ownership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the portion of our results that are not allocable to our segments, including those relating to consolidated property owners’ associations (“Consolidated Property Owners’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Performance Measures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Management uses the following key performance metrics to assess the Company’s operational efficiency and market competitiveness, identify trends, develop financial projections, and support strategic decision-making. Management continuously monitors and analyzes these metrics to help ensure that the Company remains responsive to changing market conditions and aligned with our long-term growth objectives. The definitions and methodologies of certain of these metrics may differ from those used by other companies, and as a result, these metrics may not be directly comparable to similarly titled measures reported by other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Contract sales </w:t>
      </w:r>
      <w:r>
        <w:rPr>
          <w:rFonts w:ascii="Times New Roman;serif" w:hAnsi="Times New Roman;serif"/>
          <w:b w:val="false"/>
          <w:color w:val="000000"/>
          <w:sz w:val="20"/>
        </w:rPr>
        <w:t>reflects the pace of sales in our business and excludes contract sales from the sale of vacation ownership products for non-consolidated joint ventures.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Volume per guest</w:t>
      </w:r>
      <w:r>
        <w:rPr>
          <w:color w:val="000000"/>
        </w:rPr>
        <w:t xml:space="preserve"> </w:t>
      </w:r>
      <w:r>
        <w:rPr>
          <w:rFonts w:ascii="Times New Roman;serif" w:hAnsi="Times New Roman;serif"/>
          <w:b w:val="false"/>
          <w:color w:val="000000"/>
          <w:sz w:val="20"/>
        </w:rPr>
        <w:t>(“VPG”) is calculated as contract sales, excluding fractional sales, telesales, resales, and other sales that are not attributed to a sales tour (collectively, “</w:t>
      </w:r>
      <w:r>
        <w:rPr>
          <w:rFonts w:ascii="Times New Roman;serif" w:hAnsi="Times New Roman;serif"/>
          <w:b w:val="false"/>
          <w:i/>
          <w:color w:val="000000"/>
          <w:sz w:val="20"/>
        </w:rPr>
        <w:t>Tours”</w:t>
      </w:r>
      <w:r>
        <w:rPr>
          <w:color w:val="000000"/>
        </w:rPr>
        <w:t xml:space="preserve"> </w:t>
      </w:r>
      <w:r>
        <w:rPr>
          <w:rFonts w:ascii="Times New Roman;serif" w:hAnsi="Times New Roman;serif"/>
          <w:b w:val="false"/>
          <w:color w:val="000000"/>
          <w:sz w:val="20"/>
        </w:rPr>
        <w:t>as defined below) divided by the number of Tours conducted during the applicable period. We believe that VPG is a key driver of profitability as it reflects both the average contract price and the effectiveness of converting touring guests into purchasers.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Tours</w:t>
      </w:r>
      <w:r>
        <w:rPr>
          <w:color w:val="000000"/>
        </w:rPr>
        <w:t xml:space="preserve"> </w:t>
      </w:r>
      <w:r>
        <w:rPr>
          <w:rFonts w:ascii="Times New Roman;serif" w:hAnsi="Times New Roman;serif"/>
          <w:b w:val="false"/>
          <w:color w:val="000000"/>
          <w:sz w:val="20"/>
        </w:rPr>
        <w:t>is defined as the number of sales tours conducted during the applicable period, including virtual and offsite sales tours and excluding telesales.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Development profit margin </w:t>
      </w:r>
      <w:r>
        <w:rPr>
          <w:rFonts w:ascii="Times New Roman;serif" w:hAnsi="Times New Roman;serif"/>
          <w:b w:val="false"/>
          <w:color w:val="000000"/>
          <w:sz w:val="20"/>
        </w:rPr>
        <w:t>is calculated as Development profit divided by revenues from the sale of vacation ownership products. Development profit represents revenues from the sale of vacation ownership products, net of the cost of vacation ownership products and related marketing and sales costs. We believe that Development profit margin is a key indicator of the profitability of our development activities and the effectiveness of our associated marketing and sales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Total active members</w:t>
      </w:r>
      <w:r>
        <w:rPr>
          <w:color w:val="000000"/>
        </w:rPr>
        <w:t xml:space="preserve"> </w:t>
      </w:r>
      <w:r>
        <w:rPr>
          <w:rFonts w:ascii="Times New Roman;serif" w:hAnsi="Times New Roman;serif"/>
          <w:b w:val="false"/>
          <w:color w:val="000000"/>
          <w:sz w:val="20"/>
        </w:rPr>
        <w:t>represents the number of active members of the Interval Network as of the end of the applicable period. We consider this metric to be an important indicator of the size of the member base eligible to transact within the Interval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Average revenue per member</w:t>
      </w:r>
      <w:r>
        <w:rPr>
          <w:color w:val="000000"/>
        </w:rPr>
        <w:t xml:space="preserve"> </w:t>
      </w:r>
      <w:r>
        <w:rPr>
          <w:rFonts w:ascii="Times New Roman;serif" w:hAnsi="Times New Roman;serif"/>
          <w:b w:val="false"/>
          <w:color w:val="000000"/>
          <w:sz w:val="20"/>
        </w:rPr>
        <w:t>is calculated by dividing membership fee revenue, transaction revenue, rental revenue, and other member revenue generated by the Interval Network by the monthly weighted average number of active members of the Interval Network during the applicable period. We believe this metric is a meaningful indicator of member engagement.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Segment financial results attributable to common stockholders</w:t>
      </w:r>
      <w:r>
        <w:rPr>
          <w:color w:val="000000"/>
        </w:rPr>
        <w:t xml:space="preserve"> </w:t>
      </w:r>
      <w:r>
        <w:rPr>
          <w:rFonts w:ascii="Times New Roman;serif" w:hAnsi="Times New Roman;serif"/>
          <w:b w:val="false"/>
          <w:color w:val="000000"/>
          <w:sz w:val="20"/>
        </w:rPr>
        <w:t xml:space="preserve">reflects revenues less expenses that are directly attributable to each respective reportable business segment (Vacation Ownership and Exchange &amp; Third-Party Management). We believe this measure provides meaningful insight into the operating performance of our reportable business segments. See Footnote 16 “Business Segments” to our Financial Statements for further information about our reportable business segments.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is calculated as Adjusted EBITDA divided by total revenues less cost reimbursements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i/>
          <w:color w:val="000000"/>
          <w:sz w:val="20"/>
        </w:rPr>
        <w:t>margin</w:t>
      </w:r>
      <w:r>
        <w:rPr>
          <w:color w:val="000000"/>
        </w:rPr>
        <w:t xml:space="preserve"> </w:t>
      </w:r>
      <w:r>
        <w:rPr>
          <w:rFonts w:ascii="Times New Roman;serif" w:hAnsi="Times New Roman;serif"/>
          <w:b w:val="false"/>
          <w:color w:val="000000"/>
          <w:sz w:val="20"/>
        </w:rPr>
        <w:t xml:space="preserve">is calculated as Segment Adjusted EBITDA divided by the respective segment’s total revenues less cost reimbursements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 Priorities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continued to execute our previously described management priorities and made meaningful progress across our strategic, operational, and financial objectives. The following discussion provides an update on our progress.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priorities for 2026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Improve profitability and cash flow </w:t>
      </w:r>
      <w:r>
        <w:rPr>
          <w:rFonts w:ascii="Times New Roman;serif" w:hAnsi="Times New Roman;serif"/>
          <w:b w:val="false"/>
          <w:i/>
          <w:color w:val="000000"/>
          <w:sz w:val="20"/>
        </w:rPr>
        <w:t>by driving higher free cash flow conversion through disciplined execution, optimizing working capital, managing capital spending, and improving Adjusted EBITDA performance.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improved net income and Adjusted EBITDA in the second quarter of 2026 as compared to the second quarter of 2025 and improved operating cash flow for the first half of 2026, shifting to cash provided by operating activities in 2026 from cash used in operating activities during the comparable period in 2025.</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Strengthen leadership and talent </w:t>
      </w:r>
      <w:r>
        <w:rPr>
          <w:rFonts w:ascii="Times New Roman;serif" w:hAnsi="Times New Roman;serif"/>
          <w:b w:val="false"/>
          <w:i/>
          <w:color w:val="000000"/>
          <w:sz w:val="20"/>
        </w:rPr>
        <w:t xml:space="preserve">through onboarding new leadership with the external expertise to drive improvement in consistency and long-term growth execution. Retain key existing leadership and talent throughout the organization to facilitate continuity and retention of historical business knowledge.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the first half of 2026, we enhanced key leadership talent and capabilities and made targeted investments in our workforce. We believe these actions have strengthened our leadership bench, enhanced critical commercial capabilities across the organization, and supported the execution of our strategic and operational objectives. We will regularly evaluate our talent needs and organizational structure to help maintain the capabilities we believe are necessary to support long-term growth and value creation.</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Accelerate near-term, sustainable revenue growth </w:t>
      </w:r>
      <w:r>
        <w:rPr>
          <w:rFonts w:ascii="Times New Roman;serif" w:hAnsi="Times New Roman;serif"/>
          <w:b w:val="false"/>
          <w:i/>
          <w:color w:val="000000"/>
          <w:sz w:val="20"/>
        </w:rPr>
        <w:t>by increasing contract sales through strengthened marketing and sales leadership, hiring proven frontline sales talent and critically improving our daily management discipline throughout our business. Current initiatives focus on expanding and diversifying marketing opportunities by improving lead generation, increasing marketing efficiency and enhancing our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have continued to onboard top-performing sales and marketing professionals while investing in innovation and industry-leading tools that we believe help our teams to operate more effectively and support long-term value creation.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the second quarter of 2026, we enhanced our Owner Benefit Levels, including by introducing new ownership tiers, providing exclusive access to deeper discounts for certain reservation types and additional onsite benefits when visiting the Marriott Vacation Clubs. We plan to continue to focus on creating more personalized, engaging and experience-driven vacations for our owners to elevate the owner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the second quarter of 2026, we launched “Inner Circle,” a new owner-exclusive experiences platform offering access to private concerts, sporting events, culinary experiences and on-site events to owners of Marriott Vacation Club, Westin Vacation Club and Sheraton Vacation Club. Early owner participation and engagement levels have been favorable among those who have attended these events, providing evidence that these initiatives are resonating with our owner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expect the enhanced owner experience, new owner benefits and Inner Circle platforms to increase owner engagement and retention which we anticipate will generate increased referrals of potential new customers to support contract sales growth and higher VPG. We expect the financial benefits of these actions to grow in the second half of 2026 and continue into 2027 as we build a Tour pipeline that reflects these changes. We expect that marketing and sales expenses to decline as a percentage of Development revenue during the second half of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 a result of these actions, Contract sales increased 22% and VPG increased 23% during the second quarter of 2026 over the comparable period in 2025 despite a 1% decline in Tours.</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Lower cost base</w:t>
      </w:r>
      <w:r>
        <w:rPr>
          <w:color w:val="000000"/>
        </w:rPr>
        <w:t xml:space="preserve"> </w:t>
      </w:r>
      <w:r>
        <w:rPr>
          <w:rFonts w:ascii="Times New Roman;serif" w:hAnsi="Times New Roman;serif"/>
          <w:b w:val="false"/>
          <w:i/>
          <w:color w:val="000000"/>
          <w:sz w:val="20"/>
        </w:rPr>
        <w:t>by emphasizing operating discipline to improve cash flow through execution and cost management.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intend to continue to advance this priority through focused expense control, operational efficiencies, and disciplined management of working capital and capital expenditures. We believe these efforts contributed to a significant improvement in operating cash flow, which transitioned from cash used in operating activities during the comparable 2025 period to cash provided by operating activities in 2026.</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Protect and grow recurring, high margin revenue streams by maintaining </w:t>
      </w:r>
      <w:r>
        <w:rPr>
          <w:rFonts w:ascii="Times New Roman;serif" w:hAnsi="Times New Roman;serif"/>
          <w:b w:val="false"/>
          <w:i/>
          <w:color w:val="000000"/>
          <w:sz w:val="20"/>
        </w:rPr>
        <w:t xml:space="preserve">stable performance in our financing and management and exchange businesses to promote earnings durability and cash flow generation.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financing, management and exchange businesses continue to be high-margin, recurring revenue streams which contribute to earnings and cash flow generation, reinforcing the resilience of our business model and supporting our objective of delivering consistent financial performance across varying market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Disciplined capital allocation</w:t>
      </w:r>
      <w:r>
        <w:rPr>
          <w:color w:val="000000"/>
        </w:rPr>
        <w:t xml:space="preserve"> </w:t>
      </w:r>
      <w:r>
        <w:rPr>
          <w:rFonts w:ascii="Times New Roman;serif" w:hAnsi="Times New Roman;serif"/>
          <w:b w:val="false"/>
          <w:i/>
          <w:color w:val="000000"/>
          <w:sz w:val="20"/>
        </w:rPr>
        <w:t>to fund high return growth initiatives while prioritizing liquidity and balance sheet flexibility.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seek to balance investment in growth with maintaining liquidity and balance sheet flexibility. We are prioritizing initiatives that we believe have the greatest potential to drive long-term returns while maintaining the financial flexibility necessary to support our strategic objectives and navigate macroeconomic uncertainty.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July 2026, we amended certain agreements associated with our Warehouse Credit Facility to extend the revolving period from the second quarter of 2027 to the second quarter of 2028. The extension strengthens our liquidity profile and financial flexibility, while providing continued access to a key source of funding to support our strategic and operational objectives.</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Monetize non-core assets </w:t>
      </w:r>
      <w:r>
        <w:rPr>
          <w:rFonts w:ascii="Times New Roman;serif" w:hAnsi="Times New Roman;serif"/>
          <w:b w:val="false"/>
          <w:i/>
          <w:color w:val="000000"/>
          <w:sz w:val="20"/>
        </w:rPr>
        <w:t xml:space="preserve">to generate proceeds and support our deleveraging and reinvestment priorities.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While we continue to evaluate opportunities to monetize non-core assets as part of our capital allocation framework, recent increases in contract sales volume and improved sales trends have increased our inventory requirements to support anticipated future sales. As a result, we now expect to retain certain assets for operational use that we previously identified for potential disposition, reducing our near term estimated proceeds from non-core asset monetization but supporting future revenue generation and long-term value creation.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Following the decision to retain certain assets for operational use, we now expect that we will generate approximately $200 million of gross cash proceeds from the disposition of non-core assets in 2026 and 2027. We realized proceeds of $50 million in the first quarter of 2026 from the disposition of an entity that owned and operated a hotel in Cancun, Mexico and we expect to realize an additional $50 million of gross proceeds from dispositions during the remainder of 2026. </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Optimize geographic mix </w:t>
      </w:r>
      <w:r>
        <w:rPr>
          <w:rFonts w:ascii="Times New Roman;serif" w:hAnsi="Times New Roman;serif"/>
          <w:b w:val="false"/>
          <w:i/>
          <w:color w:val="000000"/>
          <w:sz w:val="20"/>
        </w:rPr>
        <w:t>by scaling back our operations in lower return areas to improve capital efficiency overall and future margins.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 part of our previously announced Asia Pacific strategy, we reduced Tours to certain customers in select markets, aligned regional staffing levels with anticipated demand, and deferred the purchase of a future phase of our Khao Lak, Thailand resort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the second quarter of 2026, we decided to close our sales gallery in Dubai, United Arab Emirates. This decision reflected the anticipated impact of heightened geopolitical uncertainty in the region on anticipated operating performance and our commitment to deploying capital in a manner that supports long-term value creation.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Results</w:t>
      </w:r>
    </w:p>
    <w:tbl>
      <w:tblPr>
        <w:tblW w:w="10205" w:type="dxa"/>
        <w:jc w:val="center"/>
        <w:tblInd w:w="0" w:type="dxa"/>
        <w:tblLayout w:type="fixed"/>
        <w:tblCellMar>
          <w:top w:w="28" w:type="dxa"/>
          <w:left w:w="28" w:type="dxa"/>
          <w:bottom w:w="28" w:type="dxa"/>
          <w:right w:w="28" w:type="dxa"/>
        </w:tblCellMar>
      </w:tblPr>
      <w:tblGrid>
        <w:gridCol w:w="2039"/>
        <w:gridCol w:w="1521"/>
        <w:gridCol w:w="1534"/>
        <w:gridCol w:w="274"/>
        <w:gridCol w:w="605"/>
        <w:gridCol w:w="141"/>
        <w:gridCol w:w="109"/>
        <w:gridCol w:w="109"/>
        <w:gridCol w:w="109"/>
        <w:gridCol w:w="274"/>
        <w:gridCol w:w="605"/>
        <w:gridCol w:w="141"/>
        <w:gridCol w:w="109"/>
        <w:gridCol w:w="109"/>
        <w:gridCol w:w="109"/>
        <w:gridCol w:w="274"/>
        <w:gridCol w:w="605"/>
        <w:gridCol w:w="141"/>
        <w:gridCol w:w="109"/>
        <w:gridCol w:w="109"/>
        <w:gridCol w:w="109"/>
        <w:gridCol w:w="270"/>
        <w:gridCol w:w="597"/>
        <w:gridCol w:w="203"/>
      </w:tblGrid>
      <w:tr>
        <w:trPr/>
        <w:tc>
          <w:tcPr>
            <w:tcW w:w="203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Modernization</w:t>
            </w:r>
            <w:r>
              <w:rPr>
                <w:color w:val="000000"/>
              </w:rPr>
              <w: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w:t>
            </w:r>
            <w:r>
              <w:rPr>
                <w:color w:val="000000"/>
              </w:rPr>
              <w: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w:t>
            </w:r>
            <w:r>
              <w:rPr>
                <w:color w:val="000000"/>
              </w:rPr>
              <w: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 AND NONCONTROLLING INTERESTS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Prior year amounts have been reclassified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Statistics</w:t>
      </w:r>
    </w:p>
    <w:tbl>
      <w:tblPr>
        <w:tblW w:w="10205" w:type="dxa"/>
        <w:jc w:val="center"/>
        <w:tblInd w:w="0" w:type="dxa"/>
        <w:tblLayout w:type="fixed"/>
        <w:tblCellMar>
          <w:top w:w="28" w:type="dxa"/>
          <w:left w:w="28" w:type="dxa"/>
          <w:bottom w:w="28" w:type="dxa"/>
          <w:right w:w="28" w:type="dxa"/>
        </w:tblCellMar>
      </w:tblPr>
      <w:tblGrid>
        <w:gridCol w:w="836"/>
        <w:gridCol w:w="437"/>
        <w:gridCol w:w="354"/>
        <w:gridCol w:w="216"/>
        <w:gridCol w:w="631"/>
        <w:gridCol w:w="111"/>
        <w:gridCol w:w="109"/>
        <w:gridCol w:w="109"/>
        <w:gridCol w:w="109"/>
        <w:gridCol w:w="216"/>
        <w:gridCol w:w="631"/>
        <w:gridCol w:w="111"/>
        <w:gridCol w:w="109"/>
        <w:gridCol w:w="109"/>
        <w:gridCol w:w="109"/>
        <w:gridCol w:w="211"/>
        <w:gridCol w:w="532"/>
        <w:gridCol w:w="109"/>
        <w:gridCol w:w="109"/>
        <w:gridCol w:w="109"/>
        <w:gridCol w:w="109"/>
        <w:gridCol w:w="118"/>
        <w:gridCol w:w="115"/>
        <w:gridCol w:w="115"/>
        <w:gridCol w:w="109"/>
        <w:gridCol w:w="109"/>
        <w:gridCol w:w="109"/>
        <w:gridCol w:w="216"/>
        <w:gridCol w:w="631"/>
        <w:gridCol w:w="111"/>
        <w:gridCol w:w="109"/>
        <w:gridCol w:w="109"/>
        <w:gridCol w:w="109"/>
        <w:gridCol w:w="216"/>
        <w:gridCol w:w="631"/>
        <w:gridCol w:w="111"/>
        <w:gridCol w:w="109"/>
        <w:gridCol w:w="109"/>
        <w:gridCol w:w="109"/>
        <w:gridCol w:w="211"/>
        <w:gridCol w:w="532"/>
        <w:gridCol w:w="109"/>
        <w:gridCol w:w="109"/>
        <w:gridCol w:w="109"/>
        <w:gridCol w:w="109"/>
        <w:gridCol w:w="117"/>
        <w:gridCol w:w="114"/>
        <w:gridCol w:w="174"/>
      </w:tblGrid>
      <w:tr>
        <w:trPr/>
        <w:tc>
          <w:tcPr>
            <w:tcW w:w="8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(Contract sales $ in millions)</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Vacation Ownership</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sales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Tours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Exchange &amp; Third-Party Management</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active members at end of period (000's)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member</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tbl>
      <w:tblPr>
        <w:tblW w:w="10205" w:type="dxa"/>
        <w:jc w:val="center"/>
        <w:tblInd w:w="0" w:type="dxa"/>
        <w:tblLayout w:type="fixed"/>
        <w:tblCellMar>
          <w:top w:w="28" w:type="dxa"/>
          <w:left w:w="28" w:type="dxa"/>
          <w:bottom w:w="28" w:type="dxa"/>
          <w:right w:w="28" w:type="dxa"/>
        </w:tblCellMar>
      </w:tblPr>
      <w:tblGrid>
        <w:gridCol w:w="762"/>
        <w:gridCol w:w="508"/>
        <w:gridCol w:w="398"/>
        <w:gridCol w:w="219"/>
        <w:gridCol w:w="640"/>
        <w:gridCol w:w="113"/>
        <w:gridCol w:w="109"/>
        <w:gridCol w:w="109"/>
        <w:gridCol w:w="109"/>
        <w:gridCol w:w="219"/>
        <w:gridCol w:w="640"/>
        <w:gridCol w:w="113"/>
        <w:gridCol w:w="109"/>
        <w:gridCol w:w="109"/>
        <w:gridCol w:w="109"/>
        <w:gridCol w:w="211"/>
        <w:gridCol w:w="361"/>
        <w:gridCol w:w="109"/>
        <w:gridCol w:w="109"/>
        <w:gridCol w:w="109"/>
        <w:gridCol w:w="109"/>
        <w:gridCol w:w="140"/>
        <w:gridCol w:w="140"/>
        <w:gridCol w:w="141"/>
        <w:gridCol w:w="109"/>
        <w:gridCol w:w="109"/>
        <w:gridCol w:w="109"/>
        <w:gridCol w:w="219"/>
        <w:gridCol w:w="640"/>
        <w:gridCol w:w="113"/>
        <w:gridCol w:w="109"/>
        <w:gridCol w:w="109"/>
        <w:gridCol w:w="109"/>
        <w:gridCol w:w="219"/>
        <w:gridCol w:w="640"/>
        <w:gridCol w:w="113"/>
        <w:gridCol w:w="109"/>
        <w:gridCol w:w="109"/>
        <w:gridCol w:w="109"/>
        <w:gridCol w:w="211"/>
        <w:gridCol w:w="466"/>
        <w:gridCol w:w="109"/>
        <w:gridCol w:w="109"/>
        <w:gridCol w:w="109"/>
        <w:gridCol w:w="109"/>
        <w:gridCol w:w="136"/>
        <w:gridCol w:w="136"/>
        <w:gridCol w:w="200"/>
      </w:tblGrid>
      <w:tr>
        <w:trPr/>
        <w:tc>
          <w:tcPr>
            <w:tcW w:w="76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&amp; Third-Party Management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Property Owners’ Associations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Earnings Before Interest Expense, Taxes, Depreciation and Amortization (“EBITDA”) and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EBITDA, a financial measure that is not prescribed by GAAP, is defined as earnings, or net income or loss attributable to common stockholders, before interest expense, net (excluding consumer financing interest expense),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Amortization of cloud computing software implementation costs, which are not included in depreciation and amortization expense, are excluded from Adjusted EBITDA for comparability purposes to address the considerable variability among companies in the utilization of productive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our EBITDA, Adjusted EBITDA, and Adjusted EBITDA margin calculations, we do not adjust for consumer financing interest expense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Adjusted EBITDA and Adjusted EBITDA margin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Commencing in the first quarter of 2026, interest expense associated with our Warehouse Credit Facility is included as a component of Consumer financing interest expense within Financing expense. For the three and six months ended June 30, 2025, interest expense associated with our Warehouse Credit Facility is included as a component of Interest expense, net. Interest expense on our Warehouse Credit Facility was $2 million and $5 million for the three and six months ended June 30, 2026, respectively, and $3 million and $7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shows our EBITDA and Adjusted EBITDA calculation and reconciles these measures with net income attributable to common stockholders, which is the most directly comparable GAAP financial measure.</w:t>
      </w:r>
    </w:p>
    <w:tbl>
      <w:tblPr>
        <w:tblW w:w="10205" w:type="dxa"/>
        <w:jc w:val="center"/>
        <w:tblInd w:w="0" w:type="dxa"/>
        <w:tblLayout w:type="fixed"/>
        <w:tblCellMar>
          <w:top w:w="28" w:type="dxa"/>
          <w:left w:w="28" w:type="dxa"/>
          <w:bottom w:w="28" w:type="dxa"/>
          <w:right w:w="28" w:type="dxa"/>
        </w:tblCellMar>
      </w:tblPr>
      <w:tblGrid>
        <w:gridCol w:w="910"/>
        <w:gridCol w:w="617"/>
        <w:gridCol w:w="624"/>
        <w:gridCol w:w="229"/>
        <w:gridCol w:w="507"/>
        <w:gridCol w:w="118"/>
        <w:gridCol w:w="109"/>
        <w:gridCol w:w="109"/>
        <w:gridCol w:w="109"/>
        <w:gridCol w:w="229"/>
        <w:gridCol w:w="507"/>
        <w:gridCol w:w="118"/>
        <w:gridCol w:w="109"/>
        <w:gridCol w:w="109"/>
        <w:gridCol w:w="109"/>
        <w:gridCol w:w="211"/>
        <w:gridCol w:w="361"/>
        <w:gridCol w:w="109"/>
        <w:gridCol w:w="109"/>
        <w:gridCol w:w="109"/>
        <w:gridCol w:w="109"/>
        <w:gridCol w:w="200"/>
        <w:gridCol w:w="128"/>
        <w:gridCol w:w="126"/>
        <w:gridCol w:w="109"/>
        <w:gridCol w:w="109"/>
        <w:gridCol w:w="109"/>
        <w:gridCol w:w="229"/>
        <w:gridCol w:w="507"/>
        <w:gridCol w:w="118"/>
        <w:gridCol w:w="109"/>
        <w:gridCol w:w="109"/>
        <w:gridCol w:w="109"/>
        <w:gridCol w:w="229"/>
        <w:gridCol w:w="507"/>
        <w:gridCol w:w="118"/>
        <w:gridCol w:w="109"/>
        <w:gridCol w:w="109"/>
        <w:gridCol w:w="109"/>
        <w:gridCol w:w="211"/>
        <w:gridCol w:w="387"/>
        <w:gridCol w:w="109"/>
        <w:gridCol w:w="109"/>
        <w:gridCol w:w="109"/>
        <w:gridCol w:w="109"/>
        <w:gridCol w:w="171"/>
        <w:gridCol w:w="135"/>
        <w:gridCol w:w="201"/>
      </w:tblGrid>
      <w:tr>
        <w:trPr/>
        <w:tc>
          <w:tcPr>
            <w:tcW w:w="91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software implementation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8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details the components of Certain items for the periods presented.</w:t>
      </w:r>
    </w:p>
    <w:tbl>
      <w:tblPr>
        <w:tblW w:w="10205" w:type="dxa"/>
        <w:jc w:val="center"/>
        <w:tblInd w:w="0" w:type="dxa"/>
        <w:tblLayout w:type="fixed"/>
        <w:tblCellMar>
          <w:top w:w="28" w:type="dxa"/>
          <w:left w:w="28" w:type="dxa"/>
          <w:bottom w:w="28" w:type="dxa"/>
          <w:right w:w="28" w:type="dxa"/>
        </w:tblCellMar>
      </w:tblPr>
      <w:tblGrid>
        <w:gridCol w:w="1744"/>
        <w:gridCol w:w="1497"/>
        <w:gridCol w:w="1494"/>
        <w:gridCol w:w="342"/>
        <w:gridCol w:w="588"/>
        <w:gridCol w:w="176"/>
        <w:gridCol w:w="109"/>
        <w:gridCol w:w="109"/>
        <w:gridCol w:w="109"/>
        <w:gridCol w:w="322"/>
        <w:gridCol w:w="623"/>
        <w:gridCol w:w="166"/>
        <w:gridCol w:w="109"/>
        <w:gridCol w:w="109"/>
        <w:gridCol w:w="109"/>
        <w:gridCol w:w="343"/>
        <w:gridCol w:w="587"/>
        <w:gridCol w:w="177"/>
        <w:gridCol w:w="109"/>
        <w:gridCol w:w="109"/>
        <w:gridCol w:w="109"/>
        <w:gridCol w:w="316"/>
        <w:gridCol w:w="609"/>
        <w:gridCol w:w="240"/>
      </w:tblGrid>
      <w:tr>
        <w:trPr/>
        <w:tc>
          <w:tcPr>
            <w:tcW w:w="174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 of hotel, land, and other</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indemnification asset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 relating to pre-acquisition contingencies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Modernization</w:t>
            </w:r>
            <w:r>
              <w:rPr>
                <w:color w:val="000000"/>
              </w:rPr>
              <w: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w:t>
            </w:r>
            <w:r>
              <w:rPr>
                <w:color w:val="000000"/>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w:t>
            </w:r>
            <w:r>
              <w:rPr>
                <w:color w:val="000000"/>
              </w:rPr>
              <w: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Certain items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Prior year amounts have been reclassified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Adjusted EBITDA</w:t>
      </w:r>
    </w:p>
    <w:tbl>
      <w:tblPr>
        <w:tblW w:w="10205" w:type="dxa"/>
        <w:jc w:val="center"/>
        <w:tblInd w:w="0" w:type="dxa"/>
        <w:tblLayout w:type="fixed"/>
        <w:tblCellMar>
          <w:top w:w="28" w:type="dxa"/>
          <w:left w:w="28" w:type="dxa"/>
          <w:bottom w:w="28" w:type="dxa"/>
          <w:right w:w="28" w:type="dxa"/>
        </w:tblCellMar>
      </w:tblPr>
      <w:tblGrid>
        <w:gridCol w:w="842"/>
        <w:gridCol w:w="583"/>
        <w:gridCol w:w="495"/>
        <w:gridCol w:w="243"/>
        <w:gridCol w:w="537"/>
        <w:gridCol w:w="125"/>
        <w:gridCol w:w="109"/>
        <w:gridCol w:w="109"/>
        <w:gridCol w:w="109"/>
        <w:gridCol w:w="243"/>
        <w:gridCol w:w="537"/>
        <w:gridCol w:w="125"/>
        <w:gridCol w:w="109"/>
        <w:gridCol w:w="109"/>
        <w:gridCol w:w="109"/>
        <w:gridCol w:w="211"/>
        <w:gridCol w:w="361"/>
        <w:gridCol w:w="109"/>
        <w:gridCol w:w="109"/>
        <w:gridCol w:w="109"/>
        <w:gridCol w:w="109"/>
        <w:gridCol w:w="165"/>
        <w:gridCol w:w="152"/>
        <w:gridCol w:w="127"/>
        <w:gridCol w:w="109"/>
        <w:gridCol w:w="109"/>
        <w:gridCol w:w="109"/>
        <w:gridCol w:w="243"/>
        <w:gridCol w:w="537"/>
        <w:gridCol w:w="125"/>
        <w:gridCol w:w="109"/>
        <w:gridCol w:w="109"/>
        <w:gridCol w:w="109"/>
        <w:gridCol w:w="243"/>
        <w:gridCol w:w="537"/>
        <w:gridCol w:w="125"/>
        <w:gridCol w:w="109"/>
        <w:gridCol w:w="109"/>
        <w:gridCol w:w="109"/>
        <w:gridCol w:w="211"/>
        <w:gridCol w:w="395"/>
        <w:gridCol w:w="109"/>
        <w:gridCol w:w="109"/>
        <w:gridCol w:w="109"/>
        <w:gridCol w:w="109"/>
        <w:gridCol w:w="189"/>
        <w:gridCol w:w="143"/>
        <w:gridCol w:w="204"/>
      </w:tblGrid>
      <w:tr>
        <w:trPr/>
        <w:tc>
          <w:tcPr>
            <w:tcW w:w="84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Vacation Ownership</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&amp; Third-Party Management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$5 million of severance expense relating to changes in executive leadership that was recorded as General and administrative expense in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financial results attributable to common stockholders reconciled to segment Adjusted EBITDA.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Vacation Ownership</w:t>
      </w:r>
    </w:p>
    <w:tbl>
      <w:tblPr>
        <w:tblW w:w="10205" w:type="dxa"/>
        <w:jc w:val="center"/>
        <w:tblInd w:w="0" w:type="dxa"/>
        <w:tblLayout w:type="fixed"/>
        <w:tblCellMar>
          <w:top w:w="28" w:type="dxa"/>
          <w:left w:w="28" w:type="dxa"/>
          <w:bottom w:w="28" w:type="dxa"/>
          <w:right w:w="28" w:type="dxa"/>
        </w:tblCellMar>
      </w:tblPr>
      <w:tblGrid>
        <w:gridCol w:w="1154"/>
        <w:gridCol w:w="501"/>
        <w:gridCol w:w="496"/>
        <w:gridCol w:w="229"/>
        <w:gridCol w:w="507"/>
        <w:gridCol w:w="118"/>
        <w:gridCol w:w="109"/>
        <w:gridCol w:w="109"/>
        <w:gridCol w:w="109"/>
        <w:gridCol w:w="229"/>
        <w:gridCol w:w="507"/>
        <w:gridCol w:w="118"/>
        <w:gridCol w:w="109"/>
        <w:gridCol w:w="109"/>
        <w:gridCol w:w="109"/>
        <w:gridCol w:w="211"/>
        <w:gridCol w:w="361"/>
        <w:gridCol w:w="109"/>
        <w:gridCol w:w="109"/>
        <w:gridCol w:w="109"/>
        <w:gridCol w:w="109"/>
        <w:gridCol w:w="200"/>
        <w:gridCol w:w="128"/>
        <w:gridCol w:w="126"/>
        <w:gridCol w:w="109"/>
        <w:gridCol w:w="109"/>
        <w:gridCol w:w="109"/>
        <w:gridCol w:w="229"/>
        <w:gridCol w:w="507"/>
        <w:gridCol w:w="118"/>
        <w:gridCol w:w="109"/>
        <w:gridCol w:w="109"/>
        <w:gridCol w:w="109"/>
        <w:gridCol w:w="229"/>
        <w:gridCol w:w="507"/>
        <w:gridCol w:w="118"/>
        <w:gridCol w:w="109"/>
        <w:gridCol w:w="109"/>
        <w:gridCol w:w="109"/>
        <w:gridCol w:w="211"/>
        <w:gridCol w:w="387"/>
        <w:gridCol w:w="109"/>
        <w:gridCol w:w="109"/>
        <w:gridCol w:w="109"/>
        <w:gridCol w:w="109"/>
        <w:gridCol w:w="189"/>
        <w:gridCol w:w="133"/>
        <w:gridCol w:w="185"/>
      </w:tblGrid>
      <w:tr>
        <w:trPr/>
        <w:tc>
          <w:tcPr>
            <w:tcW w:w="115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financial results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software implementation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details the components of Certain items for Vacation Ownership segment financial results.</w:t>
      </w:r>
    </w:p>
    <w:tbl>
      <w:tblPr>
        <w:tblW w:w="10205" w:type="dxa"/>
        <w:jc w:val="center"/>
        <w:tblInd w:w="0" w:type="dxa"/>
        <w:tblLayout w:type="fixed"/>
        <w:tblCellMar>
          <w:top w:w="28" w:type="dxa"/>
          <w:left w:w="28" w:type="dxa"/>
          <w:bottom w:w="28" w:type="dxa"/>
          <w:right w:w="28" w:type="dxa"/>
        </w:tblCellMar>
      </w:tblPr>
      <w:tblGrid>
        <w:gridCol w:w="1738"/>
        <w:gridCol w:w="1499"/>
        <w:gridCol w:w="1497"/>
        <w:gridCol w:w="402"/>
        <w:gridCol w:w="488"/>
        <w:gridCol w:w="207"/>
        <w:gridCol w:w="116"/>
        <w:gridCol w:w="116"/>
        <w:gridCol w:w="116"/>
        <w:gridCol w:w="322"/>
        <w:gridCol w:w="622"/>
        <w:gridCol w:w="166"/>
        <w:gridCol w:w="109"/>
        <w:gridCol w:w="109"/>
        <w:gridCol w:w="109"/>
        <w:gridCol w:w="358"/>
        <w:gridCol w:w="556"/>
        <w:gridCol w:w="184"/>
        <w:gridCol w:w="109"/>
        <w:gridCol w:w="109"/>
        <w:gridCol w:w="109"/>
        <w:gridCol w:w="316"/>
        <w:gridCol w:w="610"/>
        <w:gridCol w:w="238"/>
      </w:tblGrid>
      <w:tr>
        <w:trPr/>
        <w:tc>
          <w:tcPr>
            <w:tcW w:w="173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 of hotel, land, and other</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 relating to pre-acquisition contingencies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Certain items</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Exchange &amp; Third-Party Management</w:t>
      </w:r>
    </w:p>
    <w:tbl>
      <w:tblPr>
        <w:tblW w:w="10205" w:type="dxa"/>
        <w:jc w:val="center"/>
        <w:tblInd w:w="0" w:type="dxa"/>
        <w:tblLayout w:type="fixed"/>
        <w:tblCellMar>
          <w:top w:w="28" w:type="dxa"/>
          <w:left w:w="28" w:type="dxa"/>
          <w:bottom w:w="28" w:type="dxa"/>
          <w:right w:w="28" w:type="dxa"/>
        </w:tblCellMar>
      </w:tblPr>
      <w:tblGrid>
        <w:gridCol w:w="942"/>
        <w:gridCol w:w="554"/>
        <w:gridCol w:w="551"/>
        <w:gridCol w:w="277"/>
        <w:gridCol w:w="474"/>
        <w:gridCol w:w="143"/>
        <w:gridCol w:w="109"/>
        <w:gridCol w:w="109"/>
        <w:gridCol w:w="109"/>
        <w:gridCol w:w="277"/>
        <w:gridCol w:w="474"/>
        <w:gridCol w:w="143"/>
        <w:gridCol w:w="109"/>
        <w:gridCol w:w="109"/>
        <w:gridCol w:w="109"/>
        <w:gridCol w:w="211"/>
        <w:gridCol w:w="298"/>
        <w:gridCol w:w="109"/>
        <w:gridCol w:w="109"/>
        <w:gridCol w:w="109"/>
        <w:gridCol w:w="109"/>
        <w:gridCol w:w="183"/>
        <w:gridCol w:w="158"/>
        <w:gridCol w:w="159"/>
        <w:gridCol w:w="109"/>
        <w:gridCol w:w="109"/>
        <w:gridCol w:w="109"/>
        <w:gridCol w:w="277"/>
        <w:gridCol w:w="474"/>
        <w:gridCol w:w="143"/>
        <w:gridCol w:w="109"/>
        <w:gridCol w:w="109"/>
        <w:gridCol w:w="109"/>
        <w:gridCol w:w="277"/>
        <w:gridCol w:w="474"/>
        <w:gridCol w:w="143"/>
        <w:gridCol w:w="109"/>
        <w:gridCol w:w="109"/>
        <w:gridCol w:w="109"/>
        <w:gridCol w:w="211"/>
        <w:gridCol w:w="298"/>
        <w:gridCol w:w="109"/>
        <w:gridCol w:w="109"/>
        <w:gridCol w:w="109"/>
        <w:gridCol w:w="109"/>
        <w:gridCol w:w="177"/>
        <w:gridCol w:w="152"/>
        <w:gridCol w:w="228"/>
      </w:tblGrid>
      <w:tr>
        <w:trPr/>
        <w:tc>
          <w:tcPr>
            <w:tcW w:w="9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financial results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 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details the components of Certain items for Exchange and Third-Party Management segment financial results.</w:t>
      </w:r>
    </w:p>
    <w:tbl>
      <w:tblPr>
        <w:tblW w:w="8027" w:type="dxa"/>
        <w:jc w:val="center"/>
        <w:tblInd w:w="0" w:type="dxa"/>
        <w:tblLayout w:type="fixed"/>
        <w:tblCellMar>
          <w:top w:w="28" w:type="dxa"/>
          <w:left w:w="28" w:type="dxa"/>
          <w:bottom w:w="28" w:type="dxa"/>
          <w:right w:w="28" w:type="dxa"/>
        </w:tblCellMar>
      </w:tblPr>
      <w:tblGrid>
        <w:gridCol w:w="864"/>
        <w:gridCol w:w="759"/>
        <w:gridCol w:w="761"/>
        <w:gridCol w:w="335"/>
        <w:gridCol w:w="646"/>
        <w:gridCol w:w="173"/>
        <w:gridCol w:w="109"/>
        <w:gridCol w:w="109"/>
        <w:gridCol w:w="109"/>
        <w:gridCol w:w="335"/>
        <w:gridCol w:w="646"/>
        <w:gridCol w:w="173"/>
        <w:gridCol w:w="109"/>
        <w:gridCol w:w="109"/>
        <w:gridCol w:w="109"/>
        <w:gridCol w:w="374"/>
        <w:gridCol w:w="587"/>
        <w:gridCol w:w="193"/>
        <w:gridCol w:w="109"/>
        <w:gridCol w:w="109"/>
        <w:gridCol w:w="109"/>
        <w:gridCol w:w="408"/>
        <w:gridCol w:w="495"/>
        <w:gridCol w:w="297"/>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other income, net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w:t>
            </w:r>
            <w:r>
              <w:rPr>
                <w:color w:val="000000"/>
              </w:rPr>
              <w: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Certain items</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Prior year amounts have been reclassified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grouped into two reportable business segments: Vacation Ownership and Exchange &amp; Third-Party Management. See Footnote 16 “Business Segments” to our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Vacation Ownership</w:t>
      </w:r>
    </w:p>
    <w:tbl>
      <w:tblPr>
        <w:tblW w:w="10205" w:type="dxa"/>
        <w:jc w:val="center"/>
        <w:tblInd w:w="0" w:type="dxa"/>
        <w:tblLayout w:type="fixed"/>
        <w:tblCellMar>
          <w:top w:w="28" w:type="dxa"/>
          <w:left w:w="28" w:type="dxa"/>
          <w:bottom w:w="28" w:type="dxa"/>
          <w:right w:w="28" w:type="dxa"/>
        </w:tblCellMar>
      </w:tblPr>
      <w:tblGrid>
        <w:gridCol w:w="2032"/>
        <w:gridCol w:w="1569"/>
        <w:gridCol w:w="1583"/>
        <w:gridCol w:w="268"/>
        <w:gridCol w:w="592"/>
        <w:gridCol w:w="138"/>
        <w:gridCol w:w="109"/>
        <w:gridCol w:w="109"/>
        <w:gridCol w:w="109"/>
        <w:gridCol w:w="268"/>
        <w:gridCol w:w="592"/>
        <w:gridCol w:w="138"/>
        <w:gridCol w:w="109"/>
        <w:gridCol w:w="109"/>
        <w:gridCol w:w="109"/>
        <w:gridCol w:w="268"/>
        <w:gridCol w:w="592"/>
        <w:gridCol w:w="138"/>
        <w:gridCol w:w="109"/>
        <w:gridCol w:w="109"/>
        <w:gridCol w:w="109"/>
        <w:gridCol w:w="264"/>
        <w:gridCol w:w="585"/>
        <w:gridCol w:w="197"/>
      </w:tblGrid>
      <w:tr>
        <w:trPr/>
        <w:tc>
          <w:tcPr>
            <w:tcW w:w="203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FINANCIAL RESULTS ATTRIBUTABLE TO COMMON STOCKHOLDERS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 of Vacation Ownership Products</w:t>
      </w:r>
    </w:p>
    <w:tbl>
      <w:tblPr>
        <w:tblW w:w="14020" w:type="dxa"/>
        <w:jc w:val="center"/>
        <w:tblInd w:w="0" w:type="dxa"/>
        <w:tblLayout w:type="fixed"/>
        <w:tblCellMar>
          <w:top w:w="28" w:type="dxa"/>
          <w:left w:w="28" w:type="dxa"/>
          <w:bottom w:w="28" w:type="dxa"/>
          <w:right w:w="28" w:type="dxa"/>
        </w:tblCellMar>
      </w:tblPr>
      <w:tblGrid>
        <w:gridCol w:w="785"/>
        <w:gridCol w:w="215"/>
        <w:gridCol w:w="216"/>
        <w:gridCol w:w="211"/>
        <w:gridCol w:w="616"/>
        <w:gridCol w:w="109"/>
        <w:gridCol w:w="109"/>
        <w:gridCol w:w="109"/>
        <w:gridCol w:w="109"/>
        <w:gridCol w:w="265"/>
        <w:gridCol w:w="265"/>
        <w:gridCol w:w="266"/>
        <w:gridCol w:w="109"/>
        <w:gridCol w:w="109"/>
        <w:gridCol w:w="109"/>
        <w:gridCol w:w="211"/>
        <w:gridCol w:w="616"/>
        <w:gridCol w:w="109"/>
        <w:gridCol w:w="109"/>
        <w:gridCol w:w="109"/>
        <w:gridCol w:w="109"/>
        <w:gridCol w:w="265"/>
        <w:gridCol w:w="265"/>
        <w:gridCol w:w="266"/>
        <w:gridCol w:w="109"/>
        <w:gridCol w:w="109"/>
        <w:gridCol w:w="109"/>
        <w:gridCol w:w="211"/>
        <w:gridCol w:w="466"/>
        <w:gridCol w:w="109"/>
        <w:gridCol w:w="109"/>
        <w:gridCol w:w="109"/>
        <w:gridCol w:w="109"/>
        <w:gridCol w:w="113"/>
        <w:gridCol w:w="109"/>
        <w:gridCol w:w="109"/>
        <w:gridCol w:w="109"/>
        <w:gridCol w:w="109"/>
        <w:gridCol w:w="109"/>
        <w:gridCol w:w="211"/>
        <w:gridCol w:w="616"/>
        <w:gridCol w:w="109"/>
        <w:gridCol w:w="109"/>
        <w:gridCol w:w="109"/>
        <w:gridCol w:w="109"/>
        <w:gridCol w:w="265"/>
        <w:gridCol w:w="265"/>
        <w:gridCol w:w="266"/>
        <w:gridCol w:w="109"/>
        <w:gridCol w:w="109"/>
        <w:gridCol w:w="109"/>
        <w:gridCol w:w="211"/>
        <w:gridCol w:w="616"/>
        <w:gridCol w:w="109"/>
        <w:gridCol w:w="109"/>
        <w:gridCol w:w="109"/>
        <w:gridCol w:w="109"/>
        <w:gridCol w:w="265"/>
        <w:gridCol w:w="265"/>
        <w:gridCol w:w="266"/>
        <w:gridCol w:w="109"/>
        <w:gridCol w:w="109"/>
        <w:gridCol w:w="109"/>
        <w:gridCol w:w="211"/>
        <w:gridCol w:w="466"/>
        <w:gridCol w:w="109"/>
        <w:gridCol w:w="327"/>
        <w:gridCol w:w="376"/>
      </w:tblGrid>
      <w:tr>
        <w:trPr/>
        <w:tc>
          <w:tcPr>
            <w:tcW w:w="7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Resales contract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sales, net of resales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Resales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reserve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financing propensity as a % of contract sales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pts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FICO Score</w:t>
            </w:r>
            <w:r>
              <w:rPr>
                <w:color w:val="000000"/>
              </w:rPr>
              <w:t xml:space="preserve"> </w:t>
            </w:r>
            <w:r>
              <w:rPr>
                <w:rFonts w:ascii="Times New Roman;serif" w:hAnsi="Times New Roman;serif"/>
                <w:b w:val="false"/>
                <w:color w:val="000000"/>
                <w:sz w:val="12"/>
              </w:rPr>
              <w:t>(2)</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Adjustment for sales incentives that will not be recognized as Sale of vacation ownership products revenue and other adjustments to Sale of vacation ownership products revenue.</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customers who we expect to finance a vacation ownership purchase and for whom a credit score was available, generally U.S. and Canadian residents.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Sale of vacation ownership products for the second quarter of 2026 was driven by higher contract sales, partially offset by lower revenue reportability. </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Owner contract sales increased 41% reflecting a 33% increase in VPG and a 7% increase in owner Tours. These results reflect changes in our second quarter sales strategy to focus on existing owners upon the launch of our recent owner engagement initiatives and greater incremental purchase activity by existing owners.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First time buyer contract sales decreased 16% driven by lower VPG and Tours. We continue to believe there is a significant long-term opportunity to expand our first time buyer base through targeted marketing, enhanced lead generation efforts, and continued refinement of our sales and customer acquisition strategies.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overall decline in Tours was largely attributable to change in strategy for our Asia-Pacific business as well as our strategy to improve Tour quality for first time buyers. Excluding Asia</w:t>
        <w:noBreakHyphen/>
        <w:t>Pacific, Tours increased 3% year-over-year. VPG increased 23% year-over-year on a consolidated basis and, excluding Asia-Pacific, VPG increased nearly 22% year over year.</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expect the higher contract sales and VPG to continue throughout the remainder of the year, partially offset by an increase in our Sales reserve attributed to higher average transaction size and propensity.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Sale of vacation ownership products for the first half of 2026 was driven by higher contract sales, partially offset by lower revenue reportability. </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Owner contract sales increased 22% reflecting a 19% increase in VPG and higher Tours.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First time buyer contract sales decreased 14% reflecting lower Tours and a lower VPG.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decline in Tours was largely attributable to the change in strategy for our Asia-Pacific business as well as our strategy to improve Tour quality for first time buyers. Excluding Asia</w:t>
        <w:noBreakHyphen/>
        <w:t>Pacific, Tours increased 1% year-over-year. VPG increased 13% year-over-year on a consolidated basis and, excluding Asia-Pacific, increased nearly 12%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Development Profit</w:t>
      </w:r>
    </w:p>
    <w:tbl>
      <w:tblPr>
        <w:tblW w:w="13195" w:type="dxa"/>
        <w:jc w:val="center"/>
        <w:tblInd w:w="0" w:type="dxa"/>
        <w:tblLayout w:type="fixed"/>
        <w:tblCellMar>
          <w:top w:w="28" w:type="dxa"/>
          <w:left w:w="28" w:type="dxa"/>
          <w:bottom w:w="28" w:type="dxa"/>
          <w:right w:w="28" w:type="dxa"/>
        </w:tblCellMar>
      </w:tblPr>
      <w:tblGrid>
        <w:gridCol w:w="657"/>
        <w:gridCol w:w="343"/>
        <w:gridCol w:w="216"/>
        <w:gridCol w:w="211"/>
        <w:gridCol w:w="466"/>
        <w:gridCol w:w="109"/>
        <w:gridCol w:w="109"/>
        <w:gridCol w:w="109"/>
        <w:gridCol w:w="109"/>
        <w:gridCol w:w="255"/>
        <w:gridCol w:w="255"/>
        <w:gridCol w:w="256"/>
        <w:gridCol w:w="109"/>
        <w:gridCol w:w="109"/>
        <w:gridCol w:w="109"/>
        <w:gridCol w:w="211"/>
        <w:gridCol w:w="466"/>
        <w:gridCol w:w="109"/>
        <w:gridCol w:w="109"/>
        <w:gridCol w:w="109"/>
        <w:gridCol w:w="109"/>
        <w:gridCol w:w="255"/>
        <w:gridCol w:w="255"/>
        <w:gridCol w:w="256"/>
        <w:gridCol w:w="109"/>
        <w:gridCol w:w="109"/>
        <w:gridCol w:w="109"/>
        <w:gridCol w:w="211"/>
        <w:gridCol w:w="361"/>
        <w:gridCol w:w="109"/>
        <w:gridCol w:w="109"/>
        <w:gridCol w:w="109"/>
        <w:gridCol w:w="109"/>
        <w:gridCol w:w="158"/>
        <w:gridCol w:w="109"/>
        <w:gridCol w:w="109"/>
        <w:gridCol w:w="109"/>
        <w:gridCol w:w="109"/>
        <w:gridCol w:w="109"/>
        <w:gridCol w:w="211"/>
        <w:gridCol w:w="466"/>
        <w:gridCol w:w="109"/>
        <w:gridCol w:w="109"/>
        <w:gridCol w:w="109"/>
        <w:gridCol w:w="109"/>
        <w:gridCol w:w="255"/>
        <w:gridCol w:w="255"/>
        <w:gridCol w:w="256"/>
        <w:gridCol w:w="109"/>
        <w:gridCol w:w="109"/>
        <w:gridCol w:w="109"/>
        <w:gridCol w:w="211"/>
        <w:gridCol w:w="466"/>
        <w:gridCol w:w="109"/>
        <w:gridCol w:w="109"/>
        <w:gridCol w:w="109"/>
        <w:gridCol w:w="109"/>
        <w:gridCol w:w="255"/>
        <w:gridCol w:w="255"/>
        <w:gridCol w:w="256"/>
        <w:gridCol w:w="109"/>
        <w:gridCol w:w="109"/>
        <w:gridCol w:w="109"/>
        <w:gridCol w:w="211"/>
        <w:gridCol w:w="376"/>
        <w:gridCol w:w="109"/>
        <w:gridCol w:w="327"/>
        <w:gridCol w:w="421"/>
      </w:tblGrid>
      <w:tr>
        <w:trPr/>
        <w:tc>
          <w:tcPr>
            <w:tcW w:w="6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profit margin</w:t>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 pts)</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Development profit was due to the following:</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Sale of vacation ownership products (discussed above);</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a decline in Cost of vacation ownership products as a percentage of revenue due to the sale of lower average cost inventory (including resulting from the impairments in inventory from the fourth quarter of 2025), partially offset by lower favorable product cost true up activity; and</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Marketing and sales costs due to higher salaries, commissions and incentive compensation, marketing costs and severance associated with restructuring our marketing and sales leadership changes.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 as a percentage of revenue is expected to increase during the remainder of 2026, although will ultimately be determined through pricing increases, upgrade volume, repurchase activity and change in mix of inventory being sold. In addition, we expect to further leverage our fixed Marketing and sales expenses as we continue to invest in initiatives that support sales growth, reflecting our expectation that the growth in contract sales achieved during the second quarter of 2026 will continue through year-end resulting in an increase in Development profit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Resort Management and Other Services Revenues, Expenses and Profit</w:t>
      </w:r>
    </w:p>
    <w:tbl>
      <w:tblPr>
        <w:tblW w:w="10205" w:type="dxa"/>
        <w:jc w:val="center"/>
        <w:tblInd w:w="0" w:type="dxa"/>
        <w:tblLayout w:type="fixed"/>
        <w:tblCellMar>
          <w:top w:w="28" w:type="dxa"/>
          <w:left w:w="28" w:type="dxa"/>
          <w:bottom w:w="28" w:type="dxa"/>
          <w:right w:w="28" w:type="dxa"/>
        </w:tblCellMar>
      </w:tblPr>
      <w:tblGrid>
        <w:gridCol w:w="855"/>
        <w:gridCol w:w="752"/>
        <w:gridCol w:w="758"/>
        <w:gridCol w:w="266"/>
        <w:gridCol w:w="455"/>
        <w:gridCol w:w="137"/>
        <w:gridCol w:w="109"/>
        <w:gridCol w:w="109"/>
        <w:gridCol w:w="109"/>
        <w:gridCol w:w="266"/>
        <w:gridCol w:w="455"/>
        <w:gridCol w:w="137"/>
        <w:gridCol w:w="109"/>
        <w:gridCol w:w="109"/>
        <w:gridCol w:w="109"/>
        <w:gridCol w:w="211"/>
        <w:gridCol w:w="256"/>
        <w:gridCol w:w="109"/>
        <w:gridCol w:w="109"/>
        <w:gridCol w:w="109"/>
        <w:gridCol w:w="109"/>
        <w:gridCol w:w="132"/>
        <w:gridCol w:w="130"/>
        <w:gridCol w:w="130"/>
        <w:gridCol w:w="109"/>
        <w:gridCol w:w="109"/>
        <w:gridCol w:w="109"/>
        <w:gridCol w:w="248"/>
        <w:gridCol w:w="548"/>
        <w:gridCol w:w="128"/>
        <w:gridCol w:w="109"/>
        <w:gridCol w:w="109"/>
        <w:gridCol w:w="109"/>
        <w:gridCol w:w="248"/>
        <w:gridCol w:w="548"/>
        <w:gridCol w:w="128"/>
        <w:gridCol w:w="109"/>
        <w:gridCol w:w="109"/>
        <w:gridCol w:w="109"/>
        <w:gridCol w:w="211"/>
        <w:gridCol w:w="256"/>
        <w:gridCol w:w="109"/>
        <w:gridCol w:w="109"/>
        <w:gridCol w:w="109"/>
        <w:gridCol w:w="109"/>
        <w:gridCol w:w="129"/>
        <w:gridCol w:w="127"/>
        <w:gridCol w:w="187"/>
      </w:tblGrid>
      <w:tr>
        <w:trPr/>
        <w:tc>
          <w:tcPr>
            <w:tcW w:w="85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management and exchange revenues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revenues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expenses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profit</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profit margin</w:t>
            </w:r>
          </w:p>
        </w:tc>
        <w:tc>
          <w:tcPr>
            <w:tcW w:w="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pts</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Resort occupancy</w:t>
            </w:r>
            <w:r>
              <w:rPr>
                <w:color w:val="000000"/>
              </w:rPr>
              <w:t xml:space="preserve"> </w:t>
            </w:r>
            <w:r>
              <w:rPr>
                <w:rFonts w:ascii="Times New Roman;serif" w:hAnsi="Times New Roman;serif"/>
                <w:b w:val="false"/>
                <w:color w:val="000000"/>
                <w:sz w:val="13"/>
              </w:rPr>
              <w:t>(1)</w:t>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 pts</w:t>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Resort occupancy represents all transient, preview, and owner keys divided by total keys available, net of keys out of service.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Rental Revenues, Expenses and Profit</w:t>
      </w:r>
    </w:p>
    <w:tbl>
      <w:tblPr>
        <w:tblW w:w="10205" w:type="dxa"/>
        <w:jc w:val="center"/>
        <w:tblInd w:w="0" w:type="dxa"/>
        <w:tblLayout w:type="fixed"/>
        <w:tblCellMar>
          <w:top w:w="28" w:type="dxa"/>
          <w:left w:w="28" w:type="dxa"/>
          <w:bottom w:w="28" w:type="dxa"/>
          <w:right w:w="28" w:type="dxa"/>
        </w:tblCellMar>
      </w:tblPr>
      <w:tblGrid>
        <w:gridCol w:w="631"/>
        <w:gridCol w:w="292"/>
        <w:gridCol w:w="286"/>
        <w:gridCol w:w="310"/>
        <w:gridCol w:w="544"/>
        <w:gridCol w:w="117"/>
        <w:gridCol w:w="109"/>
        <w:gridCol w:w="109"/>
        <w:gridCol w:w="109"/>
        <w:gridCol w:w="310"/>
        <w:gridCol w:w="544"/>
        <w:gridCol w:w="117"/>
        <w:gridCol w:w="109"/>
        <w:gridCol w:w="109"/>
        <w:gridCol w:w="109"/>
        <w:gridCol w:w="265"/>
        <w:gridCol w:w="456"/>
        <w:gridCol w:w="109"/>
        <w:gridCol w:w="109"/>
        <w:gridCol w:w="109"/>
        <w:gridCol w:w="109"/>
        <w:gridCol w:w="174"/>
        <w:gridCol w:w="137"/>
        <w:gridCol w:w="138"/>
        <w:gridCol w:w="109"/>
        <w:gridCol w:w="109"/>
        <w:gridCol w:w="109"/>
        <w:gridCol w:w="310"/>
        <w:gridCol w:w="669"/>
        <w:gridCol w:w="117"/>
        <w:gridCol w:w="109"/>
        <w:gridCol w:w="109"/>
        <w:gridCol w:w="109"/>
        <w:gridCol w:w="310"/>
        <w:gridCol w:w="669"/>
        <w:gridCol w:w="117"/>
        <w:gridCol w:w="109"/>
        <w:gridCol w:w="109"/>
        <w:gridCol w:w="109"/>
        <w:gridCol w:w="265"/>
        <w:gridCol w:w="456"/>
        <w:gridCol w:w="109"/>
        <w:gridCol w:w="109"/>
        <w:gridCol w:w="109"/>
        <w:gridCol w:w="109"/>
        <w:gridCol w:w="133"/>
        <w:gridCol w:w="133"/>
        <w:gridCol w:w="198"/>
      </w:tblGrid>
      <w:tr>
        <w:trPr/>
        <w:tc>
          <w:tcPr>
            <w:tcW w:w="6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profit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profit margin</w:t>
            </w:r>
          </w:p>
        </w:tc>
        <w:tc>
          <w:tcPr>
            <w:tcW w:w="9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pts)</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Transient keys rented</w:t>
            </w:r>
            <w:r>
              <w:rPr>
                <w:rFonts w:ascii="Times New Roman;serif" w:hAnsi="Times New Roman;serif"/>
                <w:b w:val="false"/>
                <w:color w:val="000000"/>
                <w:sz w:val="12"/>
              </w:rPr>
              <w:t>(1)</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transient rate</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Rental occupancy</w:t>
            </w:r>
            <w:r>
              <w:rPr>
                <w:rFonts w:ascii="Times New Roman;serif" w:hAnsi="Times New Roman;serif"/>
                <w:b w:val="false"/>
                <w:color w:val="000000"/>
                <w:sz w:val="12"/>
              </w:rPr>
              <w:t>(2)</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 pts</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Transient keys rented exclude plus points and preview stays.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Rental occupancy represents transient and preview keys divided by keys available to rent, which is total available keys excluding owner usage.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Rental profit increased due to a $9 million increase in transient rental revenues, including plus points, partially offset by $6 million of higher unsold maintenance fees associated with developer-owned inventory and $3 million of higher marketing, variable and other costs.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revenues and Rental expenses are both $5 million higher due to a reduction in costs in excess of rental revenues for developer-owned inventory which is registered and held for sale. which is reclassified to Rental revenues (net presentation).</w:t>
      </w:r>
    </w:p>
    <w:p>
      <w:pPr>
        <w:pStyle w:val="TextBody"/>
        <w:bidi w:val="0"/>
        <w:spacing w:lineRule="auto" w:line="288" w:before="120" w:after="283"/>
        <w:jc w:val="left"/>
        <w:rPr/>
      </w:pPr>
      <w:r>
        <w:rPr>
          <w:rFonts w:ascii="Times New Roman;serif" w:hAnsi="Times New Roman;serif"/>
          <w:b w:val="false"/>
          <w:color w:val="000000"/>
          <w:sz w:val="20"/>
        </w:rPr>
        <w:t>We continue to expect a decline in rental profit in 2026 due to higher inventory and related unsold maintenance fees</w:t>
      </w:r>
      <w:r>
        <w:rPr>
          <w:rFonts w:ascii="Times New Roman;serif" w:hAnsi="Times New Roman;serif"/>
          <w:b w:val="false"/>
          <w:color w:val="EE2724"/>
          <w:sz w:val="20"/>
        </w:rPr>
        <w: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Rental profit declined due to $13 million of higher unsold maintenance fees associated with developer-owned inventory and $8 million of higher marketing, variable and other costs, partially offset by a $12 million increase in transient rental revenues, including plus points.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revenues and Rental expenses are both $11 million higher due to a reduction in costs in excess of rental revenues for developer-owned inventory which is registered and held for sale, which is reclassified to Rental revenues (net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Financing Revenues, Expenses and Profit</w:t>
      </w:r>
    </w:p>
    <w:tbl>
      <w:tblPr>
        <w:tblW w:w="10205" w:type="dxa"/>
        <w:jc w:val="center"/>
        <w:tblInd w:w="0" w:type="dxa"/>
        <w:tblLayout w:type="fixed"/>
        <w:tblCellMar>
          <w:top w:w="28" w:type="dxa"/>
          <w:left w:w="28" w:type="dxa"/>
          <w:bottom w:w="28" w:type="dxa"/>
          <w:right w:w="28" w:type="dxa"/>
        </w:tblCellMar>
      </w:tblPr>
      <w:tblGrid>
        <w:gridCol w:w="736"/>
        <w:gridCol w:w="633"/>
        <w:gridCol w:w="574"/>
        <w:gridCol w:w="278"/>
        <w:gridCol w:w="476"/>
        <w:gridCol w:w="143"/>
        <w:gridCol w:w="109"/>
        <w:gridCol w:w="109"/>
        <w:gridCol w:w="109"/>
        <w:gridCol w:w="278"/>
        <w:gridCol w:w="476"/>
        <w:gridCol w:w="143"/>
        <w:gridCol w:w="109"/>
        <w:gridCol w:w="109"/>
        <w:gridCol w:w="109"/>
        <w:gridCol w:w="211"/>
        <w:gridCol w:w="298"/>
        <w:gridCol w:w="109"/>
        <w:gridCol w:w="109"/>
        <w:gridCol w:w="109"/>
        <w:gridCol w:w="109"/>
        <w:gridCol w:w="167"/>
        <w:gridCol w:w="167"/>
        <w:gridCol w:w="168"/>
        <w:gridCol w:w="109"/>
        <w:gridCol w:w="109"/>
        <w:gridCol w:w="109"/>
        <w:gridCol w:w="256"/>
        <w:gridCol w:w="566"/>
        <w:gridCol w:w="132"/>
        <w:gridCol w:w="109"/>
        <w:gridCol w:w="109"/>
        <w:gridCol w:w="109"/>
        <w:gridCol w:w="256"/>
        <w:gridCol w:w="566"/>
        <w:gridCol w:w="132"/>
        <w:gridCol w:w="109"/>
        <w:gridCol w:w="109"/>
        <w:gridCol w:w="109"/>
        <w:gridCol w:w="211"/>
        <w:gridCol w:w="298"/>
        <w:gridCol w:w="109"/>
        <w:gridCol w:w="109"/>
        <w:gridCol w:w="109"/>
        <w:gridCol w:w="109"/>
        <w:gridCol w:w="152"/>
        <w:gridCol w:w="152"/>
        <w:gridCol w:w="229"/>
      </w:tblGrid>
      <w:tr>
        <w:trPr/>
        <w:tc>
          <w:tcPr>
            <w:tcW w:w="73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revenues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expenses</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financing interest expense</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profit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profit margin</w:t>
            </w:r>
          </w:p>
        </w:tc>
        <w:tc>
          <w:tcPr>
            <w:tcW w:w="8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 pts)</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Financing revenues reflect higher interest income as a result of a higher average notes receivable balance.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Commencing in the first quarter of 2026, interest expense associated with our Warehouse Credit Facility is included as a component of Consumer financing interest expense within Financing expense. For the three and six months ended June 30, 2025, interest expense associated with our Warehouse Credit Facility is included as a component of Interest expense, net. Interest expense on our Warehouse Credit Facility was $2 million and $5 million for the three and six months ended June 30, 2026, respectively, and $3 million and $7 million for the three and six months ended June 30, 2025, respectively.</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In addition, consumer financing interest expense increased by $2 million and $4 million in the second quarter and first half of 2026, respectively, due to a higher average securitized debt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(Losses) Gains and Other (Expense) Income</w:t>
      </w:r>
    </w:p>
    <w:tbl>
      <w:tblPr>
        <w:tblW w:w="10205" w:type="dxa"/>
        <w:jc w:val="center"/>
        <w:tblInd w:w="0" w:type="dxa"/>
        <w:tblLayout w:type="fixed"/>
        <w:tblCellMar>
          <w:top w:w="28" w:type="dxa"/>
          <w:left w:w="28" w:type="dxa"/>
          <w:bottom w:w="28" w:type="dxa"/>
          <w:right w:w="28" w:type="dxa"/>
        </w:tblCellMar>
      </w:tblPr>
      <w:tblGrid>
        <w:gridCol w:w="881"/>
        <w:gridCol w:w="736"/>
        <w:gridCol w:w="703"/>
        <w:gridCol w:w="288"/>
        <w:gridCol w:w="421"/>
        <w:gridCol w:w="149"/>
        <w:gridCol w:w="109"/>
        <w:gridCol w:w="109"/>
        <w:gridCol w:w="109"/>
        <w:gridCol w:w="311"/>
        <w:gridCol w:w="378"/>
        <w:gridCol w:w="160"/>
        <w:gridCol w:w="109"/>
        <w:gridCol w:w="109"/>
        <w:gridCol w:w="109"/>
        <w:gridCol w:w="211"/>
        <w:gridCol w:w="299"/>
        <w:gridCol w:w="109"/>
        <w:gridCol w:w="109"/>
        <w:gridCol w:w="109"/>
        <w:gridCol w:w="109"/>
        <w:gridCol w:w="140"/>
        <w:gridCol w:w="140"/>
        <w:gridCol w:w="141"/>
        <w:gridCol w:w="109"/>
        <w:gridCol w:w="109"/>
        <w:gridCol w:w="109"/>
        <w:gridCol w:w="311"/>
        <w:gridCol w:w="378"/>
        <w:gridCol w:w="160"/>
        <w:gridCol w:w="109"/>
        <w:gridCol w:w="109"/>
        <w:gridCol w:w="109"/>
        <w:gridCol w:w="281"/>
        <w:gridCol w:w="480"/>
        <w:gridCol w:w="145"/>
        <w:gridCol w:w="109"/>
        <w:gridCol w:w="109"/>
        <w:gridCol w:w="109"/>
        <w:gridCol w:w="211"/>
        <w:gridCol w:w="299"/>
        <w:gridCol w:w="109"/>
        <w:gridCol w:w="109"/>
        <w:gridCol w:w="109"/>
        <w:gridCol w:w="109"/>
        <w:gridCol w:w="136"/>
        <w:gridCol w:w="136"/>
        <w:gridCol w:w="203"/>
      </w:tblGrid>
      <w:tr>
        <w:trPr/>
        <w:tc>
          <w:tcPr>
            <w:tcW w:w="8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we benefited from a $2 million gain on the disposition of an entity that owned and operated a hotel in Cancun, Mexico, and a $4 million reduction in certain pre-acquisition contingencies associated with the ILG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2025, we benefited from $7 million of proceeds from service interruption insurance relating to the Maui wildfires, a $2 million reduction in certain pre-acquisition contingencies associated with the ILG Acquisition, and $1 million of other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Exchange &amp; Third-Party Management</w:t>
      </w:r>
    </w:p>
    <w:tbl>
      <w:tblPr>
        <w:tblW w:w="10205" w:type="dxa"/>
        <w:jc w:val="center"/>
        <w:tblInd w:w="0" w:type="dxa"/>
        <w:tblLayout w:type="fixed"/>
        <w:tblCellMar>
          <w:top w:w="28" w:type="dxa"/>
          <w:left w:w="28" w:type="dxa"/>
          <w:bottom w:w="28" w:type="dxa"/>
          <w:right w:w="28" w:type="dxa"/>
        </w:tblCellMar>
      </w:tblPr>
      <w:tblGrid>
        <w:gridCol w:w="2048"/>
        <w:gridCol w:w="1631"/>
        <w:gridCol w:w="1635"/>
        <w:gridCol w:w="298"/>
        <w:gridCol w:w="511"/>
        <w:gridCol w:w="153"/>
        <w:gridCol w:w="111"/>
        <w:gridCol w:w="111"/>
        <w:gridCol w:w="111"/>
        <w:gridCol w:w="298"/>
        <w:gridCol w:w="511"/>
        <w:gridCol w:w="153"/>
        <w:gridCol w:w="109"/>
        <w:gridCol w:w="109"/>
        <w:gridCol w:w="109"/>
        <w:gridCol w:w="298"/>
        <w:gridCol w:w="510"/>
        <w:gridCol w:w="154"/>
        <w:gridCol w:w="109"/>
        <w:gridCol w:w="109"/>
        <w:gridCol w:w="109"/>
        <w:gridCol w:w="293"/>
        <w:gridCol w:w="501"/>
        <w:gridCol w:w="224"/>
      </w:tblGrid>
      <w:tr>
        <w:trPr/>
        <w:tc>
          <w:tcPr>
            <w:tcW w:w="204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w:t>
            </w:r>
            <w:r>
              <w:rPr>
                <w:color w:val="000000"/>
              </w:rPr>
              <w:t>†</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other income, net</w:t>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FINANCIAL RESULTS ATTRIBUTABLE TO COMMON STOCKHOLDERS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Prior year amounts have been reclassified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tbl>
      <w:tblPr>
        <w:tblW w:w="10205" w:type="dxa"/>
        <w:jc w:val="center"/>
        <w:tblInd w:w="0" w:type="dxa"/>
        <w:tblLayout w:type="fixed"/>
        <w:tblCellMar>
          <w:top w:w="28" w:type="dxa"/>
          <w:left w:w="28" w:type="dxa"/>
          <w:bottom w:w="28" w:type="dxa"/>
          <w:right w:w="28" w:type="dxa"/>
        </w:tblCellMar>
      </w:tblPr>
      <w:tblGrid>
        <w:gridCol w:w="2142"/>
        <w:gridCol w:w="1533"/>
        <w:gridCol w:w="1546"/>
        <w:gridCol w:w="249"/>
        <w:gridCol w:w="611"/>
        <w:gridCol w:w="128"/>
        <w:gridCol w:w="109"/>
        <w:gridCol w:w="109"/>
        <w:gridCol w:w="109"/>
        <w:gridCol w:w="249"/>
        <w:gridCol w:w="611"/>
        <w:gridCol w:w="128"/>
        <w:gridCol w:w="109"/>
        <w:gridCol w:w="109"/>
        <w:gridCol w:w="109"/>
        <w:gridCol w:w="249"/>
        <w:gridCol w:w="611"/>
        <w:gridCol w:w="128"/>
        <w:gridCol w:w="109"/>
        <w:gridCol w:w="109"/>
        <w:gridCol w:w="109"/>
        <w:gridCol w:w="247"/>
        <w:gridCol w:w="606"/>
        <w:gridCol w:w="186"/>
      </w:tblGrid>
      <w:tr>
        <w:trPr/>
        <w:tc>
          <w:tcPr>
            <w:tcW w:w="21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Modernization</w:t>
            </w:r>
            <w:r>
              <w:rPr>
                <w:color w:val="00000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w:t>
            </w:r>
            <w:r>
              <w:rPr>
                <w:color w:val="000000"/>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BEFORE INCOME TAXES AND NONCONTROLLING INTERESTS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ATTRIBUTABLE TO COMMON STOCKHOLDERS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Prior year amounts have been reclassified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Modernization</w:t>
      </w:r>
    </w:p>
    <w:tbl>
      <w:tblPr>
        <w:tblW w:w="10205" w:type="dxa"/>
        <w:jc w:val="center"/>
        <w:tblInd w:w="0" w:type="dxa"/>
        <w:tblLayout w:type="fixed"/>
        <w:tblCellMar>
          <w:top w:w="28" w:type="dxa"/>
          <w:left w:w="28" w:type="dxa"/>
          <w:bottom w:w="28" w:type="dxa"/>
          <w:right w:w="28" w:type="dxa"/>
        </w:tblCellMar>
      </w:tblPr>
      <w:tblGrid>
        <w:gridCol w:w="484"/>
        <w:gridCol w:w="424"/>
        <w:gridCol w:w="428"/>
        <w:gridCol w:w="310"/>
        <w:gridCol w:w="530"/>
        <w:gridCol w:w="160"/>
        <w:gridCol w:w="109"/>
        <w:gridCol w:w="109"/>
        <w:gridCol w:w="109"/>
        <w:gridCol w:w="310"/>
        <w:gridCol w:w="530"/>
        <w:gridCol w:w="160"/>
        <w:gridCol w:w="109"/>
        <w:gridCol w:w="109"/>
        <w:gridCol w:w="109"/>
        <w:gridCol w:w="211"/>
        <w:gridCol w:w="416"/>
        <w:gridCol w:w="109"/>
        <w:gridCol w:w="109"/>
        <w:gridCol w:w="109"/>
        <w:gridCol w:w="109"/>
        <w:gridCol w:w="175"/>
        <w:gridCol w:w="175"/>
        <w:gridCol w:w="176"/>
        <w:gridCol w:w="109"/>
        <w:gridCol w:w="109"/>
        <w:gridCol w:w="109"/>
        <w:gridCol w:w="310"/>
        <w:gridCol w:w="530"/>
        <w:gridCol w:w="160"/>
        <w:gridCol w:w="109"/>
        <w:gridCol w:w="109"/>
        <w:gridCol w:w="109"/>
        <w:gridCol w:w="310"/>
        <w:gridCol w:w="530"/>
        <w:gridCol w:w="160"/>
        <w:gridCol w:w="109"/>
        <w:gridCol w:w="109"/>
        <w:gridCol w:w="109"/>
        <w:gridCol w:w="211"/>
        <w:gridCol w:w="416"/>
        <w:gridCol w:w="109"/>
        <w:gridCol w:w="109"/>
        <w:gridCol w:w="109"/>
        <w:gridCol w:w="109"/>
        <w:gridCol w:w="167"/>
        <w:gridCol w:w="167"/>
        <w:gridCol w:w="248"/>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Modernization</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our modernization expenses during the second quarter and first half of 2026 and 2025, respectively:</w:t>
      </w:r>
    </w:p>
    <w:tbl>
      <w:tblPr>
        <w:tblW w:w="8147" w:type="dxa"/>
        <w:jc w:val="center"/>
        <w:tblInd w:w="0" w:type="dxa"/>
        <w:tblLayout w:type="fixed"/>
        <w:tblCellMar>
          <w:top w:w="28" w:type="dxa"/>
          <w:left w:w="28" w:type="dxa"/>
          <w:bottom w:w="28" w:type="dxa"/>
          <w:right w:w="28" w:type="dxa"/>
        </w:tblCellMar>
      </w:tblPr>
      <w:tblGrid>
        <w:gridCol w:w="902"/>
        <w:gridCol w:w="792"/>
        <w:gridCol w:w="795"/>
        <w:gridCol w:w="358"/>
        <w:gridCol w:w="613"/>
        <w:gridCol w:w="184"/>
        <w:gridCol w:w="113"/>
        <w:gridCol w:w="113"/>
        <w:gridCol w:w="113"/>
        <w:gridCol w:w="358"/>
        <w:gridCol w:w="613"/>
        <w:gridCol w:w="184"/>
        <w:gridCol w:w="109"/>
        <w:gridCol w:w="109"/>
        <w:gridCol w:w="109"/>
        <w:gridCol w:w="358"/>
        <w:gridCol w:w="612"/>
        <w:gridCol w:w="185"/>
        <w:gridCol w:w="109"/>
        <w:gridCol w:w="109"/>
        <w:gridCol w:w="109"/>
        <w:gridCol w:w="349"/>
        <w:gridCol w:w="597"/>
        <w:gridCol w:w="2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Advisory services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(implementation)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costs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incur less than $60 million of non-recurring expenses in the remainder of 2026 primarily related to technology, as we wind down consulting spend and expect no further advisory services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(Losses) Gains and Other (Expense) Income</w:t>
      </w:r>
    </w:p>
    <w:tbl>
      <w:tblPr>
        <w:tblW w:w="10205" w:type="dxa"/>
        <w:jc w:val="center"/>
        <w:tblInd w:w="0" w:type="dxa"/>
        <w:tblLayout w:type="fixed"/>
        <w:tblCellMar>
          <w:top w:w="28" w:type="dxa"/>
          <w:left w:w="28" w:type="dxa"/>
          <w:bottom w:w="28" w:type="dxa"/>
          <w:right w:w="28" w:type="dxa"/>
        </w:tblCellMar>
      </w:tblPr>
      <w:tblGrid>
        <w:gridCol w:w="827"/>
        <w:gridCol w:w="686"/>
        <w:gridCol w:w="649"/>
        <w:gridCol w:w="280"/>
        <w:gridCol w:w="404"/>
        <w:gridCol w:w="144"/>
        <w:gridCol w:w="109"/>
        <w:gridCol w:w="109"/>
        <w:gridCol w:w="109"/>
        <w:gridCol w:w="273"/>
        <w:gridCol w:w="467"/>
        <w:gridCol w:w="141"/>
        <w:gridCol w:w="109"/>
        <w:gridCol w:w="109"/>
        <w:gridCol w:w="109"/>
        <w:gridCol w:w="211"/>
        <w:gridCol w:w="401"/>
        <w:gridCol w:w="109"/>
        <w:gridCol w:w="109"/>
        <w:gridCol w:w="109"/>
        <w:gridCol w:w="109"/>
        <w:gridCol w:w="140"/>
        <w:gridCol w:w="140"/>
        <w:gridCol w:w="141"/>
        <w:gridCol w:w="109"/>
        <w:gridCol w:w="109"/>
        <w:gridCol w:w="109"/>
        <w:gridCol w:w="280"/>
        <w:gridCol w:w="404"/>
        <w:gridCol w:w="144"/>
        <w:gridCol w:w="109"/>
        <w:gridCol w:w="109"/>
        <w:gridCol w:w="109"/>
        <w:gridCol w:w="273"/>
        <w:gridCol w:w="467"/>
        <w:gridCol w:w="141"/>
        <w:gridCol w:w="109"/>
        <w:gridCol w:w="109"/>
        <w:gridCol w:w="109"/>
        <w:gridCol w:w="211"/>
        <w:gridCol w:w="401"/>
        <w:gridCol w:w="109"/>
        <w:gridCol w:w="109"/>
        <w:gridCol w:w="109"/>
        <w:gridCol w:w="109"/>
        <w:gridCol w:w="136"/>
        <w:gridCol w:w="136"/>
        <w:gridCol w:w="201"/>
      </w:tblGrid>
      <w:tr>
        <w:trPr/>
        <w:tc>
          <w:tcPr>
            <w:tcW w:w="82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 income, net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recorded $2 million of foreign currency losses and a $2 million reduction in the receivable from Marriott International for indemnified tax matters, partially offset by $1 million of other gains.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we recorded $18 million of foreign currency gains, $3 million of tax related adjustments to the receivable from Marriott International for indemnified tax matters, $1 million of insurance proceeds and $1 million of other gains.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half of 2026, we recorded $5 million of foreign currency losses and a $5 million reduction in the receivable from Marriott International for indemnified tax matters, partially offset by $1 million of other gains.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half of 2025, we recorded $21 million of foreign currency gains, $3 million of tax related adjustments to the receivable from Marriott International for indemnified tax matters, $2 million of other gains, and $1 million of insurance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Expense</w:t>
      </w:r>
    </w:p>
    <w:tbl>
      <w:tblPr>
        <w:tblW w:w="10205" w:type="dxa"/>
        <w:jc w:val="center"/>
        <w:tblInd w:w="0" w:type="dxa"/>
        <w:tblLayout w:type="fixed"/>
        <w:tblCellMar>
          <w:top w:w="28" w:type="dxa"/>
          <w:left w:w="28" w:type="dxa"/>
          <w:bottom w:w="28" w:type="dxa"/>
          <w:right w:w="28" w:type="dxa"/>
        </w:tblCellMar>
      </w:tblPr>
      <w:tblGrid>
        <w:gridCol w:w="579"/>
        <w:gridCol w:w="476"/>
        <w:gridCol w:w="477"/>
        <w:gridCol w:w="294"/>
        <w:gridCol w:w="593"/>
        <w:gridCol w:w="151"/>
        <w:gridCol w:w="109"/>
        <w:gridCol w:w="109"/>
        <w:gridCol w:w="109"/>
        <w:gridCol w:w="294"/>
        <w:gridCol w:w="593"/>
        <w:gridCol w:w="151"/>
        <w:gridCol w:w="109"/>
        <w:gridCol w:w="109"/>
        <w:gridCol w:w="109"/>
        <w:gridCol w:w="211"/>
        <w:gridCol w:w="316"/>
        <w:gridCol w:w="109"/>
        <w:gridCol w:w="109"/>
        <w:gridCol w:w="109"/>
        <w:gridCol w:w="109"/>
        <w:gridCol w:w="150"/>
        <w:gridCol w:w="150"/>
        <w:gridCol w:w="152"/>
        <w:gridCol w:w="109"/>
        <w:gridCol w:w="109"/>
        <w:gridCol w:w="109"/>
        <w:gridCol w:w="294"/>
        <w:gridCol w:w="593"/>
        <w:gridCol w:w="151"/>
        <w:gridCol w:w="109"/>
        <w:gridCol w:w="109"/>
        <w:gridCol w:w="109"/>
        <w:gridCol w:w="294"/>
        <w:gridCol w:w="593"/>
        <w:gridCol w:w="151"/>
        <w:gridCol w:w="109"/>
        <w:gridCol w:w="109"/>
        <w:gridCol w:w="109"/>
        <w:gridCol w:w="211"/>
        <w:gridCol w:w="316"/>
        <w:gridCol w:w="109"/>
        <w:gridCol w:w="109"/>
        <w:gridCol w:w="109"/>
        <w:gridCol w:w="109"/>
        <w:gridCol w:w="146"/>
        <w:gridCol w:w="146"/>
        <w:gridCol w:w="216"/>
      </w:tblGrid>
      <w:tr>
        <w:trPr/>
        <w:tc>
          <w:tcPr>
            <w:tcW w:w="57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net is primarily attributed to interest on our 6.500% Senior Unsecured Notes due 2033 issued in the third quarter of 2025 (the proceeds of which were used to repay our $575 million 0.000% 2026 Convertible Notes) for the second quarter and first half of 2026. This increase was partially offset by the change in presentation of interest on our Warehouse Credit Facility and by lower interest on our Corporate Credit Facility and 2026 Convertible Notes, which were repaid during the first half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Commencing in the first quarter of 2026, interest expense associated with our Warehouse Credit Facility is included as a component of Consumer financing interest expense within Financing expense. For the three and six months ended June 30, 2025, interest expense associated with our Warehouse Credit Facility is included as a component of Interest expense, net. Interest expense on our Warehouse Credit Facility was $2 million and $5 million for the three and six months ended June 30, 2026, respectively, and $3 million and $7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w:t>
      </w:r>
    </w:p>
    <w:tbl>
      <w:tblPr>
        <w:tblW w:w="10205" w:type="dxa"/>
        <w:jc w:val="center"/>
        <w:tblInd w:w="0" w:type="dxa"/>
        <w:tblLayout w:type="fixed"/>
        <w:tblCellMar>
          <w:top w:w="28" w:type="dxa"/>
          <w:left w:w="28" w:type="dxa"/>
          <w:bottom w:w="28" w:type="dxa"/>
          <w:right w:w="28" w:type="dxa"/>
        </w:tblCellMar>
      </w:tblPr>
      <w:tblGrid>
        <w:gridCol w:w="646"/>
        <w:gridCol w:w="538"/>
        <w:gridCol w:w="511"/>
        <w:gridCol w:w="275"/>
        <w:gridCol w:w="543"/>
        <w:gridCol w:w="141"/>
        <w:gridCol w:w="109"/>
        <w:gridCol w:w="109"/>
        <w:gridCol w:w="109"/>
        <w:gridCol w:w="275"/>
        <w:gridCol w:w="543"/>
        <w:gridCol w:w="141"/>
        <w:gridCol w:w="109"/>
        <w:gridCol w:w="109"/>
        <w:gridCol w:w="109"/>
        <w:gridCol w:w="211"/>
        <w:gridCol w:w="410"/>
        <w:gridCol w:w="109"/>
        <w:gridCol w:w="109"/>
        <w:gridCol w:w="109"/>
        <w:gridCol w:w="109"/>
        <w:gridCol w:w="167"/>
        <w:gridCol w:w="167"/>
        <w:gridCol w:w="169"/>
        <w:gridCol w:w="109"/>
        <w:gridCol w:w="109"/>
        <w:gridCol w:w="109"/>
        <w:gridCol w:w="275"/>
        <w:gridCol w:w="543"/>
        <w:gridCol w:w="141"/>
        <w:gridCol w:w="109"/>
        <w:gridCol w:w="109"/>
        <w:gridCol w:w="109"/>
        <w:gridCol w:w="275"/>
        <w:gridCol w:w="543"/>
        <w:gridCol w:w="141"/>
        <w:gridCol w:w="109"/>
        <w:gridCol w:w="109"/>
        <w:gridCol w:w="109"/>
        <w:gridCol w:w="211"/>
        <w:gridCol w:w="361"/>
        <w:gridCol w:w="109"/>
        <w:gridCol w:w="109"/>
        <w:gridCol w:w="109"/>
        <w:gridCol w:w="109"/>
        <w:gridCol w:w="134"/>
        <w:gridCol w:w="134"/>
        <w:gridCol w:w="203"/>
      </w:tblGrid>
      <w:tr>
        <w:trPr/>
        <w:tc>
          <w:tcPr>
            <w:tcW w:w="6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was 32.4% and 26.8% for the three months ended June 30, 2026 and June 30,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differed from the blended U.S. federal and state statutory tax rate primarily due to projected losses in certain foreign jurisdictions for which no tax benefit was recognized as a result of valuation allowances with respect to such foreign jurisdictions, as well as discrete tax benefits related to uncertain tax positions and the effective settlement of a domestic tax audit, partially offset by penalties accrued for foreign tax matters.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2025 was generally consistent with the blended U.S. federal and state statutory tax rate, with no significant variances.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was 37.5% and 35.5% for the six months ended June 30, 2026 and June 30,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differed from the blended U.S. federal and state statutory tax rate primarily due to projected losses in certain foreign jurisdictions for which no tax benefit was recognized as a result of valuation allowances with respect to such foreign jurisdictions, as well as discrete tax benefits related to uncertain tax positions, partially offset by a $6 million cumulative adjustment related to a foreign tax provision and penalties accrued for foreign tax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2025 differed from the blended U.S. federal and state statutory tax rate primarily due to the effect of losses incurred in certain non-U.S. jurisdictions for which no tax benefit was recognized. Additionally, permanent differences between the book and tax treatment contributed to the variance from the statutory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Property Owners’ Associations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impact of certain Consolidated Property Owners’ Associations under the relevant accounting guidance.</w:t>
      </w:r>
    </w:p>
    <w:tbl>
      <w:tblPr>
        <w:tblW w:w="10205" w:type="dxa"/>
        <w:jc w:val="center"/>
        <w:tblInd w:w="0" w:type="dxa"/>
        <w:tblLayout w:type="fixed"/>
        <w:tblCellMar>
          <w:top w:w="28" w:type="dxa"/>
          <w:left w:w="28" w:type="dxa"/>
          <w:bottom w:w="28" w:type="dxa"/>
          <w:right w:w="28" w:type="dxa"/>
        </w:tblCellMar>
      </w:tblPr>
      <w:tblGrid>
        <w:gridCol w:w="2129"/>
        <w:gridCol w:w="1616"/>
        <w:gridCol w:w="1587"/>
        <w:gridCol w:w="279"/>
        <w:gridCol w:w="537"/>
        <w:gridCol w:w="144"/>
        <w:gridCol w:w="109"/>
        <w:gridCol w:w="109"/>
        <w:gridCol w:w="109"/>
        <w:gridCol w:w="279"/>
        <w:gridCol w:w="537"/>
        <w:gridCol w:w="144"/>
        <w:gridCol w:w="109"/>
        <w:gridCol w:w="109"/>
        <w:gridCol w:w="109"/>
        <w:gridCol w:w="279"/>
        <w:gridCol w:w="537"/>
        <w:gridCol w:w="144"/>
        <w:gridCol w:w="109"/>
        <w:gridCol w:w="109"/>
        <w:gridCol w:w="109"/>
        <w:gridCol w:w="275"/>
        <w:gridCol w:w="530"/>
        <w:gridCol w:w="207"/>
      </w:tblGrid>
      <w:tr>
        <w:trPr/>
        <w:tc>
          <w:tcPr>
            <w:tcW w:w="212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3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BEFORE INCOME TAXES AND NONCONTROLLING INTERESTS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ATTRIBUTABLE TO COMMON STOCKHOLDERS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our gross corporate debt, net of cash and equivalents, to Adjusted EBITDA ratio was 4.0, which we believe is a manageable leverage level, and we remain focused on reducing this ratio over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used the proceeds from the 2033 Notes to repay our 2026 Convertible Notes upon maturity. We have no material principal payment obligations for the remainder of 2026. See Footnote 12 “Debt” to our Financial Statements for further information related to maturities of our debt.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Cash from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Vacation Ownership Notes Receivable Securitizations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administrative fees and amounts from related vacation ownership notes receivable that default. Loan defaults under securitizations offset a portion of the excess spread we receive, on a monthly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the second quarter of 2026, and as of June 30, 2026, we had 12 term securitization transactions outstanding, none of which were out of compliance with their respective required parameters. Since 2000, we have issued approximately $11.2 billion of debt securities in securitization transactions in the term ABS market, excluding amounts securitized through warehouse credit facilities or private bank transactions.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At June 30, 2026, we had $165 million of borrowings outstanding on our Warehouse Credit Facility. See Footnote 11 “Securitized Debt” to our Financial Statements for further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$67 million of gross vacation ownership notes receivable were eligible for securitization.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Revolving Corporate Credit Facility, which expires on March 24, 2030, provides for up to $800 million of aggregate borrowings for general corporate needs, including working capital, capital expenditures, letters of credit, and acquisitions. At June 30, 2026, $145 million of borrowings and $5 million of letters of credit were outstanding under our Revolving Corporate Credit Facility. See Footnote 12 “Debt” to our Financial Statements for further information.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Disposition of Non-core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we will generate approximately $200 million of gross cash proceeds from the disposition of non-core assets in 2026 and 2027. We realized proceeds of $50 million in the first quarter of 2026 from the disposition of an entity that owned and operated a hotel in Cancun, Mexico and we expect to realize an additional $50 million of gross proceeds from dispositions during the remainder of 2026.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Uses of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timing and amount of voluntary repurchases of defaulted vacation ownership notes receivable, the closing or recording of sales contracts for vacation ownership products, financing propensity, and cash outlays for inventory acquisitions and development.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variable compensation-related cash outflows associated with payment of annual bonuses and, subject to the continued issuance of quarterly dividends, the payment of two quarterly cash dividends declared in December and February.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net income and adjustments for non-cash items, the following are key drivers of our cash flow from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Inventory Spending Less than (In Excess of) Cost of Sales</w:t>
      </w:r>
    </w:p>
    <w:tbl>
      <w:tblPr>
        <w:tblW w:w="8409" w:type="dxa"/>
        <w:jc w:val="center"/>
        <w:tblInd w:w="0" w:type="dxa"/>
        <w:tblLayout w:type="fixed"/>
        <w:tblCellMar>
          <w:top w:w="28" w:type="dxa"/>
          <w:left w:w="28" w:type="dxa"/>
          <w:bottom w:w="28" w:type="dxa"/>
          <w:right w:w="28" w:type="dxa"/>
        </w:tblCellMar>
      </w:tblPr>
      <w:tblGrid>
        <w:gridCol w:w="2077"/>
        <w:gridCol w:w="1823"/>
        <w:gridCol w:w="1829"/>
        <w:gridCol w:w="322"/>
        <w:gridCol w:w="666"/>
        <w:gridCol w:w="166"/>
        <w:gridCol w:w="109"/>
        <w:gridCol w:w="109"/>
        <w:gridCol w:w="109"/>
        <w:gridCol w:w="316"/>
        <w:gridCol w:w="653"/>
        <w:gridCol w:w="230"/>
      </w:tblGrid>
      <w:tr>
        <w:trPr/>
        <w:tc>
          <w:tcPr>
            <w:tcW w:w="207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spending</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development of property for future transfer to inventory</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spending less than (in excess of) cost of sales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plan to restrict our new inventory spending to capital efficient arrangements where our cash outlay coincides with the start of sales, as well as low-cost reacquired inventory. 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Vacation Ownership Notes Receivable Collections Less Than Originations</w:t>
      </w:r>
    </w:p>
    <w:tbl>
      <w:tblPr>
        <w:tblW w:w="8516" w:type="dxa"/>
        <w:jc w:val="center"/>
        <w:tblInd w:w="0" w:type="dxa"/>
        <w:tblLayout w:type="fixed"/>
        <w:tblCellMar>
          <w:top w:w="28" w:type="dxa"/>
          <w:left w:w="28" w:type="dxa"/>
          <w:bottom w:w="28" w:type="dxa"/>
          <w:right w:w="28" w:type="dxa"/>
        </w:tblCellMar>
      </w:tblPr>
      <w:tblGrid>
        <w:gridCol w:w="2113"/>
        <w:gridCol w:w="1853"/>
        <w:gridCol w:w="1868"/>
        <w:gridCol w:w="283"/>
        <w:gridCol w:w="726"/>
        <w:gridCol w:w="146"/>
        <w:gridCol w:w="109"/>
        <w:gridCol w:w="109"/>
        <w:gridCol w:w="109"/>
        <w:gridCol w:w="279"/>
        <w:gridCol w:w="717"/>
        <w:gridCol w:w="204"/>
      </w:tblGrid>
      <w:tr>
        <w:trPr/>
        <w:tc>
          <w:tcPr>
            <w:tcW w:w="211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 non-securitized</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 securitized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originations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less than originations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were less than originations in the first halves of 2026 and 2025 due to the growth of our vacation ownership notes receivable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Repurchase of Common Stock</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under our Share Repurchase Program:</w:t>
      </w:r>
    </w:p>
    <w:tbl>
      <w:tblPr>
        <w:tblW w:w="10205" w:type="dxa"/>
        <w:jc w:val="center"/>
        <w:tblInd w:w="0" w:type="dxa"/>
        <w:tblLayout w:type="fixed"/>
        <w:tblCellMar>
          <w:top w:w="28" w:type="dxa"/>
          <w:left w:w="28" w:type="dxa"/>
          <w:bottom w:w="28" w:type="dxa"/>
          <w:right w:w="28" w:type="dxa"/>
        </w:tblCellMar>
      </w:tblPr>
      <w:tblGrid>
        <w:gridCol w:w="1074"/>
        <w:gridCol w:w="941"/>
        <w:gridCol w:w="949"/>
        <w:gridCol w:w="857"/>
        <w:gridCol w:w="854"/>
        <w:gridCol w:w="856"/>
        <w:gridCol w:w="109"/>
        <w:gridCol w:w="109"/>
        <w:gridCol w:w="109"/>
        <w:gridCol w:w="612"/>
        <w:gridCol w:w="1797"/>
        <w:gridCol w:w="319"/>
        <w:gridCol w:w="109"/>
        <w:gridCol w:w="109"/>
        <w:gridCol w:w="109"/>
        <w:gridCol w:w="276"/>
        <w:gridCol w:w="808"/>
        <w:gridCol w:w="208"/>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 except per share amounts)</w:t>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26,795,163 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2026</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1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26,795,163 </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Footnote 13 “Stockholders' Equity” to our Financial Statements for further information related to our current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Payment of Dividends to Common Stockholders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distributed cash dividends to holders of our common stock during the first half of 2026 as follows:</w:t>
      </w:r>
    </w:p>
    <w:tbl>
      <w:tblPr>
        <w:tblW w:w="7818" w:type="dxa"/>
        <w:jc w:val="center"/>
        <w:tblInd w:w="0" w:type="dxa"/>
        <w:tblLayout w:type="fixed"/>
        <w:tblCellMar>
          <w:top w:w="28" w:type="dxa"/>
          <w:left w:w="28" w:type="dxa"/>
          <w:bottom w:w="28" w:type="dxa"/>
          <w:right w:w="28" w:type="dxa"/>
        </w:tblCellMar>
      </w:tblPr>
      <w:tblGrid>
        <w:gridCol w:w="613"/>
        <w:gridCol w:w="539"/>
        <w:gridCol w:w="542"/>
        <w:gridCol w:w="109"/>
        <w:gridCol w:w="109"/>
        <w:gridCol w:w="109"/>
        <w:gridCol w:w="679"/>
        <w:gridCol w:w="679"/>
        <w:gridCol w:w="681"/>
        <w:gridCol w:w="109"/>
        <w:gridCol w:w="109"/>
        <w:gridCol w:w="109"/>
        <w:gridCol w:w="484"/>
        <w:gridCol w:w="484"/>
        <w:gridCol w:w="486"/>
        <w:gridCol w:w="109"/>
        <w:gridCol w:w="109"/>
        <w:gridCol w:w="109"/>
        <w:gridCol w:w="482"/>
        <w:gridCol w:w="482"/>
        <w:gridCol w:w="68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future material cash requirements from known contractual or other obligations as of June 30, 2026:</w:t>
      </w:r>
    </w:p>
    <w:tbl>
      <w:tblPr>
        <w:tblW w:w="10205" w:type="dxa"/>
        <w:jc w:val="center"/>
        <w:tblInd w:w="0" w:type="dxa"/>
        <w:tblLayout w:type="fixed"/>
        <w:tblCellMar>
          <w:top w:w="28" w:type="dxa"/>
          <w:left w:w="28" w:type="dxa"/>
          <w:bottom w:w="28" w:type="dxa"/>
          <w:right w:w="28" w:type="dxa"/>
        </w:tblCellMar>
      </w:tblPr>
      <w:tblGrid>
        <w:gridCol w:w="667"/>
        <w:gridCol w:w="557"/>
        <w:gridCol w:w="519"/>
        <w:gridCol w:w="109"/>
        <w:gridCol w:w="109"/>
        <w:gridCol w:w="109"/>
        <w:gridCol w:w="211"/>
        <w:gridCol w:w="616"/>
        <w:gridCol w:w="109"/>
        <w:gridCol w:w="109"/>
        <w:gridCol w:w="109"/>
        <w:gridCol w:w="109"/>
        <w:gridCol w:w="257"/>
        <w:gridCol w:w="569"/>
        <w:gridCol w:w="135"/>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5"/>
      </w:tblGrid>
      <w:tr>
        <w:trPr/>
        <w:tc>
          <w:tcPr>
            <w:tcW w:w="66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Payments Due by Period</w:t>
            </w:r>
          </w:p>
        </w:tc>
      </w:tr>
      <w:tr>
        <w:trPr/>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Remainder</w:t>
              <w:br/>
              <w:t>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Securitized debt</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obligations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obligations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obligations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principal as well as interest payments and excludes unamortized debt discount and issuance costs. </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Payments based on estimated timing of cash flow associated with securitized notes receivable.</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outsourced services, and arrangements related to information technology, including cloud computing. Amounts reflected on the consolidated balance sheet as accounts payable and accrued liabilities are excluded from the table above.</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Includes 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generally have minimal impact on our net income and cash flow. These purchase commitments are excluded from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Supplemental Guarantor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consolidating financial information as of June 30, 2026 and December 31, 2025, and for the six months ended June 30, 2026 for MVWC and MORI on a stand-alone basis (collectively, the “Issuers”), the Senior Notes Guarantors, the combined non-guarantor subsidiaries of MVWC, and MVW on a consolidated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Condensed Consolidating Statement of Income </w:t>
      </w:r>
    </w:p>
    <w:tbl>
      <w:tblPr>
        <w:tblW w:w="10205" w:type="dxa"/>
        <w:jc w:val="center"/>
        <w:tblInd w:w="0" w:type="dxa"/>
        <w:tblLayout w:type="fixed"/>
        <w:tblCellMar>
          <w:top w:w="28" w:type="dxa"/>
          <w:left w:w="28" w:type="dxa"/>
          <w:bottom w:w="28" w:type="dxa"/>
          <w:right w:w="28" w:type="dxa"/>
        </w:tblCellMar>
      </w:tblPr>
      <w:tblGrid>
        <w:gridCol w:w="907"/>
        <w:gridCol w:w="499"/>
        <w:gridCol w:w="392"/>
        <w:gridCol w:w="211"/>
        <w:gridCol w:w="406"/>
        <w:gridCol w:w="109"/>
        <w:gridCol w:w="109"/>
        <w:gridCol w:w="109"/>
        <w:gridCol w:w="109"/>
        <w:gridCol w:w="211"/>
        <w:gridCol w:w="466"/>
        <w:gridCol w:w="109"/>
        <w:gridCol w:w="109"/>
        <w:gridCol w:w="109"/>
        <w:gridCol w:w="109"/>
        <w:gridCol w:w="109"/>
        <w:gridCol w:w="109"/>
        <w:gridCol w:w="261"/>
        <w:gridCol w:w="765"/>
        <w:gridCol w:w="136"/>
        <w:gridCol w:w="109"/>
        <w:gridCol w:w="109"/>
        <w:gridCol w:w="109"/>
        <w:gridCol w:w="395"/>
        <w:gridCol w:w="873"/>
        <w:gridCol w:w="205"/>
        <w:gridCol w:w="109"/>
        <w:gridCol w:w="109"/>
        <w:gridCol w:w="109"/>
        <w:gridCol w:w="302"/>
        <w:gridCol w:w="690"/>
        <w:gridCol w:w="157"/>
        <w:gridCol w:w="109"/>
        <w:gridCol w:w="109"/>
        <w:gridCol w:w="109"/>
        <w:gridCol w:w="268"/>
        <w:gridCol w:w="785"/>
        <w:gridCol w:w="205"/>
      </w:tblGrid>
      <w:tr>
        <w:trPr/>
        <w:tc>
          <w:tcPr>
            <w:tcW w:w="90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585" w:type="dxa"/>
            <w:gridSpan w:val="6"/>
            <w:tcBorders/>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 Consolidated</w:t>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subsidiaries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Condensed Consolidating Balance Sheet</w:t>
      </w:r>
    </w:p>
    <w:tbl>
      <w:tblPr>
        <w:tblW w:w="17715" w:type="dxa"/>
        <w:jc w:val="center"/>
        <w:tblInd w:w="0" w:type="dxa"/>
        <w:tblLayout w:type="fixed"/>
        <w:tblCellMar>
          <w:top w:w="28" w:type="dxa"/>
          <w:left w:w="28" w:type="dxa"/>
          <w:bottom w:w="28" w:type="dxa"/>
          <w:right w:w="28" w:type="dxa"/>
        </w:tblCellMar>
      </w:tblPr>
      <w:tblGrid>
        <w:gridCol w:w="597"/>
        <w:gridCol w:w="353"/>
        <w:gridCol w:w="311"/>
        <w:gridCol w:w="211"/>
        <w:gridCol w:w="616"/>
        <w:gridCol w:w="109"/>
        <w:gridCol w:w="109"/>
        <w:gridCol w:w="109"/>
        <w:gridCol w:w="109"/>
        <w:gridCol w:w="211"/>
        <w:gridCol w:w="616"/>
        <w:gridCol w:w="109"/>
        <w:gridCol w:w="109"/>
        <w:gridCol w:w="109"/>
        <w:gridCol w:w="109"/>
        <w:gridCol w:w="226"/>
        <w:gridCol w:w="662"/>
        <w:gridCol w:w="118"/>
        <w:gridCol w:w="109"/>
        <w:gridCol w:w="109"/>
        <w:gridCol w:w="109"/>
        <w:gridCol w:w="297"/>
        <w:gridCol w:w="869"/>
        <w:gridCol w:w="155"/>
        <w:gridCol w:w="109"/>
        <w:gridCol w:w="109"/>
        <w:gridCol w:w="109"/>
        <w:gridCol w:w="239"/>
        <w:gridCol w:w="717"/>
        <w:gridCol w:w="125"/>
        <w:gridCol w:w="109"/>
        <w:gridCol w:w="109"/>
        <w:gridCol w:w="109"/>
        <w:gridCol w:w="253"/>
        <w:gridCol w:w="741"/>
        <w:gridCol w:w="132"/>
        <w:gridCol w:w="109"/>
        <w:gridCol w:w="109"/>
        <w:gridCol w:w="109"/>
        <w:gridCol w:w="211"/>
        <w:gridCol w:w="616"/>
        <w:gridCol w:w="109"/>
        <w:gridCol w:w="109"/>
        <w:gridCol w:w="109"/>
        <w:gridCol w:w="109"/>
        <w:gridCol w:w="211"/>
        <w:gridCol w:w="616"/>
        <w:gridCol w:w="109"/>
        <w:gridCol w:w="109"/>
        <w:gridCol w:w="109"/>
        <w:gridCol w:w="109"/>
        <w:gridCol w:w="226"/>
        <w:gridCol w:w="662"/>
        <w:gridCol w:w="118"/>
        <w:gridCol w:w="109"/>
        <w:gridCol w:w="109"/>
        <w:gridCol w:w="109"/>
        <w:gridCol w:w="297"/>
        <w:gridCol w:w="869"/>
        <w:gridCol w:w="155"/>
        <w:gridCol w:w="109"/>
        <w:gridCol w:w="109"/>
        <w:gridCol w:w="109"/>
        <w:gridCol w:w="239"/>
        <w:gridCol w:w="717"/>
        <w:gridCol w:w="125"/>
        <w:gridCol w:w="327"/>
        <w:gridCol w:w="251"/>
        <w:gridCol w:w="735"/>
        <w:gridCol w:w="185"/>
      </w:tblGrid>
      <w:tr>
        <w:trPr/>
        <w:tc>
          <w:tcPr>
            <w:tcW w:w="5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 Consolidated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MVW stockholders'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Footnote 2 “Significant Accounting Policies and Recent Accounting Standards” to our Financial Statements for a discussion of recently issued accounting pronouncements, including information about new accounting standards and the future adoption of such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2025 Annual Report. Since the date of our 2025 Annual Report, there have been no material changes to our critical accounting policies or the methodologies or assumptions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has not changed materially from that disclosed in Part I, Item 7A of the 2025 Annual Report, other than as set forth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manage the interest rate risk on our corporate debt through the use of a combination of fixed-rate debt and interest rate swaps that fix a portion of our variable-rate debt. At June 30, 2026, after considering the impact of our interest rate swap agreement and excluding finance leases, the interest rate applicable to 79% (approximately $2.3 billion) of our total corporate debt was effectively fixed and the interest rate applicable to the remaining 21% (approximately $629 million) was variable. Assuming we had no outstanding balance on our Revolving Corporate Credit Facility, a 100 basis point increase in the underlying benchmark rate on our variable-rate debt at June 30, 2026 would result in an increase of approximately $5 million in annual cash interest due to the impact of our hedging arrangements discussed in Footnote 12 “Debt” to our Financial Statements. Assuming we had no outstanding hedging arrangements and no outstanding balance on our Revolving Corporate Credit Facility, a 100 basis point increase in the underlying benchmark rate on our variable-rate debt at June 30, 2026 would result in an annual increase in cash interest of approximately $8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scheduled maturities and the total fair value as of June 30, 2026 for our financial instruments that are impacted by market risks:</w:t>
      </w:r>
    </w:p>
    <w:tbl>
      <w:tblPr>
        <w:tblW w:w="11961" w:type="dxa"/>
        <w:jc w:val="center"/>
        <w:tblInd w:w="0" w:type="dxa"/>
        <w:tblLayout w:type="fixed"/>
        <w:tblCellMar>
          <w:top w:w="28" w:type="dxa"/>
          <w:left w:w="28" w:type="dxa"/>
          <w:bottom w:w="28" w:type="dxa"/>
          <w:right w:w="28" w:type="dxa"/>
        </w:tblCellMar>
      </w:tblPr>
      <w:tblGrid>
        <w:gridCol w:w="587"/>
        <w:gridCol w:w="515"/>
        <w:gridCol w:w="519"/>
        <w:gridCol w:w="240"/>
        <w:gridCol w:w="240"/>
        <w:gridCol w:w="241"/>
        <w:gridCol w:w="109"/>
        <w:gridCol w:w="109"/>
        <w:gridCol w:w="109"/>
        <w:gridCol w:w="261"/>
        <w:gridCol w:w="503"/>
        <w:gridCol w:w="137"/>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 by Period</w:t>
            </w:r>
          </w:p>
        </w:tc>
      </w:tr>
      <w:tr>
        <w:trPr/>
        <w:tc>
          <w:tcPr>
            <w:tcW w:w="1621" w:type="dxa"/>
            <w:gridSpan w:val="3"/>
            <w:vMerge w:val="continue"/>
            <w:tcBorders/>
            <w:tcMar>
              <w:top w:w="0" w:type="dxa"/>
              <w:left w:w="0" w:type="dxa"/>
              <w:bottom w:w="0" w:type="dxa"/>
              <w:right w:w="0" w:type="dxa"/>
            </w:tcMar>
            <w:vAlign w:val="center"/>
          </w:tcPr>
          <w:p>
            <w:pPr>
              <w:pStyle w:val="Normal"/>
              <w:bidi w:val="0"/>
              <w:jc w:val="left"/>
              <w:rPr/>
            </w:pPr>
            <w:r>
              <w:rPr/>
            </w:r>
          </w:p>
        </w:tc>
        <w:tc>
          <w:tcPr>
            <w:tcW w:w="7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w:t>
              <w:br/>
              <w:t>Value</w:t>
            </w:r>
          </w:p>
        </w:tc>
      </w:tr>
      <w:tr>
        <w:trPr/>
        <w:tc>
          <w:tcPr>
            <w:tcW w:w="11961" w:type="dxa"/>
            <w:gridSpan w:val="5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 Maturities represent expected principal receipts; fair values represent assets</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 non-securitized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 securitized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for financed VOI sales, net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1" w:type="dxa"/>
            <w:gridSpan w:val="5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 Maturities represent expected principal payments; fair values represent liabilities</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Corporate Credit Facility</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2026,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made no changes in our internal control over financial reporting during the period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Currently, and from time to time, we are subject to claims in legal proceedings arising in the normal course of business. See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set forth in Item 1A of Part I of our 2025 Annual Report, except to the extent factual information disclosed elsewhere in this Quarterly Report relates to such risk factors,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424"/>
        <w:gridCol w:w="372"/>
        <w:gridCol w:w="377"/>
        <w:gridCol w:w="467"/>
        <w:gridCol w:w="467"/>
        <w:gridCol w:w="468"/>
        <w:gridCol w:w="109"/>
        <w:gridCol w:w="109"/>
        <w:gridCol w:w="109"/>
        <w:gridCol w:w="292"/>
        <w:gridCol w:w="565"/>
        <w:gridCol w:w="154"/>
        <w:gridCol w:w="109"/>
        <w:gridCol w:w="109"/>
        <w:gridCol w:w="109"/>
        <w:gridCol w:w="831"/>
        <w:gridCol w:w="831"/>
        <w:gridCol w:w="833"/>
        <w:gridCol w:w="109"/>
        <w:gridCol w:w="109"/>
        <w:gridCol w:w="109"/>
        <w:gridCol w:w="426"/>
        <w:gridCol w:w="2398"/>
        <w:gridCol w:w="319"/>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pPr>
            <w:r>
              <w:rPr>
                <w:rFonts w:ascii="Times New Roman;serif" w:hAnsi="Times New Roman;serif"/>
                <w:b/>
                <w:color w:val="000000"/>
                <w:sz w:val="18"/>
              </w:rPr>
              <w:t>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Maximum Dollar Amount of Shares That May Yet Be Purchased Under the Plans or Programs</w:t>
            </w:r>
            <w:r>
              <w:rPr>
                <w:rFonts w:ascii="Times New Roman;serif" w:hAnsi="Times New Roman;serif"/>
                <w:b/>
                <w:color w:val="000000"/>
                <w:sz w:val="12"/>
              </w:rPr>
              <w:t>(1)(2)</w:t>
            </w:r>
          </w:p>
        </w:tc>
      </w:tr>
      <w:tr>
        <w:trPr/>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322,120,557 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322,120,557 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322,120,557 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322,120,557 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2"/>
        <w:gridCol w:w="2874"/>
        <w:gridCol w:w="4069"/>
      </w:tblGrid>
      <w:tr>
        <w:trPr/>
        <w:tc>
          <w:tcPr>
            <w:tcW w:w="3262"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 On December 12, 2025, we announced that our Board of Directors extended the term of our share repurchase program to December 31, 2026.</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All dollar amounts presented exclude the nondeductible 1% excise tax on the net value of certain stock repurchases that was imposed by the Inflation Reduction Act of 2022.</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d38a072794834fb596110a552a0d52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All documents referenced below are being filed as a part of this Quarterly Report, unless otherwise noted.</w:t>
      </w:r>
    </w:p>
    <w:tbl>
      <w:tblPr>
        <w:tblW w:w="10205" w:type="dxa"/>
        <w:jc w:val="center"/>
        <w:tblInd w:w="0" w:type="dxa"/>
        <w:tblLayout w:type="fixed"/>
        <w:tblCellMar>
          <w:top w:w="28" w:type="dxa"/>
          <w:left w:w="28" w:type="dxa"/>
          <w:bottom w:w="28" w:type="dxa"/>
          <w:right w:w="28" w:type="dxa"/>
        </w:tblCellMar>
      </w:tblPr>
      <w:tblGrid>
        <w:gridCol w:w="293"/>
        <w:gridCol w:w="259"/>
        <w:gridCol w:w="260"/>
        <w:gridCol w:w="109"/>
        <w:gridCol w:w="109"/>
        <w:gridCol w:w="109"/>
        <w:gridCol w:w="1691"/>
        <w:gridCol w:w="1691"/>
        <w:gridCol w:w="1707"/>
        <w:gridCol w:w="109"/>
        <w:gridCol w:w="109"/>
        <w:gridCol w:w="109"/>
        <w:gridCol w:w="260"/>
        <w:gridCol w:w="260"/>
        <w:gridCol w:w="261"/>
        <w:gridCol w:w="109"/>
        <w:gridCol w:w="109"/>
        <w:gridCol w:w="109"/>
        <w:gridCol w:w="170"/>
        <w:gridCol w:w="170"/>
        <w:gridCol w:w="171"/>
        <w:gridCol w:w="120"/>
        <w:gridCol w:w="120"/>
        <w:gridCol w:w="120"/>
        <w:gridCol w:w="210"/>
        <w:gridCol w:w="210"/>
        <w:gridCol w:w="211"/>
        <w:gridCol w:w="120"/>
        <w:gridCol w:w="120"/>
        <w:gridCol w:w="120"/>
        <w:gridCol w:w="248"/>
        <w:gridCol w:w="199"/>
        <w:gridCol w:w="233"/>
      </w:tblGrid>
      <w:tr>
        <w:trPr/>
        <w:tc>
          <w:tcPr>
            <w:tcW w:w="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8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Incorporation By Reference From</w:t>
            </w:r>
          </w:p>
        </w:tc>
      </w:tr>
      <w:tr>
        <w:trPr/>
        <w:tc>
          <w:tcPr>
            <w:tcW w:w="8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Date Filed</w:t>
            </w:r>
          </w:p>
        </w:tc>
      </w:tr>
      <w:tr>
        <w:trPr/>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Second Restated Certificate of Incorporation of Marriott Vacations Worldwide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5/15/2023</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3">
              <w:r>
                <w:rPr>
                  <w:rStyle w:val="InternetLink"/>
                  <w:rFonts w:ascii="Times New Roman;serif" w:hAnsi="Times New Roman;serif"/>
                  <w:b w:val="false"/>
                  <w:color w:val="0000FF"/>
                  <w:sz w:val="20"/>
                  <w:u w:val="single"/>
                </w:rPr>
                <w:t>Restated Bylaws of Marriott Vacations Worldwide Corporation (effective May 12,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8/4/2023</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r:id="rId4">
              <w:r>
                <w:rPr>
                  <w:rStyle w:val="InternetLink"/>
                  <w:rFonts w:ascii="Times New Roman;serif" w:hAnsi="Times New Roman;serif"/>
                  <w:b w:val="false"/>
                  <w:color w:val="0000FF"/>
                  <w:sz w:val="20"/>
                  <w:u w:val="single"/>
                </w:rPr>
                <w:t>Form of certificate representing shares of common stock, par value $0.01 per share, of Marriott Vacations Worldwide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10/14/2011</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Indenture, dated as of October 1, 2019, by and among Marriott Ownership Resorts, Inc., Marriott Vacations Worldwide Corporation, as guarantor,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10/1/2019</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4.750% Senior Notes due 2028</w:t>
              </w:r>
            </w:hyperlink>
            <w:r>
              <w:rPr>
                <w:color w:val="000000"/>
              </w:rPr>
              <w:t xml:space="preserve"> </w:t>
            </w:r>
            <w:r>
              <w:rPr>
                <w:rFonts w:ascii="Times New Roman;serif" w:hAnsi="Times New Roman;serif"/>
                <w:b w:val="false"/>
                <w:color w:val="000000"/>
                <w:sz w:val="20"/>
              </w:rPr>
              <w:t>(included as Exhibit A to Exhibit 4.2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10/1/2019</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Registration Rights Agreement, dated as of October 1, 2019, by and among Marriott Ownership Resorts, Inc., Marriott Vacations Worldwide Corporation, as guarantor, the other guarantors party thereto and J.P. Morgan Securities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10/1/2019</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Indenture, dated as of February 2, 2021, by and among Marriott Vacations Worldwide Corporation, Marriott Ownership Resorts, Inc. and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2/3/2021</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"https://www.sec.gov/Archives/edgar/data/0001524358/000119312521027303/d41256dex41.htm" \l "exa"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0.00% Convertible Senior Note due 2026</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as Exhibit A to Exhibit 4.5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2/3/2021</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Indenture, dated as of June 21, 2021, by and among Marriott Ownership Resorts, Inc., Marriott Vacations Worldwide Corporation, as guarantor,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6/22/2021</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"https://www.sec.gov/Archives/edgar/data/0001524358/000119312521195243/d158882dex41.htm" \l "tx158882_515"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4.500% Senior Notes due 2029</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at Exhibit A to Exhibit 4.7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6/22/2021</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Indenture, dated as of December 8, 2022, by and among Marriott Vacations Worldwide Corporation, as issuer, Marriott Ownership Resorts, Inc. and the other guarantors party thereto from time to time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12/8/2022</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"https://www.sec.gov/Archives/edgar/data/1524358/000119312522301061/d433395dex41.htm" \l "tx433395_1"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3.25% Convertible Senior Notes due 2027</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as Exhibit A to Exhibit 4.9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12/8/2022</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Description of Registered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3/2/2020</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Indenture, dated as of September 18, 2025, by and among Marriott Ownership Resorts, Inc., Marriott Vacations Worldwide Corporation, as guarantor,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9/19/2025</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"https://www.sec.gov/Archives/edgar/data/1524358/000152435825000160/a41indenture.htm" \l "i899489c2fdc046ad9daa8541df5cae8b_549755814403"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6.500% Senior Notes due 2033</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at Exhibit A to Exhibit 4.12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9/19/2025</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Chief Executive Officer Employment Agreement</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2/17/2026</w:t>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President and Chief Operating Officer Employment Agreement</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38a072794834fb596110a552a0d527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9"/>
        <w:gridCol w:w="246"/>
        <w:gridCol w:w="247"/>
        <w:gridCol w:w="109"/>
        <w:gridCol w:w="109"/>
        <w:gridCol w:w="109"/>
        <w:gridCol w:w="1724"/>
        <w:gridCol w:w="1381"/>
        <w:gridCol w:w="1397"/>
        <w:gridCol w:w="125"/>
        <w:gridCol w:w="125"/>
        <w:gridCol w:w="125"/>
        <w:gridCol w:w="299"/>
        <w:gridCol w:w="299"/>
        <w:gridCol w:w="300"/>
        <w:gridCol w:w="125"/>
        <w:gridCol w:w="125"/>
        <w:gridCol w:w="125"/>
        <w:gridCol w:w="195"/>
        <w:gridCol w:w="195"/>
        <w:gridCol w:w="197"/>
        <w:gridCol w:w="142"/>
        <w:gridCol w:w="142"/>
        <w:gridCol w:w="142"/>
        <w:gridCol w:w="242"/>
        <w:gridCol w:w="242"/>
        <w:gridCol w:w="243"/>
        <w:gridCol w:w="142"/>
        <w:gridCol w:w="142"/>
        <w:gridCol w:w="142"/>
        <w:gridCol w:w="282"/>
        <w:gridCol w:w="230"/>
        <w:gridCol w:w="278"/>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7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Filed</w:t>
              <w:br/>
              <w:t>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Incorporation By Reference From</w:t>
            </w:r>
          </w:p>
        </w:tc>
      </w:tr>
      <w:tr>
        <w:trPr/>
        <w:tc>
          <w:tcPr>
            <w:tcW w:w="7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Form</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Date Filed</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James H Hunter IV Separation Agreement and General Release of Claims</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Restricted Stock Unit Agreement for Matthew E. Avril and Michael A. Flaskey</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Stock Appreciation Right Agreement for Matthew E. Avril and Michael A. Flaskey</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of Restricted Stock Unit Award Agreement - Immediate Vesting</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Performance Stock Unit Agreement for Matthew E. Avril and Michael A. Flaskey</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Second Amended and Restated Marriott Vacations Worldwide Corporation 2020 Equity Incentive Plan</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5/18/2026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Lori Gustafson Separation Agreement and General Release of Claims</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ex1010changeinctrls.htm">
              <w:r>
                <w:rPr>
                  <w:rStyle w:val="InternetLink"/>
                  <w:rFonts w:ascii="Times New Roman;serif" w:hAnsi="Times New Roman;serif"/>
                  <w:b w:val="false"/>
                  <w:color w:val="0000FF"/>
                  <w:sz w:val="20"/>
                  <w:u w:val="single"/>
                </w:rPr>
                <w:t>Marriott Vacations Worldwide Corporation Change in Control Severance Plan As Amended and Restated Effective May 14, 2026</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List of the Issuer and its Guarantor Subsidiaries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3/2/2026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ex311xceocertificat.htm">
              <w:r>
                <w:rPr>
                  <w:rStyle w:val="InternetLink"/>
                  <w:rFonts w:ascii="Times New Roman;serif" w:hAnsi="Times New Roman;serif"/>
                  <w:b w:val="false"/>
                  <w:color w:val="0000FF"/>
                  <w:sz w:val="20"/>
                  <w:u w:val="single"/>
                </w:rPr>
                <w:t>Certification by Chief Executive Officer Pursuant to Rule 13a-14(a) of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ex312xcfocertificat.htm">
              <w:r>
                <w:rPr>
                  <w:rStyle w:val="InternetLink"/>
                  <w:rFonts w:ascii="Times New Roman;serif" w:hAnsi="Times New Roman;serif"/>
                  <w:b w:val="false"/>
                  <w:color w:val="0000FF"/>
                  <w:sz w:val="20"/>
                  <w:u w:val="single"/>
                </w:rPr>
                <w:t>Certification by Chief Financial Officer Pursuant to Rule 13a-14(a) of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ex321xceo404certifi.htm">
              <w:r>
                <w:rPr>
                  <w:rStyle w:val="InternetLink"/>
                  <w:rFonts w:ascii="Times New Roman;serif" w:hAnsi="Times New Roman;serif"/>
                  <w:b w:val="false"/>
                  <w:color w:val="0000FF"/>
                  <w:sz w:val="20"/>
                  <w:u w:val="single"/>
                </w:rPr>
                <w:t>Certification by Chief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ex322xcfo404certifi.htm">
              <w:r>
                <w:rPr>
                  <w:rStyle w:val="InternetLink"/>
                  <w:rFonts w:ascii="Times New Roman;serif" w:hAnsi="Times New Roman;serif"/>
                  <w:b w:val="false"/>
                  <w:color w:val="0000FF"/>
                  <w:sz w:val="20"/>
                  <w:u w:val="single"/>
                </w:rPr>
                <w:t>Certification by Chief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our Quarterly Report on Form 10-Q for the quarter ended June 30, 2026, formatted in Inline XBRL: (i) Interim Consolidated Statements of Income, (ii) Interim Consolidated Statements of Comprehensive Income, (iii) Interim Consolidated Balance Sheets, (iv) Interim Consolidated Statements of Cash Flows, (v) Interim Consolidated Statements of Stockholders’ Equity, and (vi) Notes to Interim Consolidated Financial Statements</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our Quarterly Report on Form 10-Q for the quarter ended June 30, 2026, formatted in Inline XBRL and contained in Exhibit 101</w:t>
            </w:r>
          </w:p>
        </w:tc>
      </w:tr>
    </w:tbl>
    <w:tbl>
      <w:tblPr>
        <w:tblW w:w="568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2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4468"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96"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454"/>
        <w:gridCol w:w="1454"/>
        <w:gridCol w:w="20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VACATIONS WORLDWIDE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E. Avril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Avril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MARRIOTT VACATIONS WORLDWIDE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CHANGE IN CONTROL SEVERANCE PLAN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Originally Effective January 27, 2012</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As Amended and Restated Effective May 14, 2026</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MARRIOTT VACATIONS WORLDWIDE CORPORATION CHANGE IN CONTROL SEVERANCE PLAN, adopted by Marriott Vacations Worldwide Corporation, a Delaware corporation, is hereby established to provide for the payment of severance benefits to certain of its key Executives in the event of certain terminations of employment following a Change in Control (as defined herein). The primary purposes of the Plan are to (i) motivate executives to drive business success independent of the possible occurrence of a Change in Control and reduce distractions associated with a potential Change in Control, and (ii) maximize stockholder value by retaining key Executives through the closing of a Change in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Unless the context clearly indicates otherwise, when used in this Plan:</w:t>
      </w:r>
    </w:p>
    <w:p>
      <w:pPr>
        <w:pStyle w:val="TextBody"/>
        <w:bidi w:val="0"/>
        <w:spacing w:lineRule="auto" w:line="288" w:before="120" w:after="283"/>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entity, any other corporation, organization, association, partnership, sole proprietorship or other type of entity, whether incorporated or unincorporated, directly or indirectly controlling or controlled by or under direct or indirect common control with such entity.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means Executive’s annual rate of base salary in effect on the date of Executive’s Termination of Employment (or, if higher, on the date of the Change in Control), determined in each case prior to (i) reduction for any employee-elected salary reduction contributions made to an Employer-sponsored non-qualified deferred compensation plan or an Employer-sponsored plan pursuant to Section 401(k) or 125 of the Code, and excluding bonuses, overtime, allowances, commissions, deferred compensation payments and any other extraordinary remuneration, and (ii) any reduction that is a basis for Executive’s termination for Good Reason.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has the meaning ascribed to such term in Rule 13d-3 of the General Rules and Regulations under the Exchange Act.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(i) Executive’s conviction of a felony; (ii) an act by Executive which constitutes willful or gross misconduct and which is demonstrably and materially injurious to the Company; or (iii) continued substantial willful violations by Executive of Executive’s employment duties after there has been delivered to Executive a written demand for performance from the Company which specifically sets forth the factual basis for the Company's belief that Executive has not substantially performed his or her duties.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and shall be deemed to have occurred if:</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(1)Any Person directly or indirectly becomes the Beneficial Owner of more than thirty percent (30%) of the 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that, immediately following such transaction, is owned, directly or indirectly, by the stockholders of the Company in substantially the same proportions as their ownership of Company stock immediately prior to such transaction; 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(3)Continuing Directors cease to represent a majority of the Board, where “Continuing Directors” shall mean the directors of the Board immediately after the date this Plan is adopted, and any other director whose appointment, election or nomination for election by the stockholders is approved by at least a majority of the Continuing Directors at such time; or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stockholders of the Company approve a plan of complete liquidation of the Company or the Company sells or disposes of all or substantially all of its assets.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the Consolidated Omnibus Budget Reconciliation Act of 1985, as amended.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Any reference to a specific provision of the Code includes any successor provision thereto, and the regulations promulgated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committee designated pursuant to Section 6 to administer this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Marriott Vacations Worldwide Corporation, a Delaware corporation and, after a Change in Control, any successor or successors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Company, each of its direct and indirect wholly-owned subsidiaries, and any other Affiliate of the Company that adopts this Plan with the consent of the Board.</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Any reference to a specific provision of the Exchange Act includes any successor provision thereto, and the regulations promulgated thereunder.</w:t>
      </w:r>
    </w:p>
    <w:p>
      <w:pPr>
        <w:pStyle w:val="TextBody"/>
        <w:bidi w:val="0"/>
        <w:spacing w:lineRule="auto" w:line="288" w:before="180" w:after="283"/>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Executive</w:t>
      </w:r>
      <w:r>
        <w:rPr>
          <w:color w:val="000000"/>
        </w:rPr>
        <w:t xml:space="preserve">” </w:t>
      </w:r>
      <w:r>
        <w:rPr>
          <w:rFonts w:ascii="Times New Roman;serif" w:hAnsi="Times New Roman;serif"/>
          <w:b w:val="false"/>
          <w:color w:val="000000"/>
          <w:sz w:val="24"/>
        </w:rPr>
        <w:t xml:space="preserve">means an individual who (i) is employed by the Employer in a position specified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as of the day before the day a Change in Control occurs, (ii) has been designated by the Committee to participate in the Plan, and (iii) has executed a Participation Agreement.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any of the following actions upon or after a Change in Control, without Executive’s express prior written approval, other than due to Executive’s Total Disability or death: (i) a substantial change in Executive’s status, title, position or responsibilities from Executive’s status, title, position or responsibilities as in effect immediately prior to the Change in Control, other than in connection with the Termination of Executive’s employment for Cause; (ii) a material reduction in Executive’s Base Salary or any failure to pay Executive any compensation or benefits to which Executive is entitled within five days of the date due; (iii) a material reduction in Executive’s annual cash bonus opportunity or the grant date value of equity-type incentive opportunity; (iv) a change in the Executive’s principal place of employment that increases the Executive’s one-way commute by more than 50 miles compared to the Executive’s principal place of employment immediately prior to the Change in Control, except for reasonably required travel on the business of the Company or an Affiliate which is not materially greater than such travel requirements in effect immediately prior thereto; (v) the failure by the Employer to continue in effect employee benefits for Executive no less favorable in the aggregate as in effect immediately prior to the Change in Control; or (vi) the failure of the Company to obtain an agreement from any successors and assigns to assume and agree to perform the obligations created under this Plan. With respect to (i) through (vi) above, Good Reason shall not be deemed to have occurred unless Executive shall have notified the Employer in writing of his or her intent to resign for Good Reason within sixty (60) days following the Executive’s knowledge of the first occurrence of the event constituting Good Reason and the Employer shall not have cured the grounds for Good Reason within thirty (30) days following the provision of such notice.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val="false"/>
          <w:color w:val="000000"/>
          <w:sz w:val="24"/>
          <w:u w:val="single"/>
        </w:rPr>
        <w:t>Participation Agreement</w:t>
      </w:r>
      <w:r>
        <w:rPr>
          <w:color w:val="000000"/>
        </w:rPr>
        <w:t xml:space="preserve">” </w:t>
      </w:r>
      <w:r>
        <w:rPr>
          <w:rFonts w:ascii="Times New Roman;serif" w:hAnsi="Times New Roman;serif"/>
          <w:b w:val="false"/>
          <w:color w:val="000000"/>
          <w:sz w:val="24"/>
        </w:rPr>
        <w:t>means a written agreement between the Company and an Executive providing for Executive’s participation in this Plan.</w:t>
      </w:r>
    </w:p>
    <w:p>
      <w:pPr>
        <w:pStyle w:val="TextBody"/>
        <w:bidi w:val="0"/>
        <w:spacing w:lineRule="auto" w:line="288" w:before="180" w:after="283"/>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 xml:space="preserve">shall have the meaning ascribed to such term in Section 3(a)(9) of the Exchange Act and used in Sections 13(d) and 14(d) thereof, including a “group” as defined in Section 13(d) thereof.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Marriott Vacations Worldwide Corporation Change in Control Severance Plan as in effect from time to time.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 xml:space="preserve">means a waiver and release, in a form to be prepared by the Company substantially in the form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but as amended from time to time, to be signed by an Executive.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ind w:left="0" w:right="0" w:firstLine="720"/>
        <w:jc w:val="both"/>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means any corporation, partnership, joint venture, trust or other entity in which the Company has a controlling interest as defined in Treasury Regulation Section 1.414(c)-2(b)(2), except that the threshold interest shall be “more than fifty percent (50%)” instead of “at least eighty percent (80%).”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(t)</w:t>
      </w:r>
      <w:r>
        <w:rPr>
          <w:color w:val="000000"/>
        </w:rPr>
        <w:t>“</w:t>
      </w:r>
      <w:r>
        <w:rPr>
          <w:rFonts w:ascii="Times New Roman;serif" w:hAnsi="Times New Roman;serif"/>
          <w:b w:val="false"/>
          <w:color w:val="000000"/>
          <w:sz w:val="24"/>
          <w:u w:val="single"/>
        </w:rPr>
        <w:t>Target Bonus</w:t>
      </w:r>
      <w:r>
        <w:rPr>
          <w:color w:val="000000"/>
        </w:rPr>
        <w:t xml:space="preserve">” </w:t>
      </w:r>
      <w:r>
        <w:rPr>
          <w:rFonts w:ascii="Times New Roman;serif" w:hAnsi="Times New Roman;serif"/>
          <w:b w:val="false"/>
          <w:color w:val="000000"/>
          <w:sz w:val="24"/>
        </w:rPr>
        <w:t>means the greater of (i) Executive’s annual cash target bonus in effect immediately prior to the date a Change in Control occurs, or (ii) Executive’s annual cash target bonus in effect as of the date his or her employment Terminates, in either case assuming full attainment of companywide milestones at target levels.</w:t>
      </w:r>
    </w:p>
    <w:p>
      <w:pPr>
        <w:pStyle w:val="TextBody"/>
        <w:bidi w:val="0"/>
        <w:spacing w:lineRule="auto" w:line="288" w:before="180" w:after="283"/>
        <w:ind w:left="0" w:right="0" w:firstLine="720"/>
        <w:jc w:val="both"/>
        <w:rPr/>
      </w:pPr>
      <w:r>
        <w:rPr>
          <w:rFonts w:ascii="Times New Roman;serif" w:hAnsi="Times New Roman;serif"/>
          <w:b w:val="false"/>
          <w:color w:val="000000"/>
          <w:sz w:val="24"/>
        </w:rPr>
        <w:t>(u)</w:t>
      </w:r>
      <w:r>
        <w:rPr>
          <w:color w:val="000000"/>
        </w:rPr>
        <w:t>“</w:t>
      </w:r>
      <w:r>
        <w:rPr>
          <w:rFonts w:ascii="Times New Roman;serif" w:hAnsi="Times New Roman;serif"/>
          <w:b w:val="false"/>
          <w:color w:val="000000"/>
          <w:sz w:val="24"/>
          <w:u w:val="single"/>
        </w:rPr>
        <w:t>Terminate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Termination of Employment</w:t>
      </w:r>
      <w:r>
        <w:rPr>
          <w:color w:val="000000"/>
        </w:rPr>
        <w:t xml:space="preserve">” </w:t>
      </w:r>
      <w:r>
        <w:rPr>
          <w:rFonts w:ascii="Times New Roman;serif" w:hAnsi="Times New Roman;serif"/>
          <w:b w:val="false"/>
          <w:color w:val="000000"/>
          <w:sz w:val="24"/>
        </w:rPr>
        <w:t>means Executive’s “separation from service” from the Company, as determined pursuant to Section 409A of the Code.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Total Disability</w:t>
      </w:r>
      <w:r>
        <w:rPr>
          <w:color w:val="000000"/>
        </w:rPr>
        <w:t xml:space="preserve">” </w:t>
      </w:r>
      <w:r>
        <w:rPr>
          <w:rFonts w:ascii="Times New Roman;serif" w:hAnsi="Times New Roman;serif"/>
          <w:b w:val="false"/>
          <w:color w:val="000000"/>
          <w:sz w:val="24"/>
        </w:rPr>
        <w:t>means that the Executive is, by reason of any medical determinable physical or mental impairment that can be expected to result in death or can be expected to last for a continuous period of not less than twelve (12) months, receiving income replacement benefits for a period of six (6) months under an accident and health plan sponsored by the Employer or an Affiliate thereof.</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Payments Upon Termination</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Accrued Benefits</w:t>
      </w:r>
      <w:r>
        <w:rPr>
          <w:rFonts w:ascii="Times New Roman;serif" w:hAnsi="Times New Roman;serif"/>
          <w:b w:val="false"/>
          <w:color w:val="000000"/>
          <w:sz w:val="24"/>
        </w:rPr>
        <w:t>. Upon any Termination occurring on or within two years following a Change in Control, Executive shall receive (i) any unpaid Base Salary through the date of such Executive’s Termination, (ii) unless the Termination is for Cause, any bonus unpaid as of the date of such Executive’s Termination for any previously completed fiscal year of the Company, and (iii) unless the Termination is for Cause, a pro rata bonus for the fiscal year of the Company in which such Executive’s Termination occurs, determined by multiplying the Executive’s Target Bonus for such fiscal year by a fraction, the numerator of which is the number of days from the beginning of such fiscal year to the date of the Termination, and the denominator of which is 365. In addition, Executive shall be entitled to prompt reimbursement of any unreimbursed expenses properly incurred by such Executive in accordance with Company policies prior to the date of such Executive’s Termination. Executive shall also receive such other compensation (including any stock options or other equity-related payments) and benefits, if any, to which such Executive may be entitled from time to time pursuant to the terms and conditions of the employee compensation, incentive, equity, benefit or fringe benefit plans, policies, or programs of the Company, other than any Company severance policy.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xml:space="preserve">. If (i) Executive’s employment with his or her Employer (x) is involuntarily Terminated by the Employer within two years following a Change in Control, other than due to Cause, Total Disability or death, or (y) is Terminated by Executive for Good Reason within two years following a Change in Control, and (ii) Executive executes a Release at the time and in the manner prescribed by the Company (but in no event later than forty-five (45) days following Executive’s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Termination of Employment), and does not revoke such Release, Executive shall be entitled to the following:</w:t>
      </w:r>
    </w:p>
    <w:p>
      <w:pPr>
        <w:pStyle w:val="TextBody"/>
        <w:bidi w:val="0"/>
        <w:spacing w:lineRule="auto" w:line="288" w:before="180" w:after="283"/>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Cash Severance Pay</w:t>
      </w:r>
      <w:r>
        <w:rPr>
          <w:rFonts w:ascii="Times New Roman;serif" w:hAnsi="Times New Roman;serif"/>
          <w:b w:val="false"/>
          <w:color w:val="000000"/>
          <w:sz w:val="24"/>
        </w:rPr>
        <w:t>. Executive shall receive a lump sum cash payment equal to two (2) times (three (3) times for the Chief Executive Officer or the President of the Company as of the date the Change in Control occurs) the sum of Executive’s (i) Base Salary and (ii) Target Bonus.</w:t>
      </w:r>
    </w:p>
    <w:p>
      <w:pPr>
        <w:pStyle w:val="TextBody"/>
        <w:bidi w:val="0"/>
        <w:spacing w:lineRule="auto" w:line="288" w:before="180" w:after="283"/>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Payment for Value of Benefits Continuation</w:t>
      </w:r>
      <w:r>
        <w:rPr>
          <w:rFonts w:ascii="Times New Roman;serif" w:hAnsi="Times New Roman;serif"/>
          <w:b w:val="false"/>
          <w:color w:val="000000"/>
          <w:sz w:val="24"/>
        </w:rPr>
        <w:t xml:space="preserve">. Executive shall receive a lump sum cash payment equal to the product of (i) the aggregate monthly premiums (both employee and Employer portions) for the Employer-provided medical, dental, and life insurance coverages that Executive was enrolled in prior to the date of the Change in Control or prior to the date of Executive’s Termination, whichever amount is greater, and (ii) twenty-four (thirty-six for the Chief Executive Officer of the Company as of the date the Change in Control occurs). </w:t>
      </w:r>
    </w:p>
    <w:p>
      <w:pPr>
        <w:pStyle w:val="TextBody"/>
        <w:bidi w:val="0"/>
        <w:spacing w:lineRule="auto" w:line="288" w:before="180" w:after="283"/>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Form and Time of Payment; Non-Duplication of Benefits</w:t>
      </w:r>
      <w:r>
        <w:rPr>
          <w:rFonts w:ascii="Times New Roman;serif" w:hAnsi="Times New Roman;serif"/>
          <w:b w:val="false"/>
          <w:color w:val="000000"/>
          <w:sz w:val="24"/>
        </w:rPr>
        <w:t xml:space="preserve">.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Form and Time of Payment</w:t>
      </w:r>
      <w:r>
        <w:rPr>
          <w:rFonts w:ascii="Times New Roman;serif" w:hAnsi="Times New Roman;serif"/>
          <w:b w:val="false"/>
          <w:color w:val="000000"/>
          <w:sz w:val="24"/>
        </w:rPr>
        <w:t xml:space="preserve">. The accrued benefits payable to an Executive by his or her Employer under Section 2(a) shall be paid to such Executive in a single lump sum less applicable withholdings no later than 15 business days after Executive’s date of Termination. Subject to Section 13, the cash payments payable to an Executive by his or her Employer under Section 2(b) shall be paid no later than (i) 15 business days after Executive’s date of Termination or (ii) the expiration of the revocation period, if applicable, under the Release, which Release must be executed within 45 days following the date of Termination, whichever is later.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Non-Duplication of Benefits</w:t>
      </w:r>
      <w:r>
        <w:rPr>
          <w:rFonts w:ascii="Times New Roman;serif" w:hAnsi="Times New Roman;serif"/>
          <w:b w:val="false"/>
          <w:color w:val="000000"/>
          <w:sz w:val="24"/>
        </w:rPr>
        <w:t xml:space="preserve">. The severance benefits provided pursuant to Section 2(b) hereof are in lieu of, and not in addition to, any severance benefits payable to the Executive under any other plan, program, or arrangement of the Company, the Employer, or any of their Affiliates. However, such benefits shall not be deemed to be in lieu of any equity-related vesting or payments and payments under any tax-qualified or nonqualified retirement plan, or any other type of benefit not specifically provided for in Section 2(b).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Employer shall withhold from any amount payable to an Executive pursuant to this Plan, and shall remit to the appropriate governmental authority, any income, employment or other tax the Employer is required by applicable law to so withhold from and remit on behalf of such Executive.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Section 280G</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(a)In the event the Employer reasonably determines, based upon the advice of one or more registered public accounting, legal valuation or similar firm(s) (as selected by the Employer the cost of which shall be borne by the Employer) that any consideration, compensation or benefits to be paid to Executive under this Plan, singularly or together with any consideration, compensation or benefits to be paid to Executive under any other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plan, arrangement or agreement in connection with a Change in Control (collectively, the “Total Payments”), would be subject to the tax imposed by Code Section 4999 (the “Excise Tax”), then the Total Payments shall be delivered either (i) in full or (ii) in an amount such that the value of the aggregate Total Payments that Executive is entitled to receive shall be one dollar ($1.00) less than the maximum amount that the Executive may receive without being subject to the Excise Tax whichever of (i) or (ii) results in the receipt by Executive of the greatest benefit on an after-tax basis (taking into account applicable federal, state and local income taxes and the Excise Tax).</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(b)If the determination made pursuant to clause (a) of this Section 5 results in the Total Payments being delivered in an amount equal to the reduced amount described in clause (ii) of Section 5(a), the amounts payable or benefits to be provided to Executive shall be reduced so as to give effect to clause (ii) of Section 5(a). In applying this principle, the reduction shall be made by applying the following principles, in order: (i) the payment or benefit with the higher ratio of the value of such payment or benefit for purposes of Section 280G of the Code to present economic value (determined using reasonable actuarial assumptions) shall be reduced or eliminated before a payment or benefit with a lower ratio; (ii) the payment or benefit with the later possible payment date shall be reduced or eliminated before a payment or benefit with an earlier payment date; and (iii) cash payments shall be reduced prior to non-cash benefits; provided that if the foregoing order of reduction or elimination would violate Section 409A of the Code, then the reduction shall be made pro rata among the payments or benefits included in the Total Payments (on the basis of the relative present value of such payments or benefits).</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(c)As a result of the uncertainty in the application of Section 280G of the Code at the time of a determination hereunder, it is possible that payments will be made by the Employer which should not have been made under clause (a) of this Section 5 (“Overpayment”) or that additional payments which are not made by the Employer pursuant to clause (a) of this Section 5 should have been made (“Underpayment”). In the event that there is a final determination by the Internal Revenue Service, or a final determination by a court of competent jurisdiction, that an Overpayment has been made, any such Overpayment shall be repaid by Executive to the Employer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Plan, any such Underpayment shall be promptly paid by the Employer to or for the benefit of Executive, together with interest at the applicable Federal rate provided for in Section 7872(f)(2) of the Code.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Plan Administration</w:t>
      </w:r>
      <w:r>
        <w:rPr>
          <w:rFonts w:ascii="Times New Roman;serif" w:hAnsi="Times New Roman;serif"/>
          <w:b w:val="false"/>
          <w:color w:val="000000"/>
          <w:sz w:val="24"/>
        </w:rPr>
        <w:t xml:space="preserve">. This Plan shall be administered by the Compensation Policy Committee of the Board. The Committee shall have the authority to interpret and implement the provisions of this Plan and to determine eligibility for benefits under the Plan, provided that any such action shall be taken in good faith. The Committee shall perform all of the duties and exercise all of the powers and discretion that the Committee deems necessary or appropriate for the proper administration of this Plan. Every interpretation, choice, determination or other exercise by the Committee in good faith of any power or discretion given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either expressly or by implication to it shall be conclusive and binding upon all parties having or claiming to have an interest under this Plan or otherwise directly or indirectly affected by such action, without restriction, however, upon the right of the Committee to reconsider or redetermine such action. The Committee may adopt such rules and regulations for the administration of this Plan as are consistent with the terms hereof, and shall keep adequate records of its proceedings and acts. The Committee may employ such agents, accountants and legal counsel (who may be agents, accountants and legal counsel for an Employer) as may be appropriate for the administration of the Plan. All reasonable administration expenses incurred by the Committee in connection with the administration of the Plan shall be paid by the Employer.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Claims Procedure</w:t>
      </w:r>
      <w:r>
        <w:rPr>
          <w:rFonts w:ascii="Times New Roman;serif" w:hAnsi="Times New Roman;serif"/>
          <w:b w:val="false"/>
          <w:color w:val="000000"/>
          <w:sz w:val="24"/>
        </w:rPr>
        <w:t>. If any person (hereinafter called the “Claimant”) feels he or she is being denied a benefit to which he or she is entitled under this Plan, such Claimant may file a written claim for said benefit with the Chair of the Committee. Within 60 days of the receipt of such claim the Committee shall determine and notify the Claimant as to whether he or she is entitled to such benefit. Such notification shall be in writing and, if denying the claim for benefit, shall set forth the specific reason or reasons for the denial, make specific reference to the pertinent Plan provisions, and advise the Claimant that he or she may, within 60 days of the receipt of such notice, request in writing to appear before the Committee or its designated representative for a hearing to review such denial. Any such hearing shall be scheduled at the mutual convenience of the Committee or its designated representative and the Claimant, and at such hearing the Claimant and/or his or her duly authorized representative may examine any relevant documents and present evidence and arguments to support the granting of the benefit being claimed. The final decision of the Committee with respect to the claim being reviewed shall be made within 60 days following the hearing thereon, and the Committee shall in writing notify the Claimant of its final decision, again specifying the reasons therefor and the pertinent Plan provisions upon which such decision is based and all other information required by ERISA. The final decision of the Committee, if made in good faith, shall be conclusive and binding upon all parties having or claiming to have an interest in the matter being reviewed. A Claimant who substantially prevails on a claim brought pursuant to this Section 7 shall be entitled to reasonable attorney’s fees and expenses reasonably incurred in presenting the claim.</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Clawback; Recoupment</w:t>
      </w:r>
      <w:r>
        <w:rPr>
          <w:rFonts w:ascii="Times New Roman;serif" w:hAnsi="Times New Roman;serif"/>
          <w:b w:val="false"/>
          <w:color w:val="000000"/>
          <w:sz w:val="24"/>
        </w:rPr>
        <w:t>. Notwithstanding anything in this Plan or any agreement entered into in connection herewith to the contrary, any severance benefits or other amounts paid or payable to an Executive pursuant to this Plan shall be subject to recovery, forfeiture or recoupment to the extent required by the Company’s NYSE Clawback Policy, the Company’s Other Conduct Clawback Policy, or any successor or replacement policies thereto, as each may be amended from time to time, including as adopted to comply with applicable law, regulation or stock exchange listing standards. To the extent required pursuant to any such policy, the Executive shall be required to promptly repay or forfeit such amounts to the Company.</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Plan Amendment and Termination</w:t>
      </w:r>
      <w:r>
        <w:rPr>
          <w:rFonts w:ascii="Times New Roman;serif" w:hAnsi="Times New Roman;serif"/>
          <w:b w:val="false"/>
          <w:color w:val="000000"/>
          <w:sz w:val="24"/>
        </w:rPr>
        <w:t xml:space="preserve">. The Company shall have the right and power at any time and from time to time to amend this Plan, in whole or in part, by written document executed by its duly authorized representative and at any time to terminate this Plan; provided, however, that no such amendment or termination shall be permitted after a definitive agreement that would effect a Change in Control has been entered into by the Company (or, if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there is no such agreement, after the Change in Control occurs), other than amendments that do not adversely affect the rights of the Executives under the Plan. The Plan shall automatically terminate (other than with respect to benefits owed to Executives who previously experienced a Termination) two years and one day after the occurrence of the first Change in Control following the adoption of this Plan.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Nature of Plan and Rights</w:t>
      </w:r>
      <w:r>
        <w:rPr>
          <w:rFonts w:ascii="Times New Roman;serif" w:hAnsi="Times New Roman;serif"/>
          <w:b w:val="false"/>
          <w:color w:val="000000"/>
          <w:sz w:val="24"/>
        </w:rPr>
        <w:t>. This Plan is an unfunded employee welfare benefit plan and no provision of this Plan shall be deemed or construed to create a trust fund of any kind or to grant a property interest of any kind to any Executive or former Executive. Any payment which becomes due under this Plan to an Executive shall be made by his or her Employer out of its general assets, and the right of any Executive to receive a payment hereunder from his or her Employer shall be no greater than the right of any unsecured general creditor of such Employer.</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Entire Agreement; No Employment Contract</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(a)This Plan constitutes the entire agreement between the parties and, except as expressly provided herein, supersedes the provisions of all other prior agreements expressly concerning the effect of a Termination of Employment in connection with or following a Change in Control on the relationship between the Company and its Affiliates and Executive (but, not, for the avoidance of doubt, any equity-related plan or agreement or any tax-qualified or nonqualified retirement plan). </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(b)This Plan does not constitute an employment contract and, except as expressly provided herein, this Plan shall not interfere in any way with the right of the Company to reduce Executive’s compensation or other benefits or terminate Executive’s employment, with or without Cause. </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and all other communications provided for in this Plan shall be in writing and shall be delivered personally or sent by registered or certified mail, return receipt requested, or by overnight carrier to the parties at the addresses set forth below (or such other addresses as specified by the parties by like notice):</w:t>
      </w:r>
    </w:p>
    <w:p>
      <w:pPr>
        <w:pStyle w:val="TextBody"/>
        <w:bidi w:val="0"/>
        <w:spacing w:lineRule="auto" w:line="288" w:before="1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to the Company or the Committee:</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Marriott Vacations Worldwide Corporation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7812 Palm Parkway</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Orlando, Florida 32836</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Human Resources Department</w:t>
      </w:r>
    </w:p>
    <w:p>
      <w:pPr>
        <w:pStyle w:val="TextBody"/>
        <w:bidi w:val="0"/>
        <w:spacing w:lineRule="auto" w:line="288" w:before="1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Marriott Vacations Worldwide Corporation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7812 Palm Parkway</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Orlando, Florida 32836</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Law Department</w:t>
      </w:r>
    </w:p>
    <w:p>
      <w:pPr>
        <w:pStyle w:val="TextBody"/>
        <w:bidi w:val="0"/>
        <w:spacing w:before="180" w:after="283"/>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If to Executive, at Executive’s most recent home address on file in the Company’s employment records.</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u w:val="single"/>
        </w:rPr>
        <w:t>Section 409A</w:t>
      </w:r>
      <w:r>
        <w:rPr>
          <w:rFonts w:ascii="Times New Roman;serif" w:hAnsi="Times New Roman;serif"/>
          <w:b w:val="false"/>
          <w:color w:val="000000"/>
          <w:sz w:val="24"/>
        </w:rPr>
        <w:t>. The payments and benefits hereunder are intended to be excluded from coverage under Section 409A of the Code as “short-term deferrals” or pursuant to another exception under Section 409A of the Code, and the Plan shall be interpreted accordingly. Notwithstanding the foregoing, if the Company reasonably determines that some or all of the payments and benefits provided by Section 2(b) are not exempt from Section 409A of the Code, and if the Executive is a “specified employee” within the meaning of Section 409A of the Code at the time of the Executive’s Termination, then to the extent necessary to comply with Section 409A of the Code, such payments or benefits will not be paid or provided until the first day of the seventh month following the month of the Executive’s Termination (or if earlier, promptly following the Executive’s death).</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14.</w:t>
      </w:r>
      <w:r>
        <w:rPr>
          <w:rFonts w:ascii="Times New Roman;serif" w:hAnsi="Times New Roman;serif"/>
          <w:b w:val="false"/>
          <w:color w:val="000000"/>
          <w:sz w:val="24"/>
          <w:u w:val="single"/>
        </w:rPr>
        <w:t>Spendthrift Provision</w:t>
      </w:r>
      <w:r>
        <w:rPr>
          <w:rFonts w:ascii="Times New Roman;serif" w:hAnsi="Times New Roman;serif"/>
          <w:b w:val="false"/>
          <w:color w:val="000000"/>
          <w:sz w:val="24"/>
        </w:rPr>
        <w:t>. No right or interest of an Executive under this Plan may be assigned, transferred or alienated, in whole or in part, either directly or by operation of law, and no such right or interest shall be liable for or subject to any debt, obligation or liability of such Executive.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Section 15.</w:t>
      </w:r>
      <w:r>
        <w:rPr>
          <w:rFonts w:ascii="Times New Roman;serif" w:hAnsi="Times New Roman;serif"/>
          <w:b w:val="false"/>
          <w:color w:val="000000"/>
          <w:sz w:val="24"/>
          <w:u w:val="single"/>
        </w:rPr>
        <w:t>Applicable Law</w:t>
      </w:r>
      <w:r>
        <w:rPr>
          <w:rFonts w:ascii="Times New Roman;serif" w:hAnsi="Times New Roman;serif"/>
          <w:b w:val="false"/>
          <w:color w:val="000000"/>
          <w:sz w:val="24"/>
        </w:rPr>
        <w:t>. Except to the extent preempted by federal law, this Plan shall be governed and construed in accordance with the laws of the State of Delaware, without regard to principles of conflicts of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Acknowledgment of Plan Participant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By signing below, I acknowledge that I have read, understand, and agree to abide by, and be bound by, all of the terms and conditions contained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Printed Name of Plan Participant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of Plan Participant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of Signature of Plan Participant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POSITIONS COVERED BY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Members of the Company’s Executive Leadership Team</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 Chief Accounting Officer and Corporate Controller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SAMPLE WAIVER AND RELEASE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For and in consideration of the payments and other benefits due to ______________(“Executive”) pursuant to the Marriott Vacations Worldwide Corporation Change in Control Severance Plan (the “Plan”), and for other good and valuable consideration, Executive hereby agrees, for Executive, Executive’s spouse and child or children (if any), Executive’s heirs, beneficiaries, devisees, executors, administrators, attorneys, personal representatives, successors and assigns, to forever waive and release all known and unknown claims and causes of action, arising on or before the date of Executive's execution of this Waiver and Release, against Marriott Vacations Worldwide Corporation (the “Company”) or any of its divisions, affiliates, subsidiaries, parents, branches, predecessors, successors, assigns, and with respect to such entities, their officers, directors, trustees, employees, agents, stockholders, administrators, general or limited partners, representatives, attorneys, insurers and fiduciaries, past, present and future (the “Released Parties”), including, but not limited to, all such claims and causes of action which in any way pertain to Executive’s employment with and/or termination of employment from the Company, all allegations of employment discrimination, harassment, retaliation, and whistleblower retaliation, and/or all other occurrences whatsoever, including but not limited to the Age Discrimination in Employment Act, Title VII of the Civil Rights Act of 1964, as amended, 42 U.S.C. Section 2000e et. seq., the Fair Labor Standards Act, as amended, 29 U.S.C. Section 201 et seq., the Americans with Disabilities Act, as amended, 42 U.S.C. Section 12101 et seq., the Reconstruction Era Civil Rights Act, as amended, 42 U.S.C. Section 1981 et seq., the Rehabilitation Act of 1973, as amended, 29 U.S.C. Section 701 et seq., the Family and Medical Leave Act of 1993, 29 U.S.C. Section 2601 et seq., the Employee Retirement Income Security Act, 29 U.S.C. 1001 et seq., the Genetic Information Non-Discrimination Act, 42 U.S.C. Section 2000ff et seq., the False Claims Act, 31 U.S.C Section 3729 et seq.; and any and all state or local laws regarding employment discrimination, harassment, retaliation, and whistleblower retaliation and/or federal, state or local laws and common laws of any type or description regarding employment, including but not limited to any claims arising from or derivative of Executive’s employment with the Company and its Affiliates, as well as any and all such claims under state contract, tort, or common law.</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also hereby agrees to comply with all reasonable requests from the Company or the Released Parties for assistance and/or information in connection with any matters relating to the duties and responsibilities of Executive's employment, including without limitation, consulting with any employees in connection with the transition of ongoing matters; consulting with attorneys of the Company or any Released Parties; appearing as a witness in connection with any dispute, controversy, action, or proceeding of any kind; and making himself/herself available to attorneys of the Company or any Released Parties in advance of witness appearances for purposes of preparation upon the request of the Company or the Released Parties and with reasonable advance notification without the need for a subpoena. In connection with any of Executive’s cooperation efforts, Executive shall be entitled to receive reimbursement of actual and proven lost wages and reasonable travel and other out-of-pocket expenses, provided that </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those expenses are submitted pursuant to and are in conformance with the Company’s then-applicable policy relating to expense reimbursement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has read this Waiver and Release carefully, acknowledges that Executive has been given at least forty-five (45) days to consider all of its terms and has been advised to consult with an attorney and any other advisors of Executive’s choice prior to executing this Waiver and Release, and Executive fully understands that by signing below Executive is voluntarily giving up any right which Executive may have to sue or bring any other claims against the Released Parties, including any rights and claims under the Age Discrimination in Employment Act. Executive also understands that Executive has a period of seven (7) days after signing this Waiver and Release within which to revoke his or her agreement, and that neither the Company nor any other person is obligated to make any payments or provide any other benefits to Executive pursuant to the Plan until eight (8) days have passed since Executive’s signing of this Waiver and Release without Executive’s signature having been revoked other than any accrued obligations or other benefits payable pursuant to the terms of the Company’s normal payroll practices or employee benefit plans. Finally, Executive has not been forced or pressured in any manner whatsoever to sign this Waiver and Release, and Executive agrees to all of its terms voluntarily.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else herein to the contrary, this Waiver and Release shall not affect: (i) the Company’s obligations under any compensation or employee benefit plan, program or arrangement (including, without limitation, obligations to Executive under any stock option, stock award or agreements or obligations under any pension, deferred compensation or retention plan) provided by the Affiliated Entities where Executive’s compensation or benefits are intended to continue or Executive is to be provided with compensation or benefits, in accordance with the express written terms of such plan, program or arrangement, beyond the date of Executive’s termination; or (ii) rights to indemnification or liability insurance coverage Executive may have under the by-laws of the Company or applicable law.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excluded from this Waiver and Release are any claims which by law cannot be waived, including but not limited to the right to file a charge with or participate in an investigation by the Equal Employment Opportunity Commission ("EEOC"). Executive does, however, hereby waive all rights to recover any money, benefits or reinstatement should the EEOC or any other agency or individual pursue any claims on Executive's behalf.</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Waiver and Release is final and binding and may not be changed or modified except in a writing signed by both parties.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 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 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CEO</w:t>
      </w:r>
    </w:p>
    <w:p>
      <w:pPr>
        <w:pStyle w:val="TextBody"/>
        <w:bidi w:val="0"/>
        <w:spacing w:lineRule="auto" w:line="268"/>
        <w:ind w:left="0" w:right="0" w:firstLine="3600"/>
        <w:jc w:val="left"/>
        <w:rPr>
          <w:rFonts w:ascii="Times New Roman;serif" w:hAnsi="Times New Roman;serif"/>
          <w:b w:val="false"/>
          <w:color w:val="000000"/>
          <w:sz w:val="24"/>
        </w:rPr>
      </w:pPr>
      <w:r>
        <w:rPr>
          <w:rFonts w:ascii="Times New Roman;serif" w:hAnsi="Times New Roman;serif"/>
          <w:b w:val="false"/>
          <w:color w:val="000000"/>
          <w:sz w:val="24"/>
        </w:rPr>
        <w:t>Marriott Vacations Worldwide Corporation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Chief Executive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Rule 13a-14(a) of the Securities Exchange Act of 1934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Matthew E. Avril,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Marriott Vacations Worldwide Corporation;</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817" w:type="dxa"/>
        <w:jc w:val="left"/>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E. Avril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Avril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Chief Financial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Rule 13a-14(a) of the Securities Exchange Act of 1934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Jason P. Marino,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Marriott Vacations Worldwide Corporation;</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4781" w:type="dxa"/>
        <w:jc w:val="center"/>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by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Matthew E. Avril, Chief Executive Officer of Marriott Vacations Worldwide Corporation (the “Company”)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“Quarterly Report”), fully complies with the requirements of section 13(a) or 15(d) of the Securities Exchange Act of 1934 (15 U.S.C. 78m or 78o(d));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Quarterly Report fairly presents, in all material respects, the financial condition and results of operations of the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bookmarkStart w:id="0" w:name="ide60ea43da484da8a0a575aabc110e57_689"/>
      <w:bookmarkEnd w:id="0"/>
      <w:r>
        <w:rPr>
          <w:rFonts w:ascii="Times New Roman;serif" w:hAnsi="Times New Roman;serif"/>
          <w:b w:val="false"/>
          <w:color w:val="000000"/>
          <w:sz w:val="20"/>
        </w:rPr>
        <w:t>August 6, 2026</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E. Avril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Avril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by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Jason P. Marino, Executive Vice President and Chief Financial Officer of Marriott Vacations Worldwide Corporation (the “Company”)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“Quarterly Report”), fully complies with the requirements of section 13(a) or 15(d) of the Securities Exchange Act of 1934 (15 U.S.C. 78m or 78o(d));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bl>
      <w:tblPr>
        <w:tblW w:w="4781" w:type="dxa"/>
        <w:jc w:val="center"/>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358/000152435823000022/exhibit32secondrestatedcer.htm" TargetMode="External"/><Relationship Id="rId3" Type="http://schemas.openxmlformats.org/officeDocument/2006/relationships/hyperlink" Target="https://www.sec.gov/Archives/edgar/data/1524358/000152435823000031/a2023q2ex33restatedbylawso.htm" TargetMode="External"/><Relationship Id="rId4" Type="http://schemas.openxmlformats.org/officeDocument/2006/relationships/hyperlink" Target="https://www.sec.gov/Archives/edgar/data/1524358/000119312511271851/d197736dex41.htm" TargetMode="External"/><Relationship Id="rId5" Type="http://schemas.openxmlformats.org/officeDocument/2006/relationships/hyperlink" Target="https://www.sec.gov/Archives/edgar/data/1524358/000119312519259964/d812229dex41.htm" TargetMode="External"/><Relationship Id="rId6" Type="http://schemas.openxmlformats.org/officeDocument/2006/relationships/hyperlink" Target="https://www.sec.gov/Archives/edgar/data/1524358/000119312519259964/d812229dex41.htm" TargetMode="External"/><Relationship Id="rId7" Type="http://schemas.openxmlformats.org/officeDocument/2006/relationships/hyperlink" Target="https://www.sec.gov/Archives/edgar/data/1524358/000119312519259964/d812229dex43.htm" TargetMode="External"/><Relationship Id="rId8" Type="http://schemas.openxmlformats.org/officeDocument/2006/relationships/hyperlink" Target="https://www.sec.gov/Archives/edgar/data/0001524358/000119312521027303/d41256dex41.htm" TargetMode="External"/><Relationship Id="rId9" Type="http://schemas.openxmlformats.org/officeDocument/2006/relationships/hyperlink" Target="https://www.sec.gov/Archives/edgar/data/0001524358/000119312521195243/d158882dex41.htm" TargetMode="External"/><Relationship Id="rId10" Type="http://schemas.openxmlformats.org/officeDocument/2006/relationships/hyperlink" Target="https://www.sec.gov/Archives/edgar/data/1524358/000119312522301061/d433395dex41.htm" TargetMode="External"/><Relationship Id="rId11" Type="http://schemas.openxmlformats.org/officeDocument/2006/relationships/hyperlink" Target="https://www.sec.gov/Archives/edgar/data/1524358/000152435820000011/a201910-kex416descript.htm" TargetMode="External"/><Relationship Id="rId12" Type="http://schemas.openxmlformats.org/officeDocument/2006/relationships/hyperlink" Target="https://www.sec.gov/Archives/edgar/data/1524358/000152435825000160/a41indenture.htm" TargetMode="External"/><Relationship Id="rId13" Type="http://schemas.openxmlformats.org/officeDocument/2006/relationships/hyperlink" Target="https://www.sec.gov/Archives/edgar/data/1524358/000152435826000004/exhibit101-ceoemploymentag.htm" TargetMode="External"/><Relationship Id="rId14" Type="http://schemas.openxmlformats.org/officeDocument/2006/relationships/hyperlink" Target="https://www.sec.gov/Archives/edgar/data/1524358/000152435826000004/exhibit102-cooemploymentag.htm" TargetMode="External"/><Relationship Id="rId15" Type="http://schemas.openxmlformats.org/officeDocument/2006/relationships/hyperlink" Target="https://www.sec.gov/Archives/edgar/data/1524358/000152435826000012/exhibit101-separationagree.htm" TargetMode="External"/><Relationship Id="rId16" Type="http://schemas.openxmlformats.org/officeDocument/2006/relationships/hyperlink" Target="https://www.sec.gov/Archives/edgar/data/1524358/000152435826000022/a2026q1ex104xrestrictedsto.htm" TargetMode="External"/><Relationship Id="rId17" Type="http://schemas.openxmlformats.org/officeDocument/2006/relationships/hyperlink" Target="https://www.sec.gov/Archives/edgar/data/1524358/000152435826000022/a2026q1ex105xstockapprecia.htm" TargetMode="External"/><Relationship Id="rId18" Type="http://schemas.openxmlformats.org/officeDocument/2006/relationships/hyperlink" Target="https://www.sec.gov/Archives/edgar/data/1524358/000152435826000022/a2026q1ex106xrestrictedsto.htm" TargetMode="External"/><Relationship Id="rId19" Type="http://schemas.openxmlformats.org/officeDocument/2006/relationships/hyperlink" Target="https://www.sec.gov/Archives/edgar/data/1524358/000152435826000022/a2026q1ex107xperformancest.htm" TargetMode="External"/><Relationship Id="rId20" Type="http://schemas.openxmlformats.org/officeDocument/2006/relationships/hyperlink" Target="https://www.sec.gov/Archives/edgar/data/1524358/000152435826000024/exhibit101secondamendedand.htm" TargetMode="External"/><Relationship Id="rId21" Type="http://schemas.openxmlformats.org/officeDocument/2006/relationships/hyperlink" Target="https://www.sec.gov/Archives/edgar/data/1524358/000152435826000029/exhibit101-separationagree.htm" TargetMode="External"/><Relationship Id="rId22" Type="http://schemas.openxmlformats.org/officeDocument/2006/relationships/hyperlink" Target="https://www.sec.gov/Archives/edgar/data/1524358/000152435826000010/a2025ex221xlistoftheissuer.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33975</Words>
  <Characters>182223</Characters>
  <CharactersWithSpaces>212902</CharactersWithSpaces>
  <Paragraphs>6397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